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4AF66" w14:textId="2AE6AB8A" w:rsidR="00FC2CB3" w:rsidRDefault="00FC2CB3" w:rsidP="00FC2CB3">
      <w:pPr>
        <w:pStyle w:val="Heading4"/>
      </w:pPr>
      <w:bookmarkStart w:id="0" w:name="_GoBack"/>
      <w:bookmarkEnd w:id="0"/>
      <w:r>
        <w:t>Economics</w:t>
      </w:r>
    </w:p>
    <w:p w14:paraId="6E4FA15A" w14:textId="7EEB49DB" w:rsidR="00551A50" w:rsidRDefault="00551A50" w:rsidP="00551A50">
      <w:pPr>
        <w:pStyle w:val="BulletList"/>
        <w:spacing w:after="120"/>
        <w:ind w:left="714" w:hanging="357"/>
        <w:contextualSpacing w:val="0"/>
      </w:pPr>
      <w:r>
        <w:t>Why is</w:t>
      </w:r>
      <w:r w:rsidR="00986E2A">
        <w:t xml:space="preserve"> the</w:t>
      </w:r>
      <w:r>
        <w:t xml:space="preserve"> grow</w:t>
      </w:r>
      <w:r w:rsidR="00986E2A">
        <w:t>th</w:t>
      </w:r>
      <w:r>
        <w:t xml:space="preserve"> rate for labour compensation running significantly above the growth for primary household income</w:t>
      </w:r>
      <w:r w:rsidR="00DC69CF">
        <w:t>, particularly in 2018 and 2019</w:t>
      </w:r>
      <w:r>
        <w:t>?</w:t>
      </w:r>
    </w:p>
    <w:p w14:paraId="72C7D620" w14:textId="248D6C33" w:rsidR="009C00E0" w:rsidRDefault="00117521" w:rsidP="00BF1CC6">
      <w:pPr>
        <w:pStyle w:val="BulletList"/>
        <w:spacing w:after="120"/>
        <w:ind w:left="714" w:hanging="357"/>
        <w:contextualSpacing w:val="0"/>
      </w:pPr>
      <w:r>
        <w:t xml:space="preserve">Do you use Compensation of Employees </w:t>
      </w:r>
      <w:r w:rsidR="009C00E0">
        <w:t xml:space="preserve">on a ‘National Basis’ </w:t>
      </w:r>
      <w:r>
        <w:t xml:space="preserve">(from Table </w:t>
      </w:r>
      <w:r w:rsidR="00A861E8">
        <w:t>11 of the OEA) as the principal PI</w:t>
      </w:r>
      <w:r w:rsidR="009C00E0">
        <w:t>T driver?  In 2016, Labour Compensation on a n</w:t>
      </w:r>
      <w:r w:rsidR="00A861E8">
        <w:t>ation</w:t>
      </w:r>
      <w:r w:rsidR="009C00E0">
        <w:t xml:space="preserve">al basis grew at 4.4% while on a domestic basis it grew 4.2%, which is an unusually large gap. </w:t>
      </w:r>
    </w:p>
    <w:p w14:paraId="6999C1DC" w14:textId="66A1BC13" w:rsidR="00FC2CB3" w:rsidRPr="009C00E0" w:rsidRDefault="00FC2CB3" w:rsidP="009C00E0">
      <w:pPr>
        <w:pStyle w:val="BulletList"/>
        <w:numPr>
          <w:ilvl w:val="0"/>
          <w:numId w:val="0"/>
        </w:numPr>
        <w:spacing w:after="120"/>
        <w:contextualSpacing w:val="0"/>
        <w:rPr>
          <w:b/>
        </w:rPr>
      </w:pPr>
      <w:r w:rsidRPr="009C00E0">
        <w:rPr>
          <w:b/>
        </w:rPr>
        <w:t>Revenue</w:t>
      </w:r>
    </w:p>
    <w:p w14:paraId="2D10A1CD" w14:textId="77777777" w:rsidR="00551A50" w:rsidRDefault="00551A50" w:rsidP="00551A50">
      <w:pPr>
        <w:pStyle w:val="BulletList"/>
        <w:spacing w:after="120"/>
        <w:ind w:left="714" w:hanging="357"/>
        <w:contextualSpacing w:val="0"/>
      </w:pPr>
      <w:r>
        <w:t>In Table 3.14, sales and rental revenues are projected to increase by $1 billion in 2017-18. Can we can get details about the assumptions behind this increase?</w:t>
      </w:r>
    </w:p>
    <w:p w14:paraId="721BF6CF" w14:textId="77777777" w:rsidR="00551A50" w:rsidRDefault="00551A50" w:rsidP="00551A50">
      <w:pPr>
        <w:pStyle w:val="BulletList"/>
        <w:spacing w:after="120"/>
        <w:ind w:left="714" w:hanging="357"/>
        <w:contextualSpacing w:val="0"/>
      </w:pPr>
      <w:r>
        <w:t>The 2017 federal budget announced new funding for affordable housing, child care, infrastructure, home care and labour-market training. To what extent are these new revenues (and the associated expense) built into the fiscal plan?</w:t>
      </w:r>
    </w:p>
    <w:p w14:paraId="35D84C06" w14:textId="3F5695A0" w:rsidR="00551A50" w:rsidRDefault="00551A50" w:rsidP="00551A50">
      <w:pPr>
        <w:pStyle w:val="BulletList"/>
        <w:spacing w:after="120"/>
        <w:ind w:left="714" w:hanging="357"/>
        <w:contextualSpacing w:val="0"/>
      </w:pPr>
      <w:r>
        <w:t xml:space="preserve">Expected revenues from </w:t>
      </w:r>
      <w:r w:rsidR="00DC69CF">
        <w:t>C</w:t>
      </w:r>
      <w:r>
        <w:t xml:space="preserve">arbon </w:t>
      </w:r>
      <w:r w:rsidR="00DC69CF">
        <w:t>A</w:t>
      </w:r>
      <w:r>
        <w:t xml:space="preserve">llowance </w:t>
      </w:r>
      <w:r w:rsidR="00DC69CF">
        <w:t>P</w:t>
      </w:r>
      <w:r>
        <w:t>roceeds have been reduced by $0.5 billion beginning 2018-19</w:t>
      </w:r>
      <w:r w:rsidR="00DC69CF">
        <w:t xml:space="preserve"> (Table 6.10)</w:t>
      </w:r>
      <w:r>
        <w:t xml:space="preserve">. </w:t>
      </w:r>
      <w:r w:rsidR="00DC69CF">
        <w:t xml:space="preserve">Any explanation of the lower </w:t>
      </w:r>
      <w:r>
        <w:t>revenue</w:t>
      </w:r>
      <w:r w:rsidR="00DC69CF">
        <w:t xml:space="preserve"> projection</w:t>
      </w:r>
      <w:r>
        <w:t xml:space="preserve">? </w:t>
      </w:r>
    </w:p>
    <w:p w14:paraId="45E96084" w14:textId="31584E27" w:rsidR="00551A50" w:rsidRDefault="00551A50" w:rsidP="00DC69CF">
      <w:pPr>
        <w:pStyle w:val="BulletList"/>
        <w:numPr>
          <w:ilvl w:val="1"/>
          <w:numId w:val="1"/>
        </w:numPr>
        <w:spacing w:after="120"/>
        <w:contextualSpacing w:val="0"/>
      </w:pPr>
      <w:r>
        <w:t xml:space="preserve">Is the annual forecast for </w:t>
      </w:r>
      <w:r w:rsidR="00DC69CF" w:rsidRPr="00DC69CF">
        <w:t>Carbon Allowance Proce</w:t>
      </w:r>
      <w:r w:rsidR="00DC69CF">
        <w:t xml:space="preserve">eds </w:t>
      </w:r>
      <w:r>
        <w:t>$1.4 billion</w:t>
      </w:r>
      <w:r w:rsidR="00AD44B8">
        <w:t xml:space="preserve">? </w:t>
      </w:r>
      <w:r w:rsidR="00DC69CF">
        <w:t xml:space="preserve">If so, </w:t>
      </w:r>
      <w:r w:rsidR="009C00E0">
        <w:t xml:space="preserve">does </w:t>
      </w:r>
      <w:r w:rsidR="00DC69CF">
        <w:t xml:space="preserve">the higher amount in </w:t>
      </w:r>
      <w:r>
        <w:t>2017-18</w:t>
      </w:r>
      <w:r w:rsidR="00DC69CF">
        <w:t xml:space="preserve"> of $1.8 billion just reflect </w:t>
      </w:r>
      <w:r>
        <w:t>the</w:t>
      </w:r>
      <w:r w:rsidR="009C00E0">
        <w:t xml:space="preserve"> shifting </w:t>
      </w:r>
      <w:r>
        <w:t xml:space="preserve">of proceeds from </w:t>
      </w:r>
      <w:r w:rsidR="009C00E0">
        <w:t xml:space="preserve">the first auction in </w:t>
      </w:r>
      <w:r>
        <w:t>2016-17</w:t>
      </w:r>
      <w:r w:rsidR="00DC69CF">
        <w:t xml:space="preserve"> (that is </w:t>
      </w:r>
      <w:r w:rsidR="009C00E0">
        <w:t xml:space="preserve">there is </w:t>
      </w:r>
      <w:r w:rsidR="00DC69CF">
        <w:t>an extra auction</w:t>
      </w:r>
      <w:r w:rsidR="009C00E0">
        <w:t xml:space="preserve"> in 2017-18 than in future years</w:t>
      </w:r>
      <w:r w:rsidR="00DC69CF">
        <w:t>)</w:t>
      </w:r>
      <w:r>
        <w:t>?</w:t>
      </w:r>
    </w:p>
    <w:p w14:paraId="01C00876" w14:textId="2B16A705" w:rsidR="00551A50" w:rsidRDefault="00551A50" w:rsidP="00551A50">
      <w:pPr>
        <w:pStyle w:val="BulletList"/>
        <w:numPr>
          <w:ilvl w:val="1"/>
          <w:numId w:val="1"/>
        </w:numPr>
        <w:spacing w:after="120"/>
        <w:contextualSpacing w:val="0"/>
      </w:pPr>
      <w:r>
        <w:lastRenderedPageBreak/>
        <w:t>Are the associated expenses from the Green Initiative Fund being reduced as well</w:t>
      </w:r>
      <w:r w:rsidR="00DC69CF">
        <w:t>, to reflect the lower revenue forecast</w:t>
      </w:r>
      <w:r>
        <w:t>?</w:t>
      </w:r>
    </w:p>
    <w:p w14:paraId="3E074C53" w14:textId="1F122796" w:rsidR="00551A50" w:rsidRDefault="00551A50" w:rsidP="00450095">
      <w:pPr>
        <w:pStyle w:val="BulletList"/>
        <w:spacing w:after="120"/>
        <w:ind w:left="714" w:hanging="357"/>
        <w:contextualSpacing w:val="0"/>
      </w:pPr>
      <w:r>
        <w:t xml:space="preserve">Base revenue growth for Corporations Tax and Sales Tax are </w:t>
      </w:r>
      <w:r w:rsidR="00DC69CF">
        <w:t xml:space="preserve">noticeably </w:t>
      </w:r>
      <w:r>
        <w:t>stronger than the growth of their underlying drivers. What are your elasticity assumptions for Personal Income Tax, Corporations Tax and Sales Tax with respect to their drivers</w:t>
      </w:r>
      <w:r w:rsidR="00F714B2">
        <w:t>?</w:t>
      </w:r>
    </w:p>
    <w:p w14:paraId="4256DD31" w14:textId="0C3900E0" w:rsidR="00C5169D" w:rsidRDefault="00C5169D" w:rsidP="00C5169D">
      <w:pPr>
        <w:pStyle w:val="BulletList"/>
        <w:numPr>
          <w:ilvl w:val="1"/>
          <w:numId w:val="1"/>
        </w:numPr>
        <w:spacing w:after="120"/>
        <w:contextualSpacing w:val="0"/>
      </w:pPr>
      <w:r>
        <w:t>For HST</w:t>
      </w:r>
      <w:r w:rsidR="00DC69CF">
        <w:t xml:space="preserve">, could you break out the revenues expected from </w:t>
      </w:r>
      <w:r>
        <w:t>housing and nominal consumption over the forecast?</w:t>
      </w:r>
    </w:p>
    <w:p w14:paraId="5B17F336" w14:textId="336B4D6E" w:rsidR="00450095" w:rsidRPr="00551A50" w:rsidRDefault="00046A7E" w:rsidP="00046A7E">
      <w:pPr>
        <w:pStyle w:val="BulletList"/>
      </w:pPr>
      <w:r w:rsidRPr="00046A7E">
        <w:t>The federal government’s 2015-16 Annual Financial Report indicated that stronger 2015 federal PIT returns partly reflect “…tax planning by high-income individuals to recognize income in the 2015 tax year before the new 33 per cent tax rate came into effect in 2016</w:t>
      </w:r>
      <w:r w:rsidR="005356DE">
        <w:t>”</w:t>
      </w:r>
      <w:r>
        <w:t xml:space="preserve">. </w:t>
      </w:r>
      <w:r w:rsidR="00450095">
        <w:t xml:space="preserve">What assumptions </w:t>
      </w:r>
      <w:r w:rsidR="009C00E0">
        <w:t xml:space="preserve">were made </w:t>
      </w:r>
      <w:r w:rsidR="00450095">
        <w:t xml:space="preserve">on the impact of income shifting on </w:t>
      </w:r>
      <w:r>
        <w:t xml:space="preserve">Ontario’s </w:t>
      </w:r>
      <w:r w:rsidR="00450095">
        <w:t xml:space="preserve">PIT </w:t>
      </w:r>
      <w:r>
        <w:t>revenue</w:t>
      </w:r>
      <w:r w:rsidR="00450095">
        <w:t>?</w:t>
      </w:r>
    </w:p>
    <w:p w14:paraId="6E3E2E70" w14:textId="4EAD21FC" w:rsidR="00FC2CB3" w:rsidRDefault="00FC2CB3" w:rsidP="00FC2CB3">
      <w:pPr>
        <w:pStyle w:val="Heading4"/>
      </w:pPr>
      <w:r>
        <w:t>Expense</w:t>
      </w:r>
    </w:p>
    <w:p w14:paraId="1D50C1D9" w14:textId="6F73D5EF" w:rsidR="00FC2CB3" w:rsidRDefault="00FC2CB3" w:rsidP="00FC2CB3">
      <w:pPr>
        <w:pStyle w:val="BulletList"/>
        <w:spacing w:after="120"/>
        <w:ind w:left="714" w:hanging="357"/>
        <w:contextualSpacing w:val="0"/>
      </w:pPr>
      <w:r>
        <w:t xml:space="preserve">The anticipated fiscal impact of the Fair Hydro Plan is </w:t>
      </w:r>
      <w:r w:rsidR="009C00E0">
        <w:t xml:space="preserve">approximately </w:t>
      </w:r>
      <w:r>
        <w:t>$1.8 billion based on information provided to the FAO (</w:t>
      </w:r>
      <w:r w:rsidR="009C00E0">
        <w:t xml:space="preserve">roughly </w:t>
      </w:r>
      <w:r>
        <w:t>$1 billion for HST rebate and $800 million for the electricity social programs). However, the 2017 Budget indicate</w:t>
      </w:r>
      <w:r w:rsidR="009C00E0">
        <w:t>s</w:t>
      </w:r>
      <w:r>
        <w:t xml:space="preserve"> that the total cost would be around $1.4 billion in 2017-18 (Table 6.15). </w:t>
      </w:r>
      <w:r w:rsidR="009C00E0">
        <w:t xml:space="preserve">Can you explain </w:t>
      </w:r>
      <w:r>
        <w:t>the discrepancy?</w:t>
      </w:r>
    </w:p>
    <w:p w14:paraId="4E3C3556" w14:textId="77777777" w:rsidR="009C00E0" w:rsidRDefault="009C00E0">
      <w:pPr>
        <w:spacing w:after="160" w:line="259" w:lineRule="auto"/>
        <w:rPr>
          <w:spacing w:val="-6"/>
        </w:rPr>
      </w:pPr>
      <w:r>
        <w:br w:type="page"/>
      </w:r>
    </w:p>
    <w:p w14:paraId="3E296604" w14:textId="184AA04E" w:rsidR="00FC2CB3" w:rsidRDefault="00FC2CB3" w:rsidP="00FC2CB3">
      <w:pPr>
        <w:pStyle w:val="BulletList"/>
        <w:spacing w:after="120"/>
        <w:ind w:left="714" w:hanging="357"/>
        <w:contextualSpacing w:val="0"/>
      </w:pPr>
      <w:r>
        <w:lastRenderedPageBreak/>
        <w:t>A number of new program</w:t>
      </w:r>
      <w:r w:rsidR="00CA1200">
        <w:t>s</w:t>
      </w:r>
      <w:r>
        <w:t xml:space="preserve"> were announced in the budget. </w:t>
      </w:r>
      <w:r w:rsidR="00450095">
        <w:t>Can you provide the fiscal impact for these new initiatives (e.g. children and youth pharma</w:t>
      </w:r>
      <w:r w:rsidR="009C00E0">
        <w:t>-</w:t>
      </w:r>
      <w:r w:rsidR="00450095">
        <w:t>care, child care spaces expansion) by completing the following table</w:t>
      </w:r>
      <w:r>
        <w:t>?</w:t>
      </w:r>
      <w:r w:rsidR="008E5BE7">
        <w:t xml:space="preserve"> Are these fiscal impacts in the plan?</w:t>
      </w:r>
    </w:p>
    <w:p w14:paraId="553B8C88" w14:textId="01DB656D" w:rsidR="009C00E0" w:rsidRDefault="00FC2CB3" w:rsidP="00FC2CB3">
      <w:pPr>
        <w:pStyle w:val="BulletList"/>
        <w:numPr>
          <w:ilvl w:val="1"/>
          <w:numId w:val="1"/>
        </w:numPr>
        <w:spacing w:after="120"/>
        <w:contextualSpacing w:val="0"/>
      </w:pPr>
      <w:r>
        <w:t>The September Throne Speech announced the expansion of 100,000 new child care spaces. The budget announced 24,000 additional spaces. What is the progress in the rollout plan for the remaining spaces? Is there additional fiscal impact from the Throne Speech that have not been incorporated?</w:t>
      </w:r>
    </w:p>
    <w:p w14:paraId="3B387B5C" w14:textId="77777777" w:rsidR="00FC2CB3" w:rsidRDefault="00FC2CB3" w:rsidP="00FC2CB3">
      <w:pPr>
        <w:pStyle w:val="chartcaptions"/>
        <w:rPr>
          <w:rFonts w:ascii="Ebrima" w:hAnsi="Ebrima" w:cstheme="minorBidi"/>
        </w:rPr>
      </w:pPr>
      <w:r>
        <w:t>Cost of Announced Programs</w:t>
      </w:r>
    </w:p>
    <w:tbl>
      <w:tblPr>
        <w:tblStyle w:val="FAOTable"/>
        <w:tblW w:w="5000" w:type="pct"/>
        <w:tblInd w:w="0" w:type="dxa"/>
        <w:tblLook w:val="0420" w:firstRow="1" w:lastRow="0" w:firstColumn="0" w:lastColumn="0" w:noHBand="0" w:noVBand="1"/>
      </w:tblPr>
      <w:tblGrid>
        <w:gridCol w:w="4094"/>
        <w:gridCol w:w="1601"/>
        <w:gridCol w:w="1601"/>
        <w:gridCol w:w="1601"/>
        <w:gridCol w:w="1597"/>
      </w:tblGrid>
      <w:tr w:rsidR="004961AA" w14:paraId="5A1F0C3C" w14:textId="2F358118" w:rsidTr="004961AA">
        <w:trPr>
          <w:cnfStyle w:val="100000000000" w:firstRow="1" w:lastRow="0" w:firstColumn="0" w:lastColumn="0" w:oddVBand="0" w:evenVBand="0" w:oddHBand="0" w:evenHBand="0" w:firstRowFirstColumn="0" w:firstRowLastColumn="0" w:lastRowFirstColumn="0" w:lastRowLastColumn="0"/>
        </w:trPr>
        <w:tc>
          <w:tcPr>
            <w:tcW w:w="1950" w:type="pct"/>
            <w:tcBorders>
              <w:top w:val="nil"/>
              <w:left w:val="nil"/>
              <w:bottom w:val="nil"/>
              <w:right w:val="nil"/>
            </w:tcBorders>
          </w:tcPr>
          <w:p w14:paraId="00E1587C" w14:textId="77777777" w:rsidR="004961AA" w:rsidRDefault="004961AA" w:rsidP="001D05E1"/>
        </w:tc>
        <w:tc>
          <w:tcPr>
            <w:tcW w:w="763" w:type="pct"/>
            <w:tcBorders>
              <w:top w:val="nil"/>
              <w:left w:val="nil"/>
              <w:bottom w:val="nil"/>
              <w:right w:val="nil"/>
            </w:tcBorders>
            <w:hideMark/>
          </w:tcPr>
          <w:p w14:paraId="600C3B47" w14:textId="77777777" w:rsidR="004961AA" w:rsidRDefault="004961AA" w:rsidP="001D05E1">
            <w:r>
              <w:t>2017-18</w:t>
            </w:r>
          </w:p>
        </w:tc>
        <w:tc>
          <w:tcPr>
            <w:tcW w:w="763" w:type="pct"/>
            <w:tcBorders>
              <w:top w:val="nil"/>
              <w:left w:val="nil"/>
              <w:bottom w:val="nil"/>
              <w:right w:val="nil"/>
            </w:tcBorders>
            <w:hideMark/>
          </w:tcPr>
          <w:p w14:paraId="504AEF68" w14:textId="77777777" w:rsidR="004961AA" w:rsidRDefault="004961AA" w:rsidP="001D05E1">
            <w:r>
              <w:t>2018-19</w:t>
            </w:r>
          </w:p>
        </w:tc>
        <w:tc>
          <w:tcPr>
            <w:tcW w:w="763" w:type="pct"/>
            <w:tcBorders>
              <w:top w:val="nil"/>
              <w:left w:val="nil"/>
              <w:bottom w:val="nil"/>
              <w:right w:val="nil"/>
            </w:tcBorders>
            <w:hideMark/>
          </w:tcPr>
          <w:p w14:paraId="65CF3B33" w14:textId="77777777" w:rsidR="004961AA" w:rsidRDefault="004961AA" w:rsidP="001D05E1">
            <w:r>
              <w:t>2019-20</w:t>
            </w:r>
          </w:p>
        </w:tc>
        <w:tc>
          <w:tcPr>
            <w:tcW w:w="762" w:type="pct"/>
            <w:tcBorders>
              <w:top w:val="nil"/>
              <w:left w:val="nil"/>
              <w:bottom w:val="nil"/>
              <w:right w:val="nil"/>
            </w:tcBorders>
          </w:tcPr>
          <w:p w14:paraId="32A633E9" w14:textId="2AFDE117" w:rsidR="004961AA" w:rsidRDefault="004961AA" w:rsidP="001D05E1">
            <w:r>
              <w:t>2020-21</w:t>
            </w:r>
          </w:p>
        </w:tc>
      </w:tr>
      <w:tr w:rsidR="004961AA" w:rsidRPr="005E22C4" w14:paraId="290CD460" w14:textId="2D224258" w:rsidTr="004961AA">
        <w:trPr>
          <w:cnfStyle w:val="000000100000" w:firstRow="0" w:lastRow="0" w:firstColumn="0" w:lastColumn="0" w:oddVBand="0" w:evenVBand="0" w:oddHBand="1" w:evenHBand="0" w:firstRowFirstColumn="0" w:firstRowLastColumn="0" w:lastRowFirstColumn="0" w:lastRowLastColumn="0"/>
        </w:trPr>
        <w:tc>
          <w:tcPr>
            <w:tcW w:w="1950" w:type="pct"/>
            <w:tcBorders>
              <w:top w:val="nil"/>
              <w:left w:val="nil"/>
              <w:bottom w:val="nil"/>
              <w:right w:val="nil"/>
            </w:tcBorders>
            <w:hideMark/>
          </w:tcPr>
          <w:p w14:paraId="74254B89" w14:textId="77777777" w:rsidR="004961AA" w:rsidRDefault="004961AA" w:rsidP="001D05E1">
            <w:pPr>
              <w:jc w:val="left"/>
              <w:rPr>
                <w:szCs w:val="20"/>
              </w:rPr>
            </w:pPr>
            <w:r w:rsidRPr="005E22C4">
              <w:rPr>
                <w:szCs w:val="20"/>
              </w:rPr>
              <w:t>Children and Youth Pharmacare</w:t>
            </w:r>
          </w:p>
        </w:tc>
        <w:tc>
          <w:tcPr>
            <w:tcW w:w="763" w:type="pct"/>
            <w:tcBorders>
              <w:top w:val="nil"/>
              <w:left w:val="nil"/>
              <w:bottom w:val="nil"/>
              <w:right w:val="nil"/>
            </w:tcBorders>
          </w:tcPr>
          <w:p w14:paraId="55CFBCA1" w14:textId="77777777" w:rsidR="004961AA" w:rsidRDefault="004961AA" w:rsidP="005E22C4">
            <w:pPr>
              <w:jc w:val="left"/>
              <w:rPr>
                <w:szCs w:val="20"/>
              </w:rPr>
            </w:pPr>
          </w:p>
        </w:tc>
        <w:tc>
          <w:tcPr>
            <w:tcW w:w="763" w:type="pct"/>
            <w:tcBorders>
              <w:top w:val="nil"/>
              <w:left w:val="nil"/>
              <w:bottom w:val="nil"/>
              <w:right w:val="nil"/>
            </w:tcBorders>
          </w:tcPr>
          <w:p w14:paraId="1D84620E" w14:textId="77777777" w:rsidR="004961AA" w:rsidRDefault="004961AA" w:rsidP="005E22C4">
            <w:pPr>
              <w:jc w:val="left"/>
              <w:rPr>
                <w:szCs w:val="20"/>
              </w:rPr>
            </w:pPr>
          </w:p>
        </w:tc>
        <w:tc>
          <w:tcPr>
            <w:tcW w:w="763" w:type="pct"/>
            <w:tcBorders>
              <w:top w:val="nil"/>
              <w:left w:val="nil"/>
              <w:bottom w:val="nil"/>
              <w:right w:val="nil"/>
            </w:tcBorders>
          </w:tcPr>
          <w:p w14:paraId="7AB26655" w14:textId="77777777" w:rsidR="004961AA" w:rsidRDefault="004961AA" w:rsidP="005E22C4">
            <w:pPr>
              <w:jc w:val="left"/>
              <w:rPr>
                <w:szCs w:val="20"/>
              </w:rPr>
            </w:pPr>
          </w:p>
        </w:tc>
        <w:tc>
          <w:tcPr>
            <w:tcW w:w="762" w:type="pct"/>
            <w:tcBorders>
              <w:top w:val="nil"/>
              <w:left w:val="nil"/>
              <w:bottom w:val="nil"/>
              <w:right w:val="nil"/>
            </w:tcBorders>
          </w:tcPr>
          <w:p w14:paraId="1657F580" w14:textId="77777777" w:rsidR="004961AA" w:rsidRDefault="004961AA" w:rsidP="005E22C4">
            <w:pPr>
              <w:rPr>
                <w:szCs w:val="20"/>
              </w:rPr>
            </w:pPr>
          </w:p>
        </w:tc>
      </w:tr>
      <w:tr w:rsidR="004961AA" w:rsidRPr="005E22C4" w14:paraId="155376FF" w14:textId="4771E692" w:rsidTr="004961AA">
        <w:tc>
          <w:tcPr>
            <w:tcW w:w="1950" w:type="pct"/>
            <w:tcBorders>
              <w:top w:val="nil"/>
              <w:left w:val="nil"/>
              <w:bottom w:val="nil"/>
              <w:right w:val="nil"/>
            </w:tcBorders>
            <w:hideMark/>
          </w:tcPr>
          <w:p w14:paraId="6C3C2656" w14:textId="77777777" w:rsidR="004961AA" w:rsidRDefault="004961AA" w:rsidP="001D05E1">
            <w:pPr>
              <w:jc w:val="left"/>
              <w:rPr>
                <w:szCs w:val="20"/>
              </w:rPr>
            </w:pPr>
            <w:r w:rsidRPr="005E22C4">
              <w:rPr>
                <w:szCs w:val="20"/>
              </w:rPr>
              <w:t>100,000 Child Care Spaces Expansion</w:t>
            </w:r>
          </w:p>
        </w:tc>
        <w:tc>
          <w:tcPr>
            <w:tcW w:w="763" w:type="pct"/>
            <w:tcBorders>
              <w:top w:val="nil"/>
              <w:left w:val="nil"/>
              <w:bottom w:val="nil"/>
              <w:right w:val="nil"/>
            </w:tcBorders>
          </w:tcPr>
          <w:p w14:paraId="5A97ABAC" w14:textId="77777777" w:rsidR="004961AA" w:rsidRDefault="004961AA" w:rsidP="005E22C4">
            <w:pPr>
              <w:jc w:val="left"/>
              <w:rPr>
                <w:szCs w:val="20"/>
              </w:rPr>
            </w:pPr>
          </w:p>
        </w:tc>
        <w:tc>
          <w:tcPr>
            <w:tcW w:w="763" w:type="pct"/>
            <w:tcBorders>
              <w:top w:val="nil"/>
              <w:left w:val="nil"/>
              <w:bottom w:val="nil"/>
              <w:right w:val="nil"/>
            </w:tcBorders>
          </w:tcPr>
          <w:p w14:paraId="07A1DE33" w14:textId="77777777" w:rsidR="004961AA" w:rsidRDefault="004961AA" w:rsidP="005E22C4">
            <w:pPr>
              <w:jc w:val="left"/>
              <w:rPr>
                <w:szCs w:val="20"/>
              </w:rPr>
            </w:pPr>
          </w:p>
        </w:tc>
        <w:tc>
          <w:tcPr>
            <w:tcW w:w="763" w:type="pct"/>
            <w:tcBorders>
              <w:top w:val="nil"/>
              <w:left w:val="nil"/>
              <w:bottom w:val="nil"/>
              <w:right w:val="nil"/>
            </w:tcBorders>
          </w:tcPr>
          <w:p w14:paraId="67D5EF8A" w14:textId="77777777" w:rsidR="004961AA" w:rsidRDefault="004961AA" w:rsidP="005E22C4">
            <w:pPr>
              <w:jc w:val="left"/>
              <w:rPr>
                <w:szCs w:val="20"/>
              </w:rPr>
            </w:pPr>
          </w:p>
        </w:tc>
        <w:tc>
          <w:tcPr>
            <w:tcW w:w="762" w:type="pct"/>
            <w:tcBorders>
              <w:top w:val="nil"/>
              <w:left w:val="nil"/>
              <w:bottom w:val="nil"/>
              <w:right w:val="nil"/>
            </w:tcBorders>
          </w:tcPr>
          <w:p w14:paraId="77A75C48" w14:textId="77777777" w:rsidR="004961AA" w:rsidRDefault="004961AA" w:rsidP="005E22C4">
            <w:pPr>
              <w:rPr>
                <w:szCs w:val="20"/>
              </w:rPr>
            </w:pPr>
          </w:p>
        </w:tc>
      </w:tr>
      <w:tr w:rsidR="004961AA" w:rsidRPr="005E22C4" w14:paraId="25FF8847" w14:textId="6A8C2FEA" w:rsidTr="004961AA">
        <w:trPr>
          <w:cnfStyle w:val="000000100000" w:firstRow="0" w:lastRow="0" w:firstColumn="0" w:lastColumn="0" w:oddVBand="0" w:evenVBand="0" w:oddHBand="1" w:evenHBand="0" w:firstRowFirstColumn="0" w:firstRowLastColumn="0" w:lastRowFirstColumn="0" w:lastRowLastColumn="0"/>
        </w:trPr>
        <w:tc>
          <w:tcPr>
            <w:tcW w:w="1950" w:type="pct"/>
            <w:tcBorders>
              <w:top w:val="nil"/>
              <w:left w:val="nil"/>
              <w:bottom w:val="nil"/>
              <w:right w:val="nil"/>
            </w:tcBorders>
            <w:hideMark/>
          </w:tcPr>
          <w:p w14:paraId="3E08E3C3" w14:textId="77777777" w:rsidR="004961AA" w:rsidRDefault="004961AA" w:rsidP="001D05E1">
            <w:pPr>
              <w:jc w:val="left"/>
              <w:rPr>
                <w:szCs w:val="20"/>
              </w:rPr>
            </w:pPr>
            <w:r>
              <w:rPr>
                <w:szCs w:val="20"/>
              </w:rPr>
              <w:t>Fair Hydro Plan</w:t>
            </w:r>
          </w:p>
        </w:tc>
        <w:tc>
          <w:tcPr>
            <w:tcW w:w="763" w:type="pct"/>
            <w:tcBorders>
              <w:top w:val="nil"/>
              <w:left w:val="nil"/>
              <w:bottom w:val="nil"/>
              <w:right w:val="nil"/>
            </w:tcBorders>
          </w:tcPr>
          <w:p w14:paraId="7616827C" w14:textId="77777777" w:rsidR="004961AA" w:rsidRDefault="004961AA" w:rsidP="005E22C4">
            <w:pPr>
              <w:jc w:val="left"/>
              <w:rPr>
                <w:szCs w:val="20"/>
              </w:rPr>
            </w:pPr>
          </w:p>
        </w:tc>
        <w:tc>
          <w:tcPr>
            <w:tcW w:w="763" w:type="pct"/>
            <w:tcBorders>
              <w:top w:val="nil"/>
              <w:left w:val="nil"/>
              <w:bottom w:val="nil"/>
              <w:right w:val="nil"/>
            </w:tcBorders>
          </w:tcPr>
          <w:p w14:paraId="5898B64C" w14:textId="77777777" w:rsidR="004961AA" w:rsidRDefault="004961AA" w:rsidP="005E22C4">
            <w:pPr>
              <w:jc w:val="left"/>
              <w:rPr>
                <w:szCs w:val="20"/>
              </w:rPr>
            </w:pPr>
          </w:p>
        </w:tc>
        <w:tc>
          <w:tcPr>
            <w:tcW w:w="763" w:type="pct"/>
            <w:tcBorders>
              <w:top w:val="nil"/>
              <w:left w:val="nil"/>
              <w:bottom w:val="nil"/>
              <w:right w:val="nil"/>
            </w:tcBorders>
          </w:tcPr>
          <w:p w14:paraId="75966722" w14:textId="77777777" w:rsidR="004961AA" w:rsidRDefault="004961AA" w:rsidP="005E22C4">
            <w:pPr>
              <w:jc w:val="left"/>
              <w:rPr>
                <w:szCs w:val="20"/>
              </w:rPr>
            </w:pPr>
          </w:p>
        </w:tc>
        <w:tc>
          <w:tcPr>
            <w:tcW w:w="762" w:type="pct"/>
            <w:tcBorders>
              <w:top w:val="nil"/>
              <w:left w:val="nil"/>
              <w:bottom w:val="nil"/>
              <w:right w:val="nil"/>
            </w:tcBorders>
          </w:tcPr>
          <w:p w14:paraId="1F17044B" w14:textId="77777777" w:rsidR="004961AA" w:rsidRDefault="004961AA" w:rsidP="005E22C4">
            <w:pPr>
              <w:rPr>
                <w:szCs w:val="20"/>
              </w:rPr>
            </w:pPr>
          </w:p>
        </w:tc>
      </w:tr>
      <w:tr w:rsidR="004961AA" w:rsidRPr="005E22C4" w14:paraId="06752D50" w14:textId="510C7462" w:rsidTr="004961AA">
        <w:tc>
          <w:tcPr>
            <w:tcW w:w="1950" w:type="pct"/>
            <w:tcBorders>
              <w:top w:val="nil"/>
              <w:left w:val="nil"/>
              <w:bottom w:val="nil"/>
              <w:right w:val="nil"/>
            </w:tcBorders>
            <w:hideMark/>
          </w:tcPr>
          <w:p w14:paraId="571BC842" w14:textId="39329EA2" w:rsidR="004961AA" w:rsidRDefault="004961AA" w:rsidP="001D05E1">
            <w:pPr>
              <w:jc w:val="left"/>
              <w:rPr>
                <w:szCs w:val="20"/>
              </w:rPr>
            </w:pPr>
            <w:r>
              <w:t>Caregiver Tax Credit</w:t>
            </w:r>
          </w:p>
        </w:tc>
        <w:tc>
          <w:tcPr>
            <w:tcW w:w="763" w:type="pct"/>
            <w:tcBorders>
              <w:top w:val="nil"/>
              <w:left w:val="nil"/>
              <w:bottom w:val="nil"/>
              <w:right w:val="nil"/>
            </w:tcBorders>
          </w:tcPr>
          <w:p w14:paraId="5FDE7C38" w14:textId="77777777" w:rsidR="004961AA" w:rsidRDefault="004961AA" w:rsidP="005E22C4">
            <w:pPr>
              <w:jc w:val="left"/>
              <w:rPr>
                <w:szCs w:val="20"/>
              </w:rPr>
            </w:pPr>
          </w:p>
        </w:tc>
        <w:tc>
          <w:tcPr>
            <w:tcW w:w="763" w:type="pct"/>
            <w:tcBorders>
              <w:top w:val="nil"/>
              <w:left w:val="nil"/>
              <w:bottom w:val="nil"/>
              <w:right w:val="nil"/>
            </w:tcBorders>
          </w:tcPr>
          <w:p w14:paraId="75504DED" w14:textId="77777777" w:rsidR="004961AA" w:rsidRDefault="004961AA" w:rsidP="005E22C4">
            <w:pPr>
              <w:jc w:val="left"/>
              <w:rPr>
                <w:szCs w:val="20"/>
              </w:rPr>
            </w:pPr>
          </w:p>
        </w:tc>
        <w:tc>
          <w:tcPr>
            <w:tcW w:w="763" w:type="pct"/>
            <w:tcBorders>
              <w:top w:val="nil"/>
              <w:left w:val="nil"/>
              <w:bottom w:val="nil"/>
              <w:right w:val="nil"/>
            </w:tcBorders>
          </w:tcPr>
          <w:p w14:paraId="24CA7848" w14:textId="77777777" w:rsidR="004961AA" w:rsidRDefault="004961AA" w:rsidP="005E22C4">
            <w:pPr>
              <w:jc w:val="left"/>
              <w:rPr>
                <w:szCs w:val="20"/>
              </w:rPr>
            </w:pPr>
          </w:p>
        </w:tc>
        <w:tc>
          <w:tcPr>
            <w:tcW w:w="762" w:type="pct"/>
            <w:tcBorders>
              <w:top w:val="nil"/>
              <w:left w:val="nil"/>
              <w:bottom w:val="nil"/>
              <w:right w:val="nil"/>
            </w:tcBorders>
          </w:tcPr>
          <w:p w14:paraId="65D9A3D9" w14:textId="77777777" w:rsidR="004961AA" w:rsidRDefault="004961AA" w:rsidP="005E22C4">
            <w:pPr>
              <w:rPr>
                <w:szCs w:val="20"/>
              </w:rPr>
            </w:pPr>
          </w:p>
        </w:tc>
      </w:tr>
      <w:tr w:rsidR="004961AA" w:rsidRPr="005E22C4" w14:paraId="07FA8A7F" w14:textId="696FAA46" w:rsidTr="004961AA">
        <w:trPr>
          <w:cnfStyle w:val="000000100000" w:firstRow="0" w:lastRow="0" w:firstColumn="0" w:lastColumn="0" w:oddVBand="0" w:evenVBand="0" w:oddHBand="1" w:evenHBand="0" w:firstRowFirstColumn="0" w:firstRowLastColumn="0" w:lastRowFirstColumn="0" w:lastRowLastColumn="0"/>
        </w:trPr>
        <w:tc>
          <w:tcPr>
            <w:tcW w:w="1950" w:type="pct"/>
            <w:tcBorders>
              <w:top w:val="nil"/>
              <w:left w:val="nil"/>
              <w:bottom w:val="nil"/>
              <w:right w:val="nil"/>
            </w:tcBorders>
          </w:tcPr>
          <w:p w14:paraId="585810A8" w14:textId="77777777" w:rsidR="004961AA" w:rsidRDefault="004961AA" w:rsidP="001D05E1">
            <w:pPr>
              <w:jc w:val="left"/>
              <w:rPr>
                <w:szCs w:val="20"/>
              </w:rPr>
            </w:pPr>
            <w:r>
              <w:rPr>
                <w:szCs w:val="20"/>
              </w:rPr>
              <w:t>Other major programs?</w:t>
            </w:r>
          </w:p>
        </w:tc>
        <w:tc>
          <w:tcPr>
            <w:tcW w:w="763" w:type="pct"/>
            <w:tcBorders>
              <w:top w:val="nil"/>
              <w:left w:val="nil"/>
              <w:bottom w:val="nil"/>
              <w:right w:val="nil"/>
            </w:tcBorders>
          </w:tcPr>
          <w:p w14:paraId="4583D885" w14:textId="77777777" w:rsidR="004961AA" w:rsidRDefault="004961AA" w:rsidP="005E22C4">
            <w:pPr>
              <w:jc w:val="left"/>
              <w:rPr>
                <w:szCs w:val="20"/>
              </w:rPr>
            </w:pPr>
          </w:p>
        </w:tc>
        <w:tc>
          <w:tcPr>
            <w:tcW w:w="763" w:type="pct"/>
            <w:tcBorders>
              <w:top w:val="nil"/>
              <w:left w:val="nil"/>
              <w:bottom w:val="nil"/>
              <w:right w:val="nil"/>
            </w:tcBorders>
          </w:tcPr>
          <w:p w14:paraId="6E1637D6" w14:textId="77777777" w:rsidR="004961AA" w:rsidRDefault="004961AA" w:rsidP="005E22C4">
            <w:pPr>
              <w:jc w:val="left"/>
              <w:rPr>
                <w:szCs w:val="20"/>
              </w:rPr>
            </w:pPr>
          </w:p>
        </w:tc>
        <w:tc>
          <w:tcPr>
            <w:tcW w:w="763" w:type="pct"/>
            <w:tcBorders>
              <w:top w:val="nil"/>
              <w:left w:val="nil"/>
              <w:bottom w:val="nil"/>
              <w:right w:val="nil"/>
            </w:tcBorders>
          </w:tcPr>
          <w:p w14:paraId="6568FE8E" w14:textId="77777777" w:rsidR="004961AA" w:rsidRDefault="004961AA" w:rsidP="005E22C4">
            <w:pPr>
              <w:jc w:val="left"/>
              <w:rPr>
                <w:szCs w:val="20"/>
              </w:rPr>
            </w:pPr>
          </w:p>
        </w:tc>
        <w:tc>
          <w:tcPr>
            <w:tcW w:w="762" w:type="pct"/>
            <w:tcBorders>
              <w:top w:val="nil"/>
              <w:left w:val="nil"/>
              <w:bottom w:val="nil"/>
              <w:right w:val="nil"/>
            </w:tcBorders>
          </w:tcPr>
          <w:p w14:paraId="7BE43597" w14:textId="77777777" w:rsidR="004961AA" w:rsidRDefault="004961AA" w:rsidP="005E22C4">
            <w:pPr>
              <w:rPr>
                <w:szCs w:val="20"/>
              </w:rPr>
            </w:pPr>
          </w:p>
        </w:tc>
      </w:tr>
    </w:tbl>
    <w:p w14:paraId="62FDA70C" w14:textId="77777777" w:rsidR="00FC2CB3" w:rsidRPr="00FC2CB3" w:rsidRDefault="00FC2CB3" w:rsidP="00FC2CB3"/>
    <w:p w14:paraId="3DBC6CBA" w14:textId="79E78E7F" w:rsidR="00FC2CB3" w:rsidRDefault="00FC2CB3" w:rsidP="00551A50">
      <w:pPr>
        <w:pStyle w:val="Heading4"/>
      </w:pPr>
      <w:r>
        <w:t>Debt</w:t>
      </w:r>
    </w:p>
    <w:p w14:paraId="26727990" w14:textId="092738B2" w:rsidR="00551A50" w:rsidRDefault="00551A50" w:rsidP="00551A50">
      <w:pPr>
        <w:pStyle w:val="BulletList"/>
        <w:spacing w:after="120"/>
        <w:ind w:left="714" w:hanging="357"/>
        <w:contextualSpacing w:val="0"/>
      </w:pPr>
      <w:r>
        <w:t>The budge</w:t>
      </w:r>
      <w:r w:rsidR="00CA1200">
        <w:t>t indicated that the government</w:t>
      </w:r>
      <w:r>
        <w:t xml:space="preserve"> aims to reduce the net debt to GDP target to 35 per cent by 2023-24 and 27 per cent by 2028-29. </w:t>
      </w:r>
      <w:r w:rsidR="009C00E0">
        <w:t>W</w:t>
      </w:r>
      <w:r>
        <w:t xml:space="preserve">hat assumptions </w:t>
      </w:r>
      <w:r w:rsidR="009C00E0">
        <w:t xml:space="preserve">are built into this projection </w:t>
      </w:r>
      <w:r>
        <w:t>for nominal GDP, the budget balance, and capital expenditure?</w:t>
      </w:r>
    </w:p>
    <w:p w14:paraId="604EDA23" w14:textId="77F12BD6" w:rsidR="00551A50" w:rsidRDefault="009C00E0" w:rsidP="00F714B2">
      <w:pPr>
        <w:pStyle w:val="BulletList"/>
        <w:spacing w:after="120"/>
        <w:ind w:left="714" w:hanging="357"/>
        <w:contextualSpacing w:val="0"/>
      </w:pPr>
      <w:r>
        <w:lastRenderedPageBreak/>
        <w:t xml:space="preserve">What’s the explanation for the increase in </w:t>
      </w:r>
      <w:r w:rsidR="009600E1">
        <w:t>cash reserves</w:t>
      </w:r>
      <w:r>
        <w:t xml:space="preserve">? Is it </w:t>
      </w:r>
      <w:r w:rsidR="00551A50">
        <w:t xml:space="preserve">related to recent changes in rating criteria requiring more liquid reserves covering the issuance of </w:t>
      </w:r>
      <w:r w:rsidR="00CA1200">
        <w:t>commercial paper</w:t>
      </w:r>
      <w:r w:rsidR="00551A50">
        <w:t xml:space="preserve"> debt?</w:t>
      </w:r>
    </w:p>
    <w:p w14:paraId="46B5DCA8" w14:textId="77777777" w:rsidR="00F714B2" w:rsidRDefault="00F714B2" w:rsidP="00F714B2">
      <w:pPr>
        <w:pStyle w:val="BulletList"/>
      </w:pPr>
      <w:r>
        <w:t xml:space="preserve">What is a </w:t>
      </w:r>
      <w:r w:rsidRPr="00E96E31">
        <w:rPr>
          <w:rFonts w:cs="Segoe UI"/>
          <w:color w:val="292B2C"/>
          <w:lang w:val="en"/>
        </w:rPr>
        <w:t>Designated Purpose Account</w:t>
      </w:r>
      <w:r>
        <w:rPr>
          <w:rFonts w:cs="Segoe UI"/>
          <w:color w:val="292B2C"/>
          <w:lang w:val="en"/>
        </w:rPr>
        <w:t>?</w:t>
      </w:r>
    </w:p>
    <w:p w14:paraId="4BBB1EA7" w14:textId="77777777" w:rsidR="00551A50" w:rsidRPr="00551A50" w:rsidRDefault="00551A50" w:rsidP="00551A50"/>
    <w:sectPr w:rsidR="00551A50" w:rsidRPr="00551A50" w:rsidSect="007D5D1C">
      <w:headerReference w:type="default" r:id="rId8"/>
      <w:footerReference w:type="default" r:id="rId9"/>
      <w:pgSz w:w="12240" w:h="15840"/>
      <w:pgMar w:top="873" w:right="873" w:bottom="873" w:left="873" w:header="62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CA8CA" w14:textId="77777777" w:rsidR="00A07AE2" w:rsidRDefault="00A07AE2" w:rsidP="00BD7D7C">
      <w:r>
        <w:separator/>
      </w:r>
    </w:p>
  </w:endnote>
  <w:endnote w:type="continuationSeparator" w:id="0">
    <w:p w14:paraId="016742DF" w14:textId="77777777" w:rsidR="00A07AE2" w:rsidRDefault="00A07AE2" w:rsidP="00BD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Ebrima">
    <w:panose1 w:val="02000000000000000000"/>
    <w:charset w:val="00"/>
    <w:family w:val="auto"/>
    <w:pitch w:val="variable"/>
    <w:sig w:usb0="A000005F" w:usb1="02000041"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Helvetica Neue Light">
    <w:charset w:val="00"/>
    <w:family w:val="auto"/>
    <w:pitch w:val="variable"/>
    <w:sig w:usb0="A00002FF" w:usb1="5000205B" w:usb2="00000002"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3" w:type="pct"/>
      <w:jc w:val="center"/>
      <w:tblCellMar>
        <w:top w:w="144" w:type="dxa"/>
        <w:left w:w="0" w:type="dxa"/>
        <w:bottom w:w="144" w:type="dxa"/>
        <w:right w:w="115" w:type="dxa"/>
      </w:tblCellMar>
      <w:tblLook w:val="04A0" w:firstRow="1" w:lastRow="0" w:firstColumn="1" w:lastColumn="0" w:noHBand="0" w:noVBand="1"/>
    </w:tblPr>
    <w:tblGrid>
      <w:gridCol w:w="6068"/>
      <w:gridCol w:w="4705"/>
    </w:tblGrid>
    <w:tr w:rsidR="00C5169D" w14:paraId="1B35172A" w14:textId="77777777" w:rsidTr="007D5D1C">
      <w:trPr>
        <w:trHeight w:hRule="exact" w:val="57"/>
        <w:jc w:val="center"/>
      </w:trPr>
      <w:tc>
        <w:tcPr>
          <w:tcW w:w="6068" w:type="dxa"/>
          <w:shd w:val="clear" w:color="auto" w:fill="0F60D5"/>
          <w:tcMar>
            <w:top w:w="0" w:type="dxa"/>
            <w:bottom w:w="0" w:type="dxa"/>
          </w:tcMar>
        </w:tcPr>
        <w:p w14:paraId="16B08398" w14:textId="77777777" w:rsidR="00C5169D" w:rsidRDefault="00C5169D" w:rsidP="007D5D1C">
          <w:pPr>
            <w:pStyle w:val="Header"/>
            <w:tabs>
              <w:tab w:val="clear" w:pos="4680"/>
              <w:tab w:val="clear" w:pos="9360"/>
            </w:tabs>
            <w:ind w:left="851"/>
            <w:rPr>
              <w:caps/>
              <w:sz w:val="18"/>
            </w:rPr>
          </w:pPr>
        </w:p>
      </w:tc>
      <w:tc>
        <w:tcPr>
          <w:tcW w:w="4705" w:type="dxa"/>
          <w:shd w:val="clear" w:color="auto" w:fill="0F60D5"/>
          <w:tcMar>
            <w:top w:w="0" w:type="dxa"/>
            <w:bottom w:w="0" w:type="dxa"/>
          </w:tcMar>
        </w:tcPr>
        <w:p w14:paraId="0CB51D63" w14:textId="77777777" w:rsidR="00C5169D" w:rsidRDefault="00C5169D">
          <w:pPr>
            <w:pStyle w:val="Header"/>
            <w:tabs>
              <w:tab w:val="clear" w:pos="4680"/>
              <w:tab w:val="clear" w:pos="9360"/>
            </w:tabs>
            <w:jc w:val="right"/>
            <w:rPr>
              <w:caps/>
              <w:sz w:val="18"/>
            </w:rPr>
          </w:pPr>
        </w:p>
      </w:tc>
    </w:tr>
    <w:tr w:rsidR="00C5169D" w14:paraId="23899C95" w14:textId="77777777" w:rsidTr="007D5D1C">
      <w:trPr>
        <w:trHeight w:val="113"/>
        <w:jc w:val="center"/>
      </w:trPr>
      <w:tc>
        <w:tcPr>
          <w:tcW w:w="6068" w:type="dxa"/>
          <w:shd w:val="clear" w:color="auto" w:fill="auto"/>
          <w:vAlign w:val="center"/>
        </w:tcPr>
        <w:p w14:paraId="5EC66293" w14:textId="77777777" w:rsidR="00C5169D" w:rsidRDefault="00C5169D" w:rsidP="007A2857">
          <w:pPr>
            <w:pStyle w:val="Footer"/>
            <w:tabs>
              <w:tab w:val="clear" w:pos="4680"/>
              <w:tab w:val="clear" w:pos="9360"/>
            </w:tabs>
            <w:rPr>
              <w:caps/>
              <w:color w:val="808080" w:themeColor="background1" w:themeShade="80"/>
              <w:sz w:val="18"/>
              <w:szCs w:val="18"/>
            </w:rPr>
          </w:pPr>
          <w:r>
            <w:rPr>
              <w:color w:val="808080" w:themeColor="background1" w:themeShade="80"/>
              <w:sz w:val="18"/>
              <w:szCs w:val="18"/>
            </w:rPr>
            <w:t>Financial Accountability Office of Ontario | fao-on.org</w:t>
          </w:r>
        </w:p>
      </w:tc>
      <w:tc>
        <w:tcPr>
          <w:tcW w:w="4705" w:type="dxa"/>
          <w:shd w:val="clear" w:color="auto" w:fill="auto"/>
          <w:vAlign w:val="center"/>
        </w:tcPr>
        <w:p w14:paraId="7BC083B4" w14:textId="138C7F68" w:rsidR="00C5169D" w:rsidRDefault="00C5169D">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992B9A">
            <w:rPr>
              <w:caps/>
              <w:noProof/>
              <w:color w:val="808080" w:themeColor="background1" w:themeShade="80"/>
              <w:sz w:val="18"/>
              <w:szCs w:val="18"/>
            </w:rPr>
            <w:t>1</w:t>
          </w:r>
          <w:r>
            <w:rPr>
              <w:caps/>
              <w:noProof/>
              <w:color w:val="808080" w:themeColor="background1" w:themeShade="80"/>
              <w:sz w:val="18"/>
              <w:szCs w:val="18"/>
            </w:rPr>
            <w:fldChar w:fldCharType="end"/>
          </w:r>
        </w:p>
      </w:tc>
    </w:tr>
  </w:tbl>
  <w:p w14:paraId="7148D445" w14:textId="77777777" w:rsidR="00C5169D" w:rsidRPr="007A2857" w:rsidRDefault="00C5169D" w:rsidP="007A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43D4C" w14:textId="77777777" w:rsidR="00A07AE2" w:rsidRDefault="00A07AE2" w:rsidP="00BD7D7C">
      <w:r>
        <w:separator/>
      </w:r>
    </w:p>
  </w:footnote>
  <w:footnote w:type="continuationSeparator" w:id="0">
    <w:p w14:paraId="53A95FBB" w14:textId="77777777" w:rsidR="00A07AE2" w:rsidRDefault="00A07AE2" w:rsidP="00BD7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76BC1" w14:textId="2B953354" w:rsidR="00C5169D" w:rsidRDefault="00C5169D" w:rsidP="007D5D1C">
    <w:pPr>
      <w:pStyle w:val="Heading2"/>
      <w:ind w:right="4"/>
      <w:jc w:val="left"/>
    </w:pPr>
    <w:r>
      <mc:AlternateContent>
        <mc:Choice Requires="wps">
          <w:drawing>
            <wp:anchor distT="0" distB="0" distL="114300" distR="114300" simplePos="0" relativeHeight="251665408" behindDoc="0" locked="0" layoutInCell="1" allowOverlap="1" wp14:anchorId="1C52C669" wp14:editId="2E926112">
              <wp:simplePos x="0" y="0"/>
              <wp:positionH relativeFrom="column">
                <wp:posOffset>4636135</wp:posOffset>
              </wp:positionH>
              <wp:positionV relativeFrom="paragraph">
                <wp:posOffset>347345</wp:posOffset>
              </wp:positionV>
              <wp:extent cx="2065020" cy="25273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65020" cy="2527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C4697B" w14:textId="2DE12206" w:rsidR="00C5169D" w:rsidRPr="00387467" w:rsidRDefault="00C5169D" w:rsidP="00735AE9">
                          <w:pPr>
                            <w:pStyle w:val="DateFAO"/>
                          </w:pPr>
                          <w:r>
                            <w:t>April 28,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type w14:anchorId="1C52C669" id="_x0000_t202" coordsize="21600,21600" o:spt="202" path="m,l,21600r21600,l21600,xe">
              <v:stroke joinstyle="miter"/>
              <v:path gradientshapeok="t" o:connecttype="rect"/>
            </v:shapetype>
            <v:shape id="Text Box 1" o:spid="_x0000_s1026" type="#_x0000_t202" style="position:absolute;margin-left:365.05pt;margin-top:27.35pt;width:162.6pt;height:19.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ckdwIAAFQFAAAOAAAAZHJzL2Uyb0RvYy54bWysVF1v0zAUfUfiP1h+Z2nLPqBaOpVNQ0jT&#10;NrGiPbuO3UY4vsZ2m5Rfz7GTdmPwMsSL49zve+65Pr/oGsO2yoeabMnHRyPOlJVU1XZV8m+L63cf&#10;OAtR2EoYsqrkOxX4xeztm/PWTdWE1mQq5RmC2DBtXcnXMbppUQS5Vo0IR+SUhVKTb0TEr18VlRct&#10;ojemmIxGp0VLvnKepAoB0qteyWc5vtZKxjutg4rMlBy1xXz6fC7TWczOxXTlhVvXcihD/EMVjagt&#10;kh5CXYko2MbXf4RqaukpkI5HkpqCtK6lyj2gm/HoRTcPa+FU7gXgBHeAKfy/sPJ2e+9ZXWF2nFnR&#10;YEQL1UX2iTo2Tui0Lkxh9OBgFjuIk+UgDxCmpjvtm/RFOwx64Lw7YJuCSQgno9OT0QQqCd3kZHL2&#10;PoNfPHk7H+JnRQ1Ll5J7zC5DKrY3ISIjTPcmKZml69qYPD9jfxPAMEmKVHpfYr7FnVHJztivSqPl&#10;XGkSBOlXy0vjWc8LEBdl7tmRg8EhGWokfKXv4JK8VabjK/0PTjk/2Xjwb2pLPgOUl0WlBrYCNK++&#10;5wGhcN3b76HoAUhYxG7ZDTNcUrXDaD31qxGcvK6B/40I8V547AKwwH7HOxzaUFtyGm6crcn//Js8&#10;2YOi0HLWYrdKHn5shFecmS8W5P04Pj5G2Jh/jk/OEi38c83yucZumktCXyAoqsvXZB/N/qo9NY94&#10;BuYpK1TCSuQuedxfL2M/WTwjUs3n2Qjr50S8sQ9OptAJ3sSuRfcovBsoGEHeW9pvoZi+YGJvmzwt&#10;zTeRdJ1pmgDuUR2Ax+pm9g7PTHobnv9nq6fHcPYLAAD//wMAUEsDBBQABgAIAAAAIQASDlvR3gAA&#10;AAoBAAAPAAAAZHJzL2Rvd25yZXYueG1sTI/BTsMwEETvSPyDtUjcqF0a0zZkUyEQVxAFKnFz420S&#10;Ea+j2G3C3+Oe4Liap5m3xWZynTjREFrPCPOZAkFcedtyjfDx/nyzAhGiYWs6z4TwQwE25eVFYXLr&#10;R36j0zbWIpVwyA1CE2OfSxmqhpwJM98Tp+zgB2diOoda2sGMqdx18lapO+lMy2mhMT09NlR9b48O&#10;4fPl8LXL1Gv95HQ/+klJdmuJeH01PdyDiDTFPxjO+kkdyuS090e2QXQIy4WaJxRBZ0sQZ0BpvQCx&#10;R1hnGmRZyP8vlL8AAAD//wMAUEsBAi0AFAAGAAgAAAAhALaDOJL+AAAA4QEAABMAAAAAAAAAAAAA&#10;AAAAAAAAAFtDb250ZW50X1R5cGVzXS54bWxQSwECLQAUAAYACAAAACEAOP0h/9YAAACUAQAACwAA&#10;AAAAAAAAAAAAAAAvAQAAX3JlbHMvLnJlbHNQSwECLQAUAAYACAAAACEAq73HJHcCAABUBQAADgAA&#10;AAAAAAAAAAAAAAAuAgAAZHJzL2Uyb0RvYy54bWxQSwECLQAUAAYACAAAACEAEg5b0d4AAAAKAQAA&#10;DwAAAAAAAAAAAAAAAADRBAAAZHJzL2Rvd25yZXYueG1sUEsFBgAAAAAEAAQA8wAAANwFAAAAAA==&#10;" filled="f" stroked="f">
              <v:textbox>
                <w:txbxContent>
                  <w:p w14:paraId="25C4697B" w14:textId="2DE12206" w:rsidR="00EE0B7B" w:rsidRPr="00387467" w:rsidRDefault="00046A7E" w:rsidP="00735AE9">
                    <w:pPr>
                      <w:pStyle w:val="DateFAO"/>
                    </w:pPr>
                    <w:r>
                      <w:t>April 28, 2017</w:t>
                    </w:r>
                  </w:p>
                </w:txbxContent>
              </v:textbox>
            </v:shape>
          </w:pict>
        </mc:Fallback>
      </mc:AlternateContent>
    </w:r>
    <w:r>
      <w:drawing>
        <wp:anchor distT="0" distB="0" distL="114300" distR="114300" simplePos="0" relativeHeight="251663360" behindDoc="0" locked="0" layoutInCell="1" allowOverlap="1" wp14:anchorId="40A2A87C" wp14:editId="3B2678AF">
          <wp:simplePos x="0" y="0"/>
          <wp:positionH relativeFrom="column">
            <wp:posOffset>-76835</wp:posOffset>
          </wp:positionH>
          <wp:positionV relativeFrom="paragraph">
            <wp:posOffset>77470</wp:posOffset>
          </wp:positionV>
          <wp:extent cx="977900" cy="525145"/>
          <wp:effectExtent l="0" t="0" r="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 t="8036" r="47016" b="17858"/>
                  <a:stretch/>
                </pic:blipFill>
                <pic:spPr bwMode="auto">
                  <a:xfrm>
                    <a:off x="0" y="0"/>
                    <a:ext cx="977900"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Questions for MOF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C65F2"/>
    <w:multiLevelType w:val="hybridMultilevel"/>
    <w:tmpl w:val="EDB6EEE6"/>
    <w:lvl w:ilvl="0" w:tplc="3D400A3C">
      <w:start w:val="1"/>
      <w:numFmt w:val="bullet"/>
      <w:lvlText w:val="-"/>
      <w:lvlJc w:val="left"/>
      <w:pPr>
        <w:ind w:left="360" w:hanging="360"/>
      </w:pPr>
      <w:rPr>
        <w:rFonts w:ascii="Calibri" w:eastAsia="Calibri" w:hAnsi="Calibri" w:cs="Calibri"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 w15:restartNumberingAfterBreak="0">
    <w:nsid w:val="46E21180"/>
    <w:multiLevelType w:val="hybridMultilevel"/>
    <w:tmpl w:val="511AC2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61FF3AC5"/>
    <w:multiLevelType w:val="hybridMultilevel"/>
    <w:tmpl w:val="3FB42FE8"/>
    <w:lvl w:ilvl="0" w:tplc="3A2ACB98">
      <w:start w:val="1"/>
      <w:numFmt w:val="bullet"/>
      <w:pStyle w:val="BulletLis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2"/>
  </w:num>
  <w:num w:numId="4">
    <w:abstractNumId w:val="2"/>
  </w:num>
  <w:num w:numId="5">
    <w:abstractNumId w:val="2"/>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F6"/>
    <w:rsid w:val="00044D37"/>
    <w:rsid w:val="00046A7E"/>
    <w:rsid w:val="00047F84"/>
    <w:rsid w:val="000858DD"/>
    <w:rsid w:val="000B38E7"/>
    <w:rsid w:val="000C386A"/>
    <w:rsid w:val="00117521"/>
    <w:rsid w:val="00125E6A"/>
    <w:rsid w:val="00136878"/>
    <w:rsid w:val="001B7B42"/>
    <w:rsid w:val="001D05E1"/>
    <w:rsid w:val="001D5CCE"/>
    <w:rsid w:val="001E0A57"/>
    <w:rsid w:val="00210F3E"/>
    <w:rsid w:val="00254612"/>
    <w:rsid w:val="00370E68"/>
    <w:rsid w:val="00387467"/>
    <w:rsid w:val="003932F3"/>
    <w:rsid w:val="003C6DE5"/>
    <w:rsid w:val="003F3ED5"/>
    <w:rsid w:val="003F7514"/>
    <w:rsid w:val="00421CD7"/>
    <w:rsid w:val="00434871"/>
    <w:rsid w:val="00450095"/>
    <w:rsid w:val="004961AA"/>
    <w:rsid w:val="004A2C22"/>
    <w:rsid w:val="005356DE"/>
    <w:rsid w:val="00537AF6"/>
    <w:rsid w:val="005505CB"/>
    <w:rsid w:val="00551A50"/>
    <w:rsid w:val="005540AD"/>
    <w:rsid w:val="005B088C"/>
    <w:rsid w:val="005D2464"/>
    <w:rsid w:val="005E22C4"/>
    <w:rsid w:val="005F3D97"/>
    <w:rsid w:val="005F61CF"/>
    <w:rsid w:val="00600DAB"/>
    <w:rsid w:val="006202F0"/>
    <w:rsid w:val="00642E87"/>
    <w:rsid w:val="00675DC2"/>
    <w:rsid w:val="006923B0"/>
    <w:rsid w:val="006D5DCD"/>
    <w:rsid w:val="006E295A"/>
    <w:rsid w:val="00735AE9"/>
    <w:rsid w:val="007A0FEC"/>
    <w:rsid w:val="007A2857"/>
    <w:rsid w:val="007B7AFB"/>
    <w:rsid w:val="007C0FA6"/>
    <w:rsid w:val="007D5D1C"/>
    <w:rsid w:val="00846CB5"/>
    <w:rsid w:val="00872002"/>
    <w:rsid w:val="008E5BE7"/>
    <w:rsid w:val="008F0BEF"/>
    <w:rsid w:val="009005E3"/>
    <w:rsid w:val="009600E1"/>
    <w:rsid w:val="009758F3"/>
    <w:rsid w:val="00986E2A"/>
    <w:rsid w:val="00991A1F"/>
    <w:rsid w:val="00992B9A"/>
    <w:rsid w:val="009C00E0"/>
    <w:rsid w:val="009D2FB7"/>
    <w:rsid w:val="009D32D2"/>
    <w:rsid w:val="00A07AE2"/>
    <w:rsid w:val="00A14C74"/>
    <w:rsid w:val="00A42190"/>
    <w:rsid w:val="00A63123"/>
    <w:rsid w:val="00A75DE8"/>
    <w:rsid w:val="00A861E8"/>
    <w:rsid w:val="00AD44B8"/>
    <w:rsid w:val="00B16E88"/>
    <w:rsid w:val="00B20852"/>
    <w:rsid w:val="00B355D1"/>
    <w:rsid w:val="00B4297B"/>
    <w:rsid w:val="00BD7D7C"/>
    <w:rsid w:val="00BE4A6C"/>
    <w:rsid w:val="00C5169D"/>
    <w:rsid w:val="00CA1200"/>
    <w:rsid w:val="00CC3F6A"/>
    <w:rsid w:val="00CD7492"/>
    <w:rsid w:val="00D0090C"/>
    <w:rsid w:val="00D14423"/>
    <w:rsid w:val="00D30E03"/>
    <w:rsid w:val="00DC69CF"/>
    <w:rsid w:val="00DF1F40"/>
    <w:rsid w:val="00E00419"/>
    <w:rsid w:val="00E03974"/>
    <w:rsid w:val="00E3272D"/>
    <w:rsid w:val="00E61E23"/>
    <w:rsid w:val="00E96E31"/>
    <w:rsid w:val="00EE0B7B"/>
    <w:rsid w:val="00EE2241"/>
    <w:rsid w:val="00F00A09"/>
    <w:rsid w:val="00F714B2"/>
    <w:rsid w:val="00F74E1A"/>
    <w:rsid w:val="00F8322B"/>
    <w:rsid w:val="00FC2C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F50FD"/>
  <w15:chartTrackingRefBased/>
  <w15:docId w15:val="{35952465-A839-4CAF-807D-FAAD58C6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AF6"/>
    <w:pPr>
      <w:spacing w:after="0" w:line="240" w:lineRule="auto"/>
    </w:pPr>
    <w:rPr>
      <w:rFonts w:ascii="Calibri" w:hAnsi="Calibri" w:cs="Calibri"/>
    </w:rPr>
  </w:style>
  <w:style w:type="paragraph" w:styleId="Heading1">
    <w:name w:val="heading 1"/>
    <w:basedOn w:val="Normal"/>
    <w:next w:val="Normal"/>
    <w:link w:val="Heading1Char"/>
    <w:uiPriority w:val="9"/>
    <w:qFormat/>
    <w:rsid w:val="00735AE9"/>
    <w:pPr>
      <w:keepNext/>
      <w:keepLines/>
      <w:spacing w:before="240"/>
      <w:outlineLvl w:val="0"/>
    </w:pPr>
    <w:rPr>
      <w:rFonts w:asciiTheme="majorHAnsi" w:eastAsiaTheme="majorEastAsia" w:hAnsiTheme="majorHAnsi" w:cstheme="majorBidi"/>
      <w:color w:val="132037" w:themeColor="accent1" w:themeShade="BF"/>
      <w:sz w:val="32"/>
      <w:szCs w:val="32"/>
    </w:rPr>
  </w:style>
  <w:style w:type="paragraph" w:styleId="Heading2">
    <w:name w:val="heading 2"/>
    <w:basedOn w:val="Heading1"/>
    <w:next w:val="Normal"/>
    <w:link w:val="Heading2Char"/>
    <w:uiPriority w:val="9"/>
    <w:unhideWhenUsed/>
    <w:qFormat/>
    <w:rsid w:val="00735AE9"/>
    <w:pPr>
      <w:keepNext w:val="0"/>
      <w:keepLines w:val="0"/>
      <w:pBdr>
        <w:bottom w:val="single" w:sz="36" w:space="1" w:color="0F60D5"/>
      </w:pBdr>
      <w:spacing w:before="360" w:after="100" w:afterAutospacing="1"/>
      <w:jc w:val="right"/>
      <w:outlineLvl w:val="1"/>
    </w:pPr>
    <w:rPr>
      <w:rFonts w:ascii="Ebrima" w:eastAsiaTheme="minorHAnsi" w:hAnsi="Ebrima" w:cstheme="minorBidi"/>
      <w:b/>
      <w:noProof/>
      <w:color w:val="808080"/>
      <w:sz w:val="48"/>
      <w:szCs w:val="48"/>
      <w:lang w:eastAsia="en-CA"/>
    </w:rPr>
  </w:style>
  <w:style w:type="paragraph" w:styleId="Heading3">
    <w:name w:val="heading 3"/>
    <w:basedOn w:val="Normal"/>
    <w:next w:val="Normal"/>
    <w:link w:val="Heading3Char"/>
    <w:uiPriority w:val="9"/>
    <w:unhideWhenUsed/>
    <w:qFormat/>
    <w:rsid w:val="00735AE9"/>
    <w:pPr>
      <w:spacing w:after="100" w:afterAutospacing="1"/>
      <w:ind w:left="709" w:hanging="709"/>
      <w:outlineLvl w:val="2"/>
    </w:pPr>
    <w:rPr>
      <w:b/>
      <w:color w:val="0F60D5"/>
      <w:sz w:val="28"/>
      <w:szCs w:val="28"/>
    </w:rPr>
  </w:style>
  <w:style w:type="paragraph" w:styleId="Heading4">
    <w:name w:val="heading 4"/>
    <w:basedOn w:val="Normal"/>
    <w:next w:val="Normal"/>
    <w:link w:val="Heading4Char"/>
    <w:uiPriority w:val="9"/>
    <w:unhideWhenUsed/>
    <w:qFormat/>
    <w:rsid w:val="00735AE9"/>
    <w:pPr>
      <w:ind w:left="709" w:hanging="709"/>
      <w:outlineLvl w:val="3"/>
    </w:pPr>
    <w:rPr>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styleId="Header">
    <w:name w:val="header"/>
    <w:basedOn w:val="Normal"/>
    <w:link w:val="HeaderChar"/>
    <w:uiPriority w:val="99"/>
    <w:unhideWhenUsed/>
    <w:rsid w:val="00BD7D7C"/>
    <w:pPr>
      <w:tabs>
        <w:tab w:val="center" w:pos="4680"/>
        <w:tab w:val="right" w:pos="9360"/>
      </w:tabs>
    </w:pPr>
  </w:style>
  <w:style w:type="character" w:customStyle="1" w:styleId="HeaderChar">
    <w:name w:val="Header Char"/>
    <w:basedOn w:val="DefaultParagraphFont"/>
    <w:link w:val="Header"/>
    <w:uiPriority w:val="99"/>
    <w:rsid w:val="00BD7D7C"/>
  </w:style>
  <w:style w:type="paragraph" w:styleId="Footer">
    <w:name w:val="footer"/>
    <w:basedOn w:val="Normal"/>
    <w:link w:val="FooterChar"/>
    <w:uiPriority w:val="99"/>
    <w:unhideWhenUsed/>
    <w:rsid w:val="00BD7D7C"/>
    <w:pPr>
      <w:tabs>
        <w:tab w:val="center" w:pos="4680"/>
        <w:tab w:val="right" w:pos="9360"/>
      </w:tabs>
    </w:pPr>
  </w:style>
  <w:style w:type="character" w:customStyle="1" w:styleId="FooterChar">
    <w:name w:val="Footer Char"/>
    <w:basedOn w:val="DefaultParagraphFont"/>
    <w:link w:val="Footer"/>
    <w:uiPriority w:val="99"/>
    <w:rsid w:val="00BD7D7C"/>
  </w:style>
  <w:style w:type="paragraph" w:styleId="BalloonText">
    <w:name w:val="Balloon Text"/>
    <w:basedOn w:val="Normal"/>
    <w:link w:val="BalloonTextChar"/>
    <w:uiPriority w:val="99"/>
    <w:semiHidden/>
    <w:unhideWhenUsed/>
    <w:rsid w:val="00BD7D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D7C"/>
    <w:rPr>
      <w:rFonts w:ascii="Segoe UI" w:hAnsi="Segoe UI" w:cs="Segoe UI"/>
      <w:sz w:val="18"/>
      <w:szCs w:val="18"/>
    </w:rPr>
  </w:style>
  <w:style w:type="character" w:customStyle="1" w:styleId="Heading2Char">
    <w:name w:val="Heading 2 Char"/>
    <w:basedOn w:val="DefaultParagraphFont"/>
    <w:link w:val="Heading2"/>
    <w:uiPriority w:val="9"/>
    <w:rsid w:val="00735AE9"/>
    <w:rPr>
      <w:rFonts w:ascii="Ebrima" w:hAnsi="Ebrima"/>
      <w:b/>
      <w:noProof/>
      <w:color w:val="808080"/>
      <w:sz w:val="48"/>
      <w:szCs w:val="48"/>
      <w:lang w:eastAsia="en-CA"/>
    </w:rPr>
  </w:style>
  <w:style w:type="character" w:customStyle="1" w:styleId="Heading3Char">
    <w:name w:val="Heading 3 Char"/>
    <w:basedOn w:val="DefaultParagraphFont"/>
    <w:link w:val="Heading3"/>
    <w:uiPriority w:val="9"/>
    <w:rsid w:val="00735AE9"/>
    <w:rPr>
      <w:rFonts w:ascii="Ebrima" w:hAnsi="Ebrima"/>
      <w:b/>
      <w:color w:val="0F60D5"/>
      <w:sz w:val="28"/>
      <w:szCs w:val="28"/>
    </w:rPr>
  </w:style>
  <w:style w:type="character" w:customStyle="1" w:styleId="Heading4Char">
    <w:name w:val="Heading 4 Char"/>
    <w:basedOn w:val="DefaultParagraphFont"/>
    <w:link w:val="Heading4"/>
    <w:uiPriority w:val="9"/>
    <w:rsid w:val="00735AE9"/>
    <w:rPr>
      <w:rFonts w:ascii="Ebrima" w:hAnsi="Ebrima"/>
      <w:b/>
      <w:noProof/>
      <w:sz w:val="20"/>
      <w:szCs w:val="20"/>
    </w:rPr>
  </w:style>
  <w:style w:type="paragraph" w:customStyle="1" w:styleId="Tablenotes">
    <w:name w:val="Table notes"/>
    <w:qFormat/>
    <w:rsid w:val="00735AE9"/>
    <w:pPr>
      <w:pBdr>
        <w:bottom w:val="single" w:sz="8" w:space="1" w:color="0070C0"/>
      </w:pBdr>
    </w:pPr>
    <w:rPr>
      <w:rFonts w:ascii="Ebrima" w:hAnsi="Ebrima"/>
      <w:sz w:val="16"/>
      <w:szCs w:val="20"/>
    </w:rPr>
  </w:style>
  <w:style w:type="paragraph" w:customStyle="1" w:styleId="chartcaptions">
    <w:name w:val="chart captions"/>
    <w:basedOn w:val="Normal"/>
    <w:next w:val="Normal"/>
    <w:link w:val="chartcaptionsChar"/>
    <w:qFormat/>
    <w:rsid w:val="00735AE9"/>
    <w:pPr>
      <w:pBdr>
        <w:top w:val="single" w:sz="8" w:space="1" w:color="0F60D5"/>
      </w:pBdr>
      <w:spacing w:before="480"/>
    </w:pPr>
    <w:rPr>
      <w:b/>
      <w:color w:val="0F60D5"/>
    </w:rPr>
  </w:style>
  <w:style w:type="character" w:styleId="FootnoteReference">
    <w:name w:val="footnote reference"/>
    <w:basedOn w:val="DefaultParagraphFont"/>
    <w:uiPriority w:val="99"/>
    <w:semiHidden/>
    <w:unhideWhenUsed/>
    <w:rsid w:val="00434871"/>
    <w:rPr>
      <w:vertAlign w:val="superscript"/>
    </w:rPr>
  </w:style>
  <w:style w:type="paragraph" w:customStyle="1" w:styleId="FootnoteText1">
    <w:name w:val="Footnote Text1"/>
    <w:basedOn w:val="FootnoteText"/>
    <w:qFormat/>
    <w:rsid w:val="00735AE9"/>
  </w:style>
  <w:style w:type="table" w:customStyle="1" w:styleId="Tableheadercell">
    <w:name w:val="Table header cell"/>
    <w:basedOn w:val="TableNormal"/>
    <w:uiPriority w:val="99"/>
    <w:rsid w:val="00434871"/>
    <w:pPr>
      <w:spacing w:after="0" w:line="240" w:lineRule="auto"/>
    </w:pPr>
    <w:rPr>
      <w:rFonts w:ascii="Ebrima" w:hAnsi="Ebrima"/>
      <w:sz w:val="16"/>
    </w:rPr>
    <w:tblPr/>
    <w:tcPr>
      <w:vAlign w:val="center"/>
    </w:tcPr>
    <w:tblStylePr w:type="firstRow">
      <w:pPr>
        <w:jc w:val="left"/>
      </w:pPr>
      <w:rPr>
        <w:rFonts w:ascii="Ebrima" w:hAnsi="Ebrima"/>
        <w:b/>
        <w:sz w:val="16"/>
      </w:rPr>
      <w:tblPr/>
      <w:tcPr>
        <w:shd w:val="clear" w:color="auto" w:fill="1A2C4A"/>
      </w:tcPr>
    </w:tblStylePr>
  </w:style>
  <w:style w:type="character" w:styleId="Hyperlink">
    <w:name w:val="Hyperlink"/>
    <w:basedOn w:val="DefaultParagraphFont"/>
    <w:uiPriority w:val="99"/>
    <w:unhideWhenUsed/>
    <w:rsid w:val="00434871"/>
    <w:rPr>
      <w:color w:val="0000FF"/>
      <w:u w:val="single"/>
    </w:rPr>
  </w:style>
  <w:style w:type="character" w:customStyle="1" w:styleId="Heading1Char">
    <w:name w:val="Heading 1 Char"/>
    <w:basedOn w:val="DefaultParagraphFont"/>
    <w:link w:val="Heading1"/>
    <w:uiPriority w:val="9"/>
    <w:rsid w:val="00735AE9"/>
    <w:rPr>
      <w:rFonts w:asciiTheme="majorHAnsi" w:eastAsiaTheme="majorEastAsia" w:hAnsiTheme="majorHAnsi" w:cstheme="majorBidi"/>
      <w:color w:val="132037" w:themeColor="accent1" w:themeShade="BF"/>
      <w:sz w:val="32"/>
      <w:szCs w:val="32"/>
    </w:rPr>
  </w:style>
  <w:style w:type="paragraph" w:styleId="FootnoteText">
    <w:name w:val="footnote text"/>
    <w:basedOn w:val="Normal"/>
    <w:link w:val="FootnoteTextChar"/>
    <w:uiPriority w:val="99"/>
    <w:unhideWhenUsed/>
    <w:qFormat/>
    <w:rsid w:val="000858DD"/>
    <w:rPr>
      <w:spacing w:val="-2"/>
      <w:sz w:val="14"/>
      <w:szCs w:val="16"/>
    </w:rPr>
  </w:style>
  <w:style w:type="character" w:customStyle="1" w:styleId="FootnoteTextChar">
    <w:name w:val="Footnote Text Char"/>
    <w:basedOn w:val="DefaultParagraphFont"/>
    <w:link w:val="FootnoteText"/>
    <w:uiPriority w:val="99"/>
    <w:rsid w:val="000858DD"/>
    <w:rPr>
      <w:rFonts w:ascii="Ebrima" w:hAnsi="Ebrima"/>
      <w:spacing w:val="-2"/>
      <w:sz w:val="14"/>
      <w:szCs w:val="16"/>
    </w:rPr>
  </w:style>
  <w:style w:type="paragraph" w:customStyle="1" w:styleId="Notes">
    <w:name w:val="Notes"/>
    <w:basedOn w:val="Normal"/>
    <w:link w:val="NotesChar"/>
    <w:qFormat/>
    <w:rsid w:val="00735AE9"/>
    <w:pPr>
      <w:pBdr>
        <w:bottom w:val="single" w:sz="4" w:space="1" w:color="7F7F7F" w:themeColor="accent6"/>
      </w:pBdr>
      <w:spacing w:after="200"/>
      <w:contextualSpacing/>
    </w:pPr>
    <w:rPr>
      <w:rFonts w:ascii="Helvetica Neue Light" w:eastAsia="Helvetica" w:hAnsi="Helvetica Neue Light" w:cs="Times New Roman"/>
      <w:sz w:val="15"/>
    </w:rPr>
  </w:style>
  <w:style w:type="character" w:customStyle="1" w:styleId="NotesChar">
    <w:name w:val="Notes Char"/>
    <w:basedOn w:val="DefaultParagraphFont"/>
    <w:link w:val="Notes"/>
    <w:rsid w:val="00735AE9"/>
    <w:rPr>
      <w:rFonts w:ascii="Helvetica Neue Light" w:eastAsia="Helvetica" w:hAnsi="Helvetica Neue Light" w:cs="Times New Roman"/>
      <w:sz w:val="15"/>
    </w:rPr>
  </w:style>
  <w:style w:type="paragraph" w:styleId="Caption">
    <w:name w:val="caption"/>
    <w:aliases w:val="Figure"/>
    <w:next w:val="Normal"/>
    <w:uiPriority w:val="35"/>
    <w:unhideWhenUsed/>
    <w:qFormat/>
    <w:rsid w:val="00735AE9"/>
    <w:pPr>
      <w:pBdr>
        <w:top w:val="single" w:sz="4" w:space="1" w:color="7F7F7F" w:themeColor="accent6"/>
      </w:pBdr>
      <w:spacing w:after="0" w:line="276" w:lineRule="auto"/>
      <w:jc w:val="center"/>
    </w:pPr>
    <w:rPr>
      <w:rFonts w:eastAsia="Helvetica" w:cs="Times New Roman"/>
      <w:sz w:val="26"/>
      <w:szCs w:val="28"/>
      <w:shd w:val="clear" w:color="auto" w:fill="FFFFFF"/>
    </w:rPr>
  </w:style>
  <w:style w:type="paragraph" w:styleId="EndnoteText">
    <w:name w:val="endnote text"/>
    <w:basedOn w:val="Normal"/>
    <w:link w:val="EndnoteTextChar"/>
    <w:uiPriority w:val="99"/>
    <w:unhideWhenUsed/>
    <w:rsid w:val="00136878"/>
    <w:rPr>
      <w:rFonts w:ascii="Helvetica Neue Light" w:eastAsia="Helvetica" w:hAnsi="Helvetica Neue Light" w:cs="Times New Roman"/>
    </w:rPr>
  </w:style>
  <w:style w:type="character" w:customStyle="1" w:styleId="EndnoteTextChar">
    <w:name w:val="Endnote Text Char"/>
    <w:basedOn w:val="DefaultParagraphFont"/>
    <w:link w:val="EndnoteText"/>
    <w:uiPriority w:val="99"/>
    <w:rsid w:val="00136878"/>
    <w:rPr>
      <w:rFonts w:ascii="Helvetica Neue Light" w:eastAsia="Helvetica" w:hAnsi="Helvetica Neue Light" w:cs="Times New Roman"/>
      <w:sz w:val="20"/>
    </w:rPr>
  </w:style>
  <w:style w:type="table" w:customStyle="1" w:styleId="FAOTablenew">
    <w:name w:val="FAO Table new"/>
    <w:basedOn w:val="TableNormal"/>
    <w:uiPriority w:val="99"/>
    <w:rsid w:val="00846CB5"/>
    <w:pPr>
      <w:spacing w:after="0" w:line="240" w:lineRule="auto"/>
      <w:jc w:val="right"/>
    </w:pPr>
    <w:rPr>
      <w:rFonts w:ascii="Ebrima" w:eastAsiaTheme="minorEastAsia" w:hAnsi="Ebrima"/>
      <w:sz w:val="20"/>
      <w:szCs w:val="24"/>
      <w:lang w:val="en-US" w:eastAsia="ja-JP"/>
    </w:rPr>
    <w:tblPr>
      <w:tblStyleRowBandSize w:val="1"/>
      <w:tblBorders>
        <w:top w:val="single" w:sz="6" w:space="0" w:color="D9DDEF"/>
        <w:bottom w:val="single" w:sz="6" w:space="0" w:color="D9DDEF"/>
        <w:insideH w:val="single" w:sz="6" w:space="0" w:color="D9DDEF"/>
      </w:tblBorders>
    </w:tblPr>
    <w:tcPr>
      <w:shd w:val="clear" w:color="auto" w:fill="auto"/>
    </w:tcPr>
    <w:tblStylePr w:type="firstRow">
      <w:pPr>
        <w:jc w:val="left"/>
      </w:pPr>
      <w:rPr>
        <w:rFonts w:ascii="Ebrima" w:hAnsi="Ebrima"/>
        <w:b/>
        <w:color w:val="FFFFFF" w:themeColor="background1"/>
        <w:sz w:val="20"/>
      </w:rPr>
      <w:tblPr/>
      <w:tcPr>
        <w:tcBorders>
          <w:top w:val="nil"/>
          <w:left w:val="nil"/>
          <w:bottom w:val="nil"/>
          <w:right w:val="nil"/>
          <w:insideH w:val="nil"/>
          <w:insideV w:val="nil"/>
          <w:tl2br w:val="nil"/>
          <w:tr2bl w:val="nil"/>
        </w:tcBorders>
        <w:shd w:val="clear" w:color="auto" w:fill="1A2C4A"/>
      </w:tcPr>
    </w:tblStylePr>
    <w:tblStylePr w:type="lastRow">
      <w:rPr>
        <w:rFonts w:ascii="Helvetica" w:hAnsi="Helvetica"/>
        <w:color w:val="auto"/>
      </w:rPr>
      <w:tblPr/>
      <w:tcPr>
        <w:shd w:val="clear" w:color="auto" w:fill="A5A5A5" w:themeFill="accent3"/>
      </w:tcPr>
    </w:tblStylePr>
    <w:tblStylePr w:type="firstCol">
      <w:pPr>
        <w:jc w:val="left"/>
      </w:pPr>
      <w:rPr>
        <w:rFonts w:ascii="Ebrima" w:hAnsi="Ebrima"/>
        <w:color w:val="000000" w:themeColor="text1"/>
        <w:sz w:val="20"/>
      </w:rPr>
    </w:tblStylePr>
    <w:tblStylePr w:type="band2Horz">
      <w:tblPr/>
      <w:tcPr>
        <w:tcBorders>
          <w:top w:val="nil"/>
          <w:left w:val="nil"/>
          <w:bottom w:val="nil"/>
          <w:right w:val="nil"/>
          <w:insideH w:val="nil"/>
          <w:insideV w:val="nil"/>
          <w:tl2br w:val="nil"/>
          <w:tr2bl w:val="nil"/>
        </w:tcBorders>
      </w:tcPr>
    </w:tblStylePr>
  </w:style>
  <w:style w:type="paragraph" w:customStyle="1" w:styleId="DateFAO">
    <w:name w:val="Date FAO"/>
    <w:qFormat/>
    <w:rsid w:val="00735AE9"/>
    <w:pPr>
      <w:spacing w:after="0"/>
      <w:jc w:val="right"/>
    </w:pPr>
    <w:rPr>
      <w:rFonts w:ascii="Ebrima" w:hAnsi="Ebrima"/>
      <w:b/>
      <w:noProof/>
      <w:color w:val="808080"/>
      <w:sz w:val="20"/>
      <w:szCs w:val="20"/>
    </w:rPr>
  </w:style>
  <w:style w:type="paragraph" w:styleId="ListParagraph">
    <w:name w:val="List Paragraph"/>
    <w:basedOn w:val="Normal"/>
    <w:link w:val="ListParagraphChar"/>
    <w:uiPriority w:val="34"/>
    <w:qFormat/>
    <w:rsid w:val="006923B0"/>
    <w:pPr>
      <w:ind w:left="720"/>
      <w:contextualSpacing/>
    </w:pPr>
  </w:style>
  <w:style w:type="paragraph" w:customStyle="1" w:styleId="BulletList">
    <w:name w:val="Bullet List"/>
    <w:basedOn w:val="ListParagraph"/>
    <w:link w:val="BulletListChar"/>
    <w:qFormat/>
    <w:rsid w:val="006923B0"/>
    <w:pPr>
      <w:numPr>
        <w:numId w:val="1"/>
      </w:numPr>
    </w:pPr>
    <w:rPr>
      <w:spacing w:val="-6"/>
    </w:rPr>
  </w:style>
  <w:style w:type="character" w:customStyle="1" w:styleId="ListParagraphChar">
    <w:name w:val="List Paragraph Char"/>
    <w:basedOn w:val="DefaultParagraphFont"/>
    <w:link w:val="ListParagraph"/>
    <w:uiPriority w:val="34"/>
    <w:rsid w:val="006923B0"/>
    <w:rPr>
      <w:rFonts w:ascii="Ebrima" w:hAnsi="Ebrima"/>
      <w:sz w:val="20"/>
      <w:szCs w:val="20"/>
    </w:rPr>
  </w:style>
  <w:style w:type="character" w:customStyle="1" w:styleId="BulletListChar">
    <w:name w:val="Bullet List Char"/>
    <w:basedOn w:val="ListParagraphChar"/>
    <w:link w:val="BulletList"/>
    <w:rsid w:val="006923B0"/>
    <w:rPr>
      <w:rFonts w:ascii="Ebrima" w:hAnsi="Ebrima"/>
      <w:spacing w:val="-6"/>
      <w:sz w:val="20"/>
      <w:szCs w:val="20"/>
    </w:rPr>
  </w:style>
  <w:style w:type="character" w:customStyle="1" w:styleId="chartcaptionsChar">
    <w:name w:val="chart captions Char"/>
    <w:basedOn w:val="DefaultParagraphFont"/>
    <w:link w:val="chartcaptions"/>
    <w:locked/>
    <w:rsid w:val="005505CB"/>
    <w:rPr>
      <w:rFonts w:ascii="Calibri" w:hAnsi="Calibri" w:cs="Calibri"/>
      <w:b/>
      <w:color w:val="0F60D5"/>
    </w:rPr>
  </w:style>
  <w:style w:type="table" w:customStyle="1" w:styleId="FAOTable">
    <w:name w:val="FAO Table"/>
    <w:basedOn w:val="TableNormal"/>
    <w:uiPriority w:val="99"/>
    <w:rsid w:val="005505CB"/>
    <w:pPr>
      <w:spacing w:after="0" w:line="240" w:lineRule="auto"/>
      <w:jc w:val="right"/>
    </w:pPr>
    <w:rPr>
      <w:rFonts w:ascii="Helvetica" w:eastAsiaTheme="minorEastAsia" w:hAnsi="Helvetica"/>
      <w:sz w:val="20"/>
      <w:szCs w:val="24"/>
      <w:lang w:val="en-US" w:eastAsia="ja-JP"/>
    </w:rPr>
    <w:tblPr>
      <w:tblStyleRowBandSize w:val="1"/>
      <w:tblInd w:w="0" w:type="nil"/>
      <w:tblBorders>
        <w:bottom w:val="single" w:sz="4" w:space="0" w:color="B2DA26" w:themeColor="accent2"/>
      </w:tblBorders>
    </w:tblPr>
    <w:tblStylePr w:type="firstRow">
      <w:rPr>
        <w:rFonts w:ascii="Helvetica" w:hAnsi="Helvetica" w:hint="default"/>
        <w:color w:val="FFFFFF" w:themeColor="background1"/>
        <w:sz w:val="20"/>
        <w:szCs w:val="20"/>
      </w:rPr>
      <w:tblPr/>
      <w:tcPr>
        <w:shd w:val="clear" w:color="auto" w:fill="1A2C4A" w:themeFill="accent1"/>
      </w:tcPr>
    </w:tblStylePr>
    <w:tblStylePr w:type="lastRow">
      <w:rPr>
        <w:rFonts w:ascii="Helvetica" w:hAnsi="Helvetica" w:hint="default"/>
        <w:color w:val="auto"/>
      </w:rPr>
      <w:tblPr/>
      <w:tcPr>
        <w:shd w:val="clear" w:color="auto" w:fill="A5A5A5" w:themeFill="accent3"/>
      </w:tcPr>
    </w:tblStylePr>
    <w:tblStylePr w:type="firstCol">
      <w:pPr>
        <w:jc w:val="left"/>
      </w:pPr>
      <w:rPr>
        <w:rFonts w:ascii="Helvetica" w:hAnsi="Helvetica" w:hint="default"/>
        <w:color w:val="FFFFFF" w:themeColor="background1"/>
      </w:rPr>
      <w:tblPr/>
      <w:tcPr>
        <w:shd w:val="clear" w:color="auto" w:fill="1A2C4A" w:themeFill="accent1"/>
      </w:tcPr>
    </w:tblStylePr>
    <w:tblStylePr w:type="band1Horz">
      <w:tblPr/>
      <w:tcPr>
        <w:shd w:val="clear" w:color="auto" w:fill="C2D0E9" w:themeFill="accent1" w:themeFillTint="33"/>
      </w:tcPr>
    </w:tblStylePr>
  </w:style>
  <w:style w:type="character" w:styleId="CommentReference">
    <w:name w:val="annotation reference"/>
    <w:basedOn w:val="DefaultParagraphFont"/>
    <w:uiPriority w:val="99"/>
    <w:semiHidden/>
    <w:unhideWhenUsed/>
    <w:rsid w:val="00CC3F6A"/>
    <w:rPr>
      <w:sz w:val="16"/>
      <w:szCs w:val="16"/>
    </w:rPr>
  </w:style>
  <w:style w:type="paragraph" w:styleId="CommentText">
    <w:name w:val="annotation text"/>
    <w:basedOn w:val="Normal"/>
    <w:link w:val="CommentTextChar"/>
    <w:uiPriority w:val="99"/>
    <w:semiHidden/>
    <w:unhideWhenUsed/>
    <w:rsid w:val="00CC3F6A"/>
    <w:rPr>
      <w:sz w:val="20"/>
      <w:szCs w:val="20"/>
    </w:rPr>
  </w:style>
  <w:style w:type="character" w:customStyle="1" w:styleId="CommentTextChar">
    <w:name w:val="Comment Text Char"/>
    <w:basedOn w:val="DefaultParagraphFont"/>
    <w:link w:val="CommentText"/>
    <w:uiPriority w:val="99"/>
    <w:semiHidden/>
    <w:rsid w:val="00CC3F6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C3F6A"/>
    <w:rPr>
      <w:b/>
      <w:bCs/>
    </w:rPr>
  </w:style>
  <w:style w:type="character" w:customStyle="1" w:styleId="CommentSubjectChar">
    <w:name w:val="Comment Subject Char"/>
    <w:basedOn w:val="CommentTextChar"/>
    <w:link w:val="CommentSubject"/>
    <w:uiPriority w:val="99"/>
    <w:semiHidden/>
    <w:rsid w:val="00CC3F6A"/>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045198">
      <w:bodyDiv w:val="1"/>
      <w:marLeft w:val="0"/>
      <w:marRight w:val="0"/>
      <w:marTop w:val="0"/>
      <w:marBottom w:val="0"/>
      <w:divBdr>
        <w:top w:val="none" w:sz="0" w:space="0" w:color="auto"/>
        <w:left w:val="none" w:sz="0" w:space="0" w:color="auto"/>
        <w:bottom w:val="none" w:sz="0" w:space="0" w:color="auto"/>
        <w:right w:val="none" w:sz="0" w:space="0" w:color="auto"/>
      </w:divBdr>
    </w:div>
    <w:div w:id="1537697115">
      <w:bodyDiv w:val="1"/>
      <w:marLeft w:val="0"/>
      <w:marRight w:val="0"/>
      <w:marTop w:val="0"/>
      <w:marBottom w:val="0"/>
      <w:divBdr>
        <w:top w:val="none" w:sz="0" w:space="0" w:color="auto"/>
        <w:left w:val="none" w:sz="0" w:space="0" w:color="auto"/>
        <w:bottom w:val="none" w:sz="0" w:space="0" w:color="auto"/>
        <w:right w:val="none" w:sz="0" w:space="0" w:color="auto"/>
      </w:divBdr>
    </w:div>
    <w:div w:id="20387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dministration\Templates\Commentaries%20templates\New%20Commentary%20template.dotx" TargetMode="External"/></Relationships>
</file>

<file path=word/theme/theme1.xml><?xml version="1.0" encoding="utf-8"?>
<a:theme xmlns:a="http://schemas.openxmlformats.org/drawingml/2006/main" name="Office Theme">
  <a:themeElements>
    <a:clrScheme name="FAO 2016">
      <a:dk1>
        <a:sysClr val="windowText" lastClr="000000"/>
      </a:dk1>
      <a:lt1>
        <a:sysClr val="window" lastClr="FFFFFF"/>
      </a:lt1>
      <a:dk2>
        <a:srgbClr val="0F60D5"/>
      </a:dk2>
      <a:lt2>
        <a:srgbClr val="D9DDEF"/>
      </a:lt2>
      <a:accent1>
        <a:srgbClr val="1A2C4A"/>
      </a:accent1>
      <a:accent2>
        <a:srgbClr val="B2DA26"/>
      </a:accent2>
      <a:accent3>
        <a:srgbClr val="A5A5A5"/>
      </a:accent3>
      <a:accent4>
        <a:srgbClr val="9FC2F5"/>
      </a:accent4>
      <a:accent5>
        <a:srgbClr val="ECCCE9"/>
      </a:accent5>
      <a:accent6>
        <a:srgbClr val="7F7F7F"/>
      </a:accent6>
      <a:hlink>
        <a:srgbClr val="757070"/>
      </a:hlink>
      <a:folHlink>
        <a:srgbClr val="D8D8D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31294-BA66-4B2A-822A-FE771114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Commentary template.dotx</Template>
  <TotalTime>14</TotalTime>
  <Pages>4</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Ngo</dc:creator>
  <cp:keywords/>
  <dc:description/>
  <cp:lastModifiedBy>Gwun-Hone Chin</cp:lastModifiedBy>
  <cp:revision>2</cp:revision>
  <cp:lastPrinted>2016-06-02T15:04:00Z</cp:lastPrinted>
  <dcterms:created xsi:type="dcterms:W3CDTF">2018-10-24T23:00:00Z</dcterms:created>
  <dcterms:modified xsi:type="dcterms:W3CDTF">2018-10-24T23:00:00Z</dcterms:modified>
</cp:coreProperties>
</file>