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7A4CF459" w:rsidR="00776693" w:rsidRPr="00BF4D1D" w:rsidRDefault="007617BF" w:rsidP="00317420">
      <w:pPr>
        <w:pStyle w:val="6Text"/>
      </w:pPr>
      <w:r w:rsidRPr="00BF4D1D">
        <w:t>CEFD has received the Fair Hydro Trust Financing Plan</w:t>
      </w:r>
      <w:r w:rsidR="00270482">
        <w:t xml:space="preserve"> (“Financing Plan”) developed by Ontario Power Generation (OPG), as prescribed under the </w:t>
      </w:r>
      <w:r w:rsidR="00270482" w:rsidRPr="00CB1873">
        <w:rPr>
          <w:i/>
        </w:rPr>
        <w:t>Ontario Fair Hydro Plan Act, 2017</w:t>
      </w:r>
      <w:r w:rsidR="00270482">
        <w:t xml:space="preserve"> (“Act”)</w:t>
      </w:r>
      <w:r w:rsidRPr="00BF4D1D">
        <w:t>.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69CD1671" w:rsidR="005F07BF" w:rsidRDefault="005F07BF" w:rsidP="00F66610">
      <w:pPr>
        <w:pStyle w:val="6Text"/>
      </w:pPr>
      <w:r w:rsidRPr="00BF4D1D">
        <w:t xml:space="preserve">Two trustees </w:t>
      </w:r>
      <w:r w:rsidR="001F52C8">
        <w:t xml:space="preserve">have been </w:t>
      </w:r>
      <w:r w:rsidR="005630DA" w:rsidRPr="00BF4D1D">
        <w:t>appointed with specific roles as part of the Financing Plan</w:t>
      </w:r>
      <w:r w:rsidR="00270482">
        <w:t>:</w:t>
      </w:r>
      <w:r w:rsidR="00270482">
        <w:br/>
      </w:r>
    </w:p>
    <w:p w14:paraId="0C6AF9B3" w14:textId="70AE827B" w:rsidR="00725953" w:rsidRPr="008675DF" w:rsidRDefault="00725953" w:rsidP="008675DF">
      <w:pPr>
        <w:pStyle w:val="6Text"/>
        <w:jc w:val="center"/>
        <w:rPr>
          <w:b/>
        </w:rPr>
      </w:pPr>
      <w:r w:rsidRPr="008675DF">
        <w:rPr>
          <w:b/>
        </w:rPr>
        <w:t>Table 1: FHP Trustees</w:t>
      </w:r>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8C48F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8C48F2">
            <w:pPr>
              <w:pStyle w:val="6Text"/>
              <w:jc w:val="center"/>
            </w:pPr>
            <w:r w:rsidRPr="00BF4D1D">
              <w:t>Trustee</w:t>
            </w:r>
          </w:p>
        </w:tc>
        <w:tc>
          <w:tcPr>
            <w:tcW w:w="1530" w:type="dxa"/>
            <w:vAlign w:val="center"/>
          </w:tcPr>
          <w:p w14:paraId="0C12EEF6" w14:textId="4AA0661D" w:rsidR="00D510E8" w:rsidRPr="00BF4D1D" w:rsidRDefault="00D510E8" w:rsidP="008C48F2">
            <w:pPr>
              <w:pStyle w:val="6Text"/>
              <w:jc w:val="center"/>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8C48F2">
            <w:pPr>
              <w:pStyle w:val="6Text"/>
              <w:jc w:val="center"/>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8C4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2867330" w14:textId="45D0A574" w:rsidR="00D510E8" w:rsidRPr="00BF4D1D" w:rsidRDefault="00D510E8" w:rsidP="008C48F2">
            <w:pPr>
              <w:pStyle w:val="6Text"/>
              <w:jc w:val="center"/>
            </w:pPr>
            <w:r w:rsidRPr="00BF4D1D">
              <w:t>Computershare Trust Company of Canada</w:t>
            </w:r>
          </w:p>
        </w:tc>
        <w:tc>
          <w:tcPr>
            <w:tcW w:w="1530" w:type="dxa"/>
            <w:vAlign w:val="center"/>
          </w:tcPr>
          <w:p w14:paraId="4AFDBFEB" w14:textId="475DCD8F" w:rsidR="00D510E8" w:rsidRPr="00BF4D1D" w:rsidRDefault="00D510E8" w:rsidP="008C48F2">
            <w:pPr>
              <w:pStyle w:val="6Text"/>
              <w:jc w:val="center"/>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8C48F2">
        <w:tc>
          <w:tcPr>
            <w:cnfStyle w:val="001000000000" w:firstRow="0" w:lastRow="0" w:firstColumn="1" w:lastColumn="0" w:oddVBand="0" w:evenVBand="0" w:oddHBand="0" w:evenHBand="0" w:firstRowFirstColumn="0" w:firstRowLastColumn="0" w:lastRowFirstColumn="0" w:lastRowLastColumn="0"/>
            <w:tcW w:w="2515" w:type="dxa"/>
            <w:vAlign w:val="center"/>
          </w:tcPr>
          <w:p w14:paraId="417D5B56" w14:textId="17A591A2" w:rsidR="00D510E8" w:rsidRPr="00BF4D1D" w:rsidRDefault="00D510E8" w:rsidP="008C48F2">
            <w:pPr>
              <w:pStyle w:val="6Text"/>
              <w:jc w:val="center"/>
            </w:pPr>
            <w:r w:rsidRPr="00BF4D1D">
              <w:t>BNY Trust Company of Canada</w:t>
            </w:r>
          </w:p>
        </w:tc>
        <w:tc>
          <w:tcPr>
            <w:tcW w:w="1530" w:type="dxa"/>
            <w:vAlign w:val="center"/>
          </w:tcPr>
          <w:p w14:paraId="0125D813" w14:textId="74A3CA9A" w:rsidR="00D510E8" w:rsidRPr="00BF4D1D" w:rsidRDefault="00D510E8" w:rsidP="008C48F2">
            <w:pPr>
              <w:pStyle w:val="6Text"/>
              <w:jc w:val="center"/>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682A8653" w14:textId="57F3141B" w:rsidR="00D510E8" w:rsidRPr="008675DF" w:rsidRDefault="00E327B2" w:rsidP="008675DF">
      <w:pPr>
        <w:pStyle w:val="6Text"/>
        <w:jc w:val="center"/>
        <w:rPr>
          <w:b/>
        </w:rPr>
      </w:pPr>
      <w:r>
        <w:rPr>
          <w:i/>
        </w:rPr>
        <w:br/>
      </w:r>
      <w:r w:rsidR="00D510E8" w:rsidRPr="008675DF">
        <w:rPr>
          <w:b/>
        </w:rPr>
        <w:t xml:space="preserve">Table </w:t>
      </w:r>
      <w:r w:rsidR="00725953">
        <w:rPr>
          <w:b/>
        </w:rPr>
        <w:t>2</w:t>
      </w:r>
      <w:r w:rsidR="00D510E8" w:rsidRPr="008675DF">
        <w:rPr>
          <w:b/>
        </w:rPr>
        <w:t>: Fair Hydro Trust Unitholders</w:t>
      </w:r>
    </w:p>
    <w:tbl>
      <w:tblPr>
        <w:tblStyle w:val="GridTable4-Accent1"/>
        <w:tblW w:w="5000" w:type="pct"/>
        <w:tblLook w:val="0420" w:firstRow="1" w:lastRow="0" w:firstColumn="0" w:lastColumn="0" w:noHBand="0" w:noVBand="1"/>
      </w:tblPr>
      <w:tblGrid>
        <w:gridCol w:w="6465"/>
        <w:gridCol w:w="2885"/>
      </w:tblGrid>
      <w:tr w:rsidR="00D510E8" w:rsidRPr="00BF4D1D" w14:paraId="1E5DE1BB" w14:textId="77777777" w:rsidTr="008675DF">
        <w:trPr>
          <w:cnfStyle w:val="100000000000" w:firstRow="1" w:lastRow="0" w:firstColumn="0" w:lastColumn="0" w:oddVBand="0" w:evenVBand="0" w:oddHBand="0" w:evenHBand="0" w:firstRowFirstColumn="0" w:firstRowLastColumn="0" w:lastRowFirstColumn="0" w:lastRowLastColumn="0"/>
          <w:trHeight w:val="432"/>
        </w:trPr>
        <w:tc>
          <w:tcPr>
            <w:tcW w:w="3457" w:type="pct"/>
            <w:vAlign w:val="center"/>
            <w:hideMark/>
          </w:tcPr>
          <w:p w14:paraId="426FFBD0" w14:textId="77777777" w:rsidR="00D510E8" w:rsidRPr="00A53BF3" w:rsidRDefault="00D510E8" w:rsidP="008675DF">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Unitholder</w:t>
            </w:r>
          </w:p>
        </w:tc>
        <w:tc>
          <w:tcPr>
            <w:tcW w:w="1543" w:type="pct"/>
            <w:vAlign w:val="center"/>
            <w:hideMark/>
          </w:tcPr>
          <w:p w14:paraId="5D1C3659" w14:textId="77777777" w:rsidR="00D510E8" w:rsidRPr="00A53BF3" w:rsidRDefault="00D510E8" w:rsidP="00A53BF3">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Number of Units Held</w:t>
            </w:r>
          </w:p>
        </w:tc>
      </w:tr>
      <w:tr w:rsidR="00D510E8" w:rsidRPr="00BF4D1D" w14:paraId="12266762"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3457" w:type="pct"/>
            <w:vAlign w:val="center"/>
            <w:hideMark/>
          </w:tcPr>
          <w:p w14:paraId="12A97DE8" w14:textId="62FE2AC4" w:rsidR="00D510E8" w:rsidRPr="00BF4D1D" w:rsidRDefault="00D510E8" w:rsidP="00A53BF3">
            <w:pPr>
              <w:keepNext/>
              <w:keepLines/>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1"/>
            <w:r w:rsidR="002C035C" w:rsidRPr="00BF4D1D">
              <w:rPr>
                <w:rFonts w:eastAsia="Times New Roman" w:cs="Arial"/>
                <w:kern w:val="24"/>
                <w:sz w:val="20"/>
                <w:szCs w:val="20"/>
                <w:lang w:eastAsia="en-CA"/>
              </w:rPr>
              <w:t>(aka “Subco”)</w:t>
            </w:r>
            <w:commentRangeEnd w:id="1"/>
            <w:r w:rsidR="006638DA" w:rsidRPr="00BF4D1D">
              <w:rPr>
                <w:rStyle w:val="CommentReference"/>
                <w:rFonts w:eastAsiaTheme="minorHAnsi"/>
                <w:lang w:val="en-CA"/>
              </w:rPr>
              <w:commentReference w:id="1"/>
            </w:r>
          </w:p>
        </w:tc>
        <w:tc>
          <w:tcPr>
            <w:tcW w:w="1543" w:type="pct"/>
            <w:vAlign w:val="center"/>
            <w:hideMark/>
          </w:tcPr>
          <w:p w14:paraId="0B4FDEE3" w14:textId="77777777" w:rsidR="00D510E8" w:rsidRPr="00BF4D1D" w:rsidRDefault="00D510E8" w:rsidP="008675DF">
            <w:pPr>
              <w:keepNext/>
              <w:keepLines/>
              <w:jc w:val="center"/>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8675DF">
        <w:trPr>
          <w:trHeight w:val="421"/>
        </w:trPr>
        <w:tc>
          <w:tcPr>
            <w:tcW w:w="3457" w:type="pct"/>
            <w:vAlign w:val="center"/>
            <w:hideMark/>
          </w:tcPr>
          <w:p w14:paraId="6658E7ED" w14:textId="77777777" w:rsidR="00D510E8" w:rsidRPr="00BF4D1D" w:rsidRDefault="00D510E8" w:rsidP="00A53BF3">
            <w:pPr>
              <w:keepNext/>
              <w:keepLines/>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1543" w:type="pct"/>
            <w:vAlign w:val="center"/>
            <w:hideMark/>
          </w:tcPr>
          <w:p w14:paraId="7BC65A51" w14:textId="77777777" w:rsidR="00D510E8" w:rsidRPr="00BF4D1D" w:rsidRDefault="00D510E8" w:rsidP="008675DF">
            <w:pPr>
              <w:keepNext/>
              <w:keepLines/>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8675DF">
        <w:trPr>
          <w:cnfStyle w:val="000000100000" w:firstRow="0" w:lastRow="0" w:firstColumn="0" w:lastColumn="0" w:oddVBand="0" w:evenVBand="0" w:oddHBand="1" w:evenHBand="0" w:firstRowFirstColumn="0" w:firstRowLastColumn="0" w:lastRowFirstColumn="0" w:lastRowLastColumn="0"/>
          <w:trHeight w:val="349"/>
        </w:trPr>
        <w:tc>
          <w:tcPr>
            <w:tcW w:w="3457" w:type="pct"/>
            <w:vAlign w:val="center"/>
          </w:tcPr>
          <w:p w14:paraId="733CF818" w14:textId="77777777" w:rsidR="00D510E8" w:rsidRPr="00BF4D1D" w:rsidRDefault="00D510E8" w:rsidP="00A53BF3">
            <w:pPr>
              <w:keepNext/>
              <w:keepLines/>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1543" w:type="pct"/>
            <w:vAlign w:val="center"/>
          </w:tcPr>
          <w:p w14:paraId="05069713" w14:textId="77777777" w:rsidR="00D510E8" w:rsidRPr="00BF4D1D" w:rsidRDefault="00D510E8" w:rsidP="008675DF">
            <w:pPr>
              <w:keepNext/>
              <w:keepLines/>
              <w:jc w:val="center"/>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Default="00D510E8" w:rsidP="00D510E8">
      <w:pPr>
        <w:spacing w:after="120"/>
        <w:contextualSpacing/>
        <w:rPr>
          <w:rFonts w:cs="Arial"/>
        </w:rPr>
      </w:pPr>
    </w:p>
    <w:p w14:paraId="26D2550A" w14:textId="7F1A52FC" w:rsidR="00725953" w:rsidRPr="00BF4D1D" w:rsidRDefault="00725953" w:rsidP="00725953">
      <w:pPr>
        <w:pStyle w:val="6Text"/>
        <w:rPr>
          <w:i/>
        </w:rPr>
      </w:pPr>
      <w:r w:rsidRPr="00CB1873">
        <w:rPr>
          <w:i/>
          <w:u w:val="single"/>
        </w:rPr>
        <w:t>EFB Staff Comment:</w:t>
      </w:r>
      <w:r w:rsidRPr="00BF4D1D">
        <w:rPr>
          <w:i/>
        </w:rPr>
        <w:t xml:space="preserve"> Unclear </w:t>
      </w:r>
      <w:r w:rsidR="001F52C8">
        <w:rPr>
          <w:i/>
        </w:rPr>
        <w:t xml:space="preserve">why one </w:t>
      </w:r>
      <w:r w:rsidRPr="00BF4D1D">
        <w:rPr>
          <w:i/>
        </w:rPr>
        <w:t>unit is held by BNY as Indenture Trustee; perhaps to ensure alignments of interests. Furthermore unclear if BNY would receive proportionate share of return earned by trust.</w:t>
      </w:r>
      <w:r>
        <w:rPr>
          <w:i/>
        </w:rPr>
        <w:t xml:space="preserve"> In Payment Priority waterfall in Appendix </w:t>
      </w:r>
      <w:r w:rsidR="007F0BAB">
        <w:rPr>
          <w:i/>
        </w:rPr>
        <w:t>3</w:t>
      </w:r>
      <w:r>
        <w:rPr>
          <w:i/>
        </w:rPr>
        <w:t xml:space="preserve"> it appears Indenture Trustee will be reimbursed</w:t>
      </w:r>
      <w:r w:rsidR="008C48F2">
        <w:rPr>
          <w:i/>
        </w:rPr>
        <w:t xml:space="preserve"> first</w:t>
      </w:r>
      <w:r>
        <w:rPr>
          <w:i/>
        </w:rPr>
        <w:t>.</w:t>
      </w:r>
    </w:p>
    <w:p w14:paraId="11A64F22" w14:textId="7E6EA6C3" w:rsidR="00864B70" w:rsidRPr="00BF4D1D" w:rsidRDefault="000F3543" w:rsidP="005C5658">
      <w:pPr>
        <w:pStyle w:val="3Heading2"/>
        <w:keepNext/>
      </w:pPr>
      <w:r w:rsidRPr="00BF4D1D">
        <w:lastRenderedPageBreak/>
        <w:t>capitalization</w:t>
      </w:r>
    </w:p>
    <w:p w14:paraId="59326C39" w14:textId="7E38AC6F" w:rsidR="000F3543" w:rsidRPr="00BF4D1D" w:rsidRDefault="000F3543" w:rsidP="000F3543">
      <w:pPr>
        <w:pStyle w:val="6Text"/>
      </w:pPr>
      <w:r w:rsidRPr="00BF4D1D">
        <w:t>The Trust will be financed as follows:</w:t>
      </w:r>
      <w:r w:rsidR="00C92A2C">
        <w:br/>
      </w:r>
    </w:p>
    <w:p w14:paraId="14613C96" w14:textId="235746B9" w:rsidR="000F3543" w:rsidRPr="008675DF" w:rsidRDefault="000F3543" w:rsidP="008675DF">
      <w:pPr>
        <w:pStyle w:val="6Text"/>
        <w:jc w:val="center"/>
        <w:rPr>
          <w:b/>
        </w:rPr>
      </w:pPr>
      <w:r w:rsidRPr="008675DF">
        <w:rPr>
          <w:b/>
        </w:rPr>
        <w:t xml:space="preserve">Table </w:t>
      </w:r>
      <w:r w:rsidR="00725953">
        <w:rPr>
          <w:b/>
        </w:rPr>
        <w:t>3</w:t>
      </w:r>
      <w:r w:rsidRPr="008675DF">
        <w:rPr>
          <w:b/>
        </w:rPr>
        <w:t>: Type and Source of Debt Funding</w:t>
      </w:r>
    </w:p>
    <w:tbl>
      <w:tblPr>
        <w:tblStyle w:val="GridTable5Dark-Accent1"/>
        <w:tblW w:w="5000" w:type="pct"/>
        <w:tblLook w:val="0420" w:firstRow="1" w:lastRow="0" w:firstColumn="0" w:lastColumn="0" w:noHBand="0" w:noVBand="1"/>
      </w:tblPr>
      <w:tblGrid>
        <w:gridCol w:w="3116"/>
        <w:gridCol w:w="3117"/>
        <w:gridCol w:w="3117"/>
      </w:tblGrid>
      <w:tr w:rsidR="000F3543" w:rsidRPr="00BF4D1D" w14:paraId="07D8FB33" w14:textId="77777777" w:rsidTr="008675DF">
        <w:trPr>
          <w:cnfStyle w:val="100000000000" w:firstRow="1" w:lastRow="0" w:firstColumn="0" w:lastColumn="0" w:oddVBand="0" w:evenVBand="0" w:oddHBand="0" w:evenHBand="0" w:firstRowFirstColumn="0" w:firstRowLastColumn="0" w:lastRowFirstColumn="0" w:lastRowLastColumn="0"/>
          <w:trHeight w:val="475"/>
        </w:trPr>
        <w:tc>
          <w:tcPr>
            <w:tcW w:w="1666" w:type="pct"/>
            <w:vAlign w:val="center"/>
            <w:hideMark/>
          </w:tcPr>
          <w:p w14:paraId="715E050E" w14:textId="77777777" w:rsidR="000F3543" w:rsidRPr="00A53BF3" w:rsidRDefault="000F3543" w:rsidP="008675DF">
            <w:pPr>
              <w:keepNext/>
              <w:jc w:val="center"/>
              <w:rPr>
                <w:rFonts w:eastAsia="Times New Roman" w:cs="Arial"/>
                <w:sz w:val="20"/>
                <w:szCs w:val="20"/>
                <w:lang w:eastAsia="en-CA"/>
              </w:rPr>
            </w:pPr>
            <w:r w:rsidRPr="008675DF">
              <w:rPr>
                <w:rFonts w:eastAsia="Times New Roman" w:cs="Arial"/>
                <w:bCs w:val="0"/>
                <w:kern w:val="24"/>
                <w:sz w:val="20"/>
                <w:szCs w:val="20"/>
                <w:lang w:eastAsia="en-CA"/>
              </w:rPr>
              <w:t>Tranche and Debt Type</w:t>
            </w:r>
          </w:p>
        </w:tc>
        <w:tc>
          <w:tcPr>
            <w:tcW w:w="1667" w:type="pct"/>
            <w:vAlign w:val="center"/>
            <w:hideMark/>
          </w:tcPr>
          <w:p w14:paraId="3EF4DDA0" w14:textId="77777777" w:rsidR="000F3543" w:rsidRPr="00A53BF3" w:rsidRDefault="000F3543"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Source of Funding</w:t>
            </w:r>
          </w:p>
        </w:tc>
        <w:tc>
          <w:tcPr>
            <w:tcW w:w="1667" w:type="pct"/>
            <w:vAlign w:val="center"/>
            <w:hideMark/>
          </w:tcPr>
          <w:p w14:paraId="52E7208F" w14:textId="77777777" w:rsidR="000F3543" w:rsidRPr="00A53BF3" w:rsidRDefault="000F3543"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 of Total Funding Requirement</w:t>
            </w:r>
          </w:p>
        </w:tc>
      </w:tr>
      <w:tr w:rsidR="000F3543" w:rsidRPr="00BF4D1D" w14:paraId="002493C9"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1666" w:type="pct"/>
            <w:vAlign w:val="center"/>
            <w:hideMark/>
          </w:tcPr>
          <w:p w14:paraId="2A298090" w14:textId="77777777" w:rsidR="000F3543" w:rsidRPr="00BF4D1D" w:rsidRDefault="000F3543" w:rsidP="00A53BF3">
            <w:pPr>
              <w:keepNext/>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Senior Debt</w:t>
            </w:r>
          </w:p>
        </w:tc>
        <w:tc>
          <w:tcPr>
            <w:tcW w:w="1667" w:type="pct"/>
            <w:vAlign w:val="center"/>
            <w:hideMark/>
          </w:tcPr>
          <w:p w14:paraId="4C32B710"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Capital Markets</w:t>
            </w:r>
          </w:p>
        </w:tc>
        <w:tc>
          <w:tcPr>
            <w:tcW w:w="1667" w:type="pct"/>
            <w:vAlign w:val="center"/>
            <w:hideMark/>
          </w:tcPr>
          <w:p w14:paraId="50A5B52E"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8675DF">
        <w:trPr>
          <w:trHeight w:val="534"/>
        </w:trPr>
        <w:tc>
          <w:tcPr>
            <w:tcW w:w="1666" w:type="pct"/>
            <w:vAlign w:val="center"/>
            <w:hideMark/>
          </w:tcPr>
          <w:p w14:paraId="164632FB" w14:textId="77777777" w:rsidR="000F3543" w:rsidRPr="00BF4D1D" w:rsidRDefault="000F3543" w:rsidP="00A53BF3">
            <w:pPr>
              <w:keepNext/>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1667" w:type="pct"/>
            <w:vAlign w:val="center"/>
            <w:hideMark/>
          </w:tcPr>
          <w:p w14:paraId="123D8679"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
          <w:p w14:paraId="5D5C80A9"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8675DF">
        <w:trPr>
          <w:cnfStyle w:val="000000100000" w:firstRow="0" w:lastRow="0" w:firstColumn="0" w:lastColumn="0" w:oddVBand="0" w:evenVBand="0" w:oddHBand="1" w:evenHBand="0" w:firstRowFirstColumn="0" w:firstRowLastColumn="0" w:lastRowFirstColumn="0" w:lastRowLastColumn="0"/>
          <w:trHeight w:val="432"/>
        </w:trPr>
        <w:tc>
          <w:tcPr>
            <w:tcW w:w="1666" w:type="pct"/>
            <w:vMerge w:val="restart"/>
            <w:vAlign w:val="center"/>
            <w:hideMark/>
          </w:tcPr>
          <w:p w14:paraId="3B246412" w14:textId="77777777" w:rsidR="000F3543" w:rsidRPr="00BF4D1D" w:rsidRDefault="000F3543" w:rsidP="00A53BF3">
            <w:pPr>
              <w:keepNext/>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1667" w:type="pct"/>
            <w:vAlign w:val="center"/>
            <w:hideMark/>
          </w:tcPr>
          <w:p w14:paraId="29DE24AB"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
          <w:p w14:paraId="4A317B61"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8675DF">
        <w:trPr>
          <w:trHeight w:val="432"/>
        </w:trPr>
        <w:tc>
          <w:tcPr>
            <w:tcW w:w="1666" w:type="pct"/>
            <w:vMerge/>
            <w:hideMark/>
          </w:tcPr>
          <w:p w14:paraId="10DF0C24" w14:textId="77777777" w:rsidR="000F3543" w:rsidRPr="00BF4D1D" w:rsidRDefault="000F3543" w:rsidP="00D43743">
            <w:pPr>
              <w:keepNext/>
              <w:rPr>
                <w:rFonts w:eastAsia="Times New Roman" w:cs="Arial"/>
                <w:sz w:val="20"/>
                <w:szCs w:val="20"/>
                <w:lang w:eastAsia="en-CA"/>
              </w:rPr>
            </w:pPr>
          </w:p>
        </w:tc>
        <w:tc>
          <w:tcPr>
            <w:tcW w:w="1667" w:type="pct"/>
            <w:vAlign w:val="center"/>
            <w:hideMark/>
          </w:tcPr>
          <w:p w14:paraId="57E17F1E" w14:textId="77777777" w:rsidR="000F3543" w:rsidRPr="00BF4D1D" w:rsidRDefault="000F3543" w:rsidP="00A53BF3">
            <w:pPr>
              <w:keepNext/>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1667" w:type="pct"/>
            <w:vAlign w:val="center"/>
            <w:hideMark/>
          </w:tcPr>
          <w:p w14:paraId="00D68B07"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2EEC369F" w:rsidR="000F3543" w:rsidRPr="00BF4D1D" w:rsidRDefault="000F3543" w:rsidP="000F3543">
      <w:pPr>
        <w:pStyle w:val="6Text"/>
      </w:pPr>
      <w:r w:rsidRPr="00BF4D1D">
        <w:t xml:space="preserve">The Financing Plan mentions through periodic equity injections in OPG, the Province is expected to provide the 44 percent funding </w:t>
      </w:r>
      <w:r w:rsidR="001F52C8">
        <w:t xml:space="preserve">for the FHP </w:t>
      </w:r>
      <w:r w:rsidRPr="00BF4D1D">
        <w:t xml:space="preserve">and OPG will </w:t>
      </w:r>
      <w:commentRangeStart w:id="2"/>
      <w:commentRangeStart w:id="3"/>
      <w:r w:rsidRPr="00BF4D1D">
        <w:t xml:space="preserve">invest the </w:t>
      </w:r>
      <w:commentRangeEnd w:id="2"/>
      <w:r w:rsidRPr="00BF4D1D">
        <w:rPr>
          <w:rStyle w:val="CommentReference"/>
          <w:sz w:val="24"/>
          <w:szCs w:val="24"/>
        </w:rPr>
        <w:commentReference w:id="2"/>
      </w:r>
      <w:commentRangeEnd w:id="3"/>
      <w:r w:rsidR="00270482">
        <w:rPr>
          <w:rStyle w:val="CommentReference"/>
          <w:rFonts w:eastAsiaTheme="minorHAnsi" w:cstheme="minorBidi"/>
          <w:lang w:val="en-CA"/>
        </w:rPr>
        <w:commentReference w:id="3"/>
      </w:r>
      <w:r w:rsidRPr="00BF4D1D">
        <w:t>proceeds from the e</w:t>
      </w:r>
      <w:r w:rsidR="001F52C8">
        <w:t>quity injections into the Trust.</w:t>
      </w:r>
      <w:r w:rsidRPr="00BF4D1D">
        <w:t xml:space="preserve"> </w:t>
      </w:r>
      <w:r w:rsidR="001F52C8">
        <w:t xml:space="preserve">Of the 44 percent funding, </w:t>
      </w:r>
      <w:r w:rsidRPr="00BF4D1D">
        <w:t xml:space="preserve">39 percent </w:t>
      </w:r>
      <w:r w:rsidR="001F52C8">
        <w:t xml:space="preserve">will be </w:t>
      </w:r>
      <w:r w:rsidRPr="00BF4D1D">
        <w:t xml:space="preserve">in Tranche B as subordinated debt and five percent in Tranche C as junior subordinated debt.  </w:t>
      </w:r>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664ED84E" w:rsidR="005C5658" w:rsidRPr="00BF4D1D" w:rsidRDefault="005C5658" w:rsidP="00172605">
      <w:pPr>
        <w:pStyle w:val="6Text"/>
        <w:numPr>
          <w:ilvl w:val="0"/>
          <w:numId w:val="3"/>
        </w:numPr>
      </w:pPr>
      <w:r w:rsidRPr="00BF4D1D">
        <w:t>The 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Default="00F530F0" w:rsidP="00172605">
      <w:pPr>
        <w:pStyle w:val="6Text"/>
        <w:numPr>
          <w:ilvl w:val="0"/>
          <w:numId w:val="3"/>
        </w:numPr>
      </w:pPr>
      <w:r w:rsidRPr="00BF4D1D">
        <w:t>OPG is entitled to fees as the Financial Services Manager.</w:t>
      </w:r>
    </w:p>
    <w:p w14:paraId="5A5D010F" w14:textId="738A3C9F" w:rsidR="00B4501B" w:rsidRPr="00BF4D1D" w:rsidRDefault="00B4501B" w:rsidP="00172605">
      <w:pPr>
        <w:pStyle w:val="6Text"/>
        <w:numPr>
          <w:ilvl w:val="0"/>
          <w:numId w:val="3"/>
        </w:numPr>
      </w:pPr>
      <w:r>
        <w:t>OPG, as Financial Services Manager, cannot resign from its duties or terminate the Management Agreement</w:t>
      </w:r>
      <w:r w:rsidR="009A05F2">
        <w:t xml:space="preserve"> if there are outstanding obligations</w:t>
      </w:r>
      <w:r>
        <w:t>.  Only the Issuer Trustee (Computershare), together with the Indenture Trustee (BNY) can remove OPG.</w:t>
      </w:r>
    </w:p>
    <w:p w14:paraId="38E2C42B" w14:textId="77777777" w:rsidR="007F5FFA" w:rsidRPr="00BF4D1D" w:rsidRDefault="007F5FFA" w:rsidP="007F5FFA">
      <w:pPr>
        <w:pStyle w:val="6Text"/>
      </w:pPr>
    </w:p>
    <w:p w14:paraId="223DE594" w14:textId="750AE40D" w:rsidR="002E0F25" w:rsidRDefault="002E0F25" w:rsidP="008675DF">
      <w:pPr>
        <w:pStyle w:val="2Heading1"/>
        <w:keepNext/>
      </w:pPr>
      <w:r w:rsidRPr="00BF4D1D">
        <w:t>FHP Debt, borrowing and repayment profile</w:t>
      </w:r>
    </w:p>
    <w:p w14:paraId="1D92005D" w14:textId="77777777" w:rsidR="00E02B2D" w:rsidRPr="00BF4D1D" w:rsidRDefault="00E02B2D" w:rsidP="008675DF">
      <w:pPr>
        <w:pStyle w:val="2Heading1"/>
        <w:keepNext/>
      </w:pPr>
    </w:p>
    <w:p w14:paraId="1EBA8189" w14:textId="79CD0971" w:rsidR="00476217" w:rsidRPr="008675DF" w:rsidRDefault="00725953" w:rsidP="008675DF">
      <w:pPr>
        <w:pStyle w:val="6Text"/>
        <w:jc w:val="center"/>
        <w:rPr>
          <w:b/>
        </w:rPr>
      </w:pPr>
      <w:r w:rsidRPr="00A53BF3">
        <w:rPr>
          <w:b/>
        </w:rPr>
        <w:t xml:space="preserve">Figure 1: </w:t>
      </w:r>
      <w:r w:rsidR="00476217" w:rsidRPr="008675DF">
        <w:rPr>
          <w:b/>
        </w:rPr>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4DDFBF2A">
            <wp:extent cx="5943600" cy="1743779"/>
            <wp:effectExtent l="38100" t="38100" r="95250" b="1041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5E4BA522" w:rsidR="00476217" w:rsidRPr="008675DF" w:rsidRDefault="00FD024D" w:rsidP="008675DF">
      <w:pPr>
        <w:pStyle w:val="6Text"/>
        <w:tabs>
          <w:tab w:val="left" w:pos="900"/>
        </w:tabs>
        <w:jc w:val="center"/>
        <w:rPr>
          <w:b/>
        </w:rPr>
      </w:pPr>
      <w:r w:rsidRPr="008675DF">
        <w:rPr>
          <w:b/>
          <w:noProof/>
          <w:lang w:val="en-CA" w:eastAsia="en-CA"/>
        </w:rPr>
        <w:lastRenderedPageBreak/>
        <w:drawing>
          <wp:anchor distT="0" distB="0" distL="114300" distR="114300" simplePos="0" relativeHeight="251659264" behindDoc="0" locked="0" layoutInCell="1" allowOverlap="1" wp14:anchorId="6CAB9079" wp14:editId="02DC65F5">
            <wp:simplePos x="0" y="0"/>
            <wp:positionH relativeFrom="margin">
              <wp:align>right</wp:align>
            </wp:positionH>
            <wp:positionV relativeFrom="paragraph">
              <wp:posOffset>370840</wp:posOffset>
            </wp:positionV>
            <wp:extent cx="5943600" cy="2430145"/>
            <wp:effectExtent l="38100" t="38100" r="95250" b="10350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25953">
        <w:rPr>
          <w:b/>
        </w:rPr>
        <w:t xml:space="preserve">Figure 2: </w:t>
      </w:r>
      <w:r w:rsidR="00476217" w:rsidRPr="008675DF">
        <w:rPr>
          <w:b/>
        </w:rPr>
        <w:t>Fair Hydro Trust Borrowing and Repayment Profile</w:t>
      </w:r>
    </w:p>
    <w:p w14:paraId="5FD8AE9D" w14:textId="254EE61A" w:rsidR="00476217" w:rsidRPr="00BF4D1D" w:rsidRDefault="00476217" w:rsidP="00476217">
      <w:pPr>
        <w:pStyle w:val="6Text"/>
        <w:tabs>
          <w:tab w:val="left" w:pos="900"/>
        </w:tabs>
      </w:pP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497B74FE" w:rsidR="007F5FFA" w:rsidRPr="00BF4D1D" w:rsidRDefault="00D0617A" w:rsidP="00172605">
      <w:pPr>
        <w:pStyle w:val="6Text"/>
        <w:numPr>
          <w:ilvl w:val="0"/>
          <w:numId w:val="4"/>
        </w:numPr>
      </w:pPr>
      <w:commentRangeStart w:id="4"/>
      <w:commentRangeStart w:id="5"/>
      <w:commentRangeStart w:id="6"/>
      <w:commentRangeStart w:id="7"/>
      <w:r w:rsidRPr="00BF4D1D">
        <w:t xml:space="preserve">Fair Allocation Amount and Readjustment </w:t>
      </w:r>
      <w:r w:rsidR="00227DBE">
        <w:t>A</w:t>
      </w:r>
      <w:r w:rsidRPr="00BF4D1D">
        <w:t xml:space="preserve">mount </w:t>
      </w:r>
      <w:commentRangeEnd w:id="4"/>
      <w:r w:rsidR="00227DBE">
        <w:rPr>
          <w:rStyle w:val="CommentReference"/>
          <w:rFonts w:eastAsiaTheme="minorHAnsi" w:cstheme="minorBidi"/>
          <w:lang w:val="en-CA"/>
        </w:rPr>
        <w:commentReference w:id="4"/>
      </w:r>
      <w:commentRangeEnd w:id="5"/>
      <w:r w:rsidR="00227DBE">
        <w:rPr>
          <w:rStyle w:val="CommentReference"/>
          <w:rFonts w:eastAsiaTheme="minorHAnsi" w:cstheme="minorBidi"/>
          <w:lang w:val="en-CA"/>
        </w:rPr>
        <w:commentReference w:id="5"/>
      </w:r>
      <w:commentRangeEnd w:id="6"/>
      <w:r w:rsidR="00227DBE">
        <w:rPr>
          <w:rStyle w:val="CommentReference"/>
          <w:rFonts w:eastAsiaTheme="minorHAnsi" w:cstheme="minorBidi"/>
          <w:lang w:val="en-CA"/>
        </w:rPr>
        <w:commentReference w:id="6"/>
      </w:r>
      <w:commentRangeEnd w:id="7"/>
      <w:r w:rsidR="00DE6C7D">
        <w:rPr>
          <w:rStyle w:val="CommentReference"/>
          <w:rFonts w:eastAsiaTheme="minorHAnsi" w:cstheme="minorBidi"/>
          <w:lang w:val="en-CA"/>
        </w:rPr>
        <w:commentReference w:id="7"/>
      </w:r>
      <w:r w:rsidRPr="00BF4D1D">
        <w:t>are calculated by ENERGY ‘</w:t>
      </w:r>
      <w:r w:rsidRPr="00CB1873">
        <w:rPr>
          <w:i/>
        </w:rPr>
        <w:t>for every reference period over the term of the FHP</w:t>
      </w:r>
      <w:r w:rsidRPr="00BF4D1D">
        <w:t>’</w:t>
      </w:r>
      <w:r w:rsidR="00615BF6" w:rsidRPr="00BF4D1D">
        <w:t xml:space="preserve"> and used to allocate Clean Energy Costs and Clean Energy Benefits fairly among specified consumers.</w:t>
      </w:r>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434"/>
        <w:gridCol w:w="1402"/>
        <w:gridCol w:w="352"/>
        <w:gridCol w:w="481"/>
        <w:gridCol w:w="1460"/>
        <w:gridCol w:w="434"/>
        <w:gridCol w:w="1275"/>
        <w:gridCol w:w="434"/>
        <w:gridCol w:w="1408"/>
        <w:gridCol w:w="483"/>
      </w:tblGrid>
      <w:tr w:rsidR="00F351E3" w:rsidRPr="00BF4D1D" w14:paraId="06E07973" w14:textId="77777777" w:rsidTr="008675DF">
        <w:trPr>
          <w:trHeight w:val="432"/>
        </w:trPr>
        <w:tc>
          <w:tcPr>
            <w:tcW w:w="5000" w:type="pct"/>
            <w:gridSpan w:val="11"/>
            <w:shd w:val="clear" w:color="auto" w:fill="DBE5F1" w:themeFill="accent1" w:themeFillTint="33"/>
            <w:vAlign w:val="center"/>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0188F5B2" w:rsidR="00C22366" w:rsidRPr="00BF4D1D" w:rsidRDefault="00C22366" w:rsidP="00172605">
      <w:pPr>
        <w:pStyle w:val="6Text"/>
        <w:numPr>
          <w:ilvl w:val="0"/>
          <w:numId w:val="4"/>
        </w:numPr>
      </w:pPr>
      <w:r w:rsidRPr="00BF4D1D">
        <w:t xml:space="preserve">The </w:t>
      </w:r>
      <w:r w:rsidR="00FD4025">
        <w:t>R</w:t>
      </w:r>
      <w:r w:rsidRPr="00BF4D1D">
        <w:t xml:space="preserve">eadjustment </w:t>
      </w:r>
      <w:r w:rsidR="00FD4025">
        <w:t>A</w:t>
      </w:r>
      <w:r w:rsidRPr="00BF4D1D">
        <w:t xml:space="preserve">mount is used to increase the amount borrowed to account for differences in rates determined by the OEB to be </w:t>
      </w:r>
      <w:r w:rsidR="00FD4025">
        <w:t xml:space="preserve">in </w:t>
      </w:r>
      <w:r w:rsidRPr="00BF4D1D">
        <w:t>alignment with the Fair Hydro Plan price reductions, and the Fair Allocation Amount.</w:t>
      </w:r>
      <w:r w:rsidR="00E327B2">
        <w:br/>
      </w:r>
    </w:p>
    <w:p w14:paraId="72E1C3D9" w14:textId="7E4658D2" w:rsidR="00211A52" w:rsidRPr="00BF4D1D" w:rsidRDefault="00211A52" w:rsidP="00211A52">
      <w:pPr>
        <w:pStyle w:val="6Text"/>
        <w:ind w:left="360"/>
      </w:pPr>
      <w:r w:rsidRPr="00BF4D1D">
        <w:t>Note: Additional definitions of the Fair Allocation Amount are provided in legislat</w:t>
      </w:r>
      <w:r w:rsidR="00E327B2">
        <w:t>ion</w:t>
      </w:r>
      <w:r w:rsidRPr="00BF4D1D">
        <w:t>.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31351ADE" w:rsidR="0089331B" w:rsidRPr="00BF4D1D" w:rsidRDefault="0089331B" w:rsidP="00D36A5D">
      <w:pPr>
        <w:pStyle w:val="7Bullet1"/>
      </w:pPr>
      <w:r w:rsidRPr="00BF4D1D">
        <w:lastRenderedPageBreak/>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in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17E2256E"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r w:rsidR="00E327B2">
        <w:br/>
      </w:r>
    </w:p>
    <w:p w14:paraId="4C7684D2" w14:textId="6A674C2C" w:rsidR="00E36B69" w:rsidRPr="00BF4D1D" w:rsidRDefault="00090B4B" w:rsidP="00090B4B">
      <w:pPr>
        <w:pStyle w:val="7Bullet1"/>
        <w:numPr>
          <w:ilvl w:val="0"/>
          <w:numId w:val="0"/>
        </w:numPr>
        <w:rPr>
          <w:i/>
        </w:rPr>
      </w:pPr>
      <w:r w:rsidRPr="00CB1873">
        <w:rPr>
          <w:i/>
          <w:u w:val="single"/>
        </w:rPr>
        <w:t xml:space="preserve">EFB </w:t>
      </w:r>
      <w:r w:rsidR="00E327B2" w:rsidRPr="00CB1873">
        <w:rPr>
          <w:i/>
          <w:u w:val="single"/>
        </w:rPr>
        <w:t xml:space="preserve">Staff </w:t>
      </w:r>
      <w:r w:rsidRPr="00CB1873">
        <w:rPr>
          <w:i/>
          <w:u w:val="single"/>
        </w:rPr>
        <w:t>Comment:</w:t>
      </w:r>
      <w:r w:rsidRPr="00BF4D1D">
        <w:rPr>
          <w:i/>
        </w:rPr>
        <w:t xml:space="preserve">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73FFEE13" w14:textId="16EC34FB" w:rsidR="003C0528" w:rsidRPr="00BF4D1D" w:rsidRDefault="00767EB7" w:rsidP="00DE6C7D">
      <w:pPr>
        <w:pStyle w:val="7Bullet1"/>
        <w:numPr>
          <w:ilvl w:val="0"/>
          <w:numId w:val="6"/>
        </w:numPr>
      </w:pPr>
      <w:r w:rsidRPr="008675DF">
        <w:rPr>
          <w:b/>
        </w:rPr>
        <w:t>IESO deferrals</w:t>
      </w:r>
      <w:r w:rsidRPr="00BF4D1D">
        <w:t xml:space="preserve"> will be based </w:t>
      </w:r>
      <w:r w:rsidR="00553A18" w:rsidRPr="00BF4D1D">
        <w:t xml:space="preserve">on </w:t>
      </w:r>
      <w:r w:rsidRPr="00BF4D1D">
        <w:t xml:space="preserve">the Fair Allocation and Readjustment Amounts provided by the Ministry of Energy. </w:t>
      </w:r>
      <w:r w:rsidR="00DE6C7D">
        <w:t>N</w:t>
      </w:r>
      <w:r w:rsidR="00244081" w:rsidRPr="00BF4D1D">
        <w:t>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 xml:space="preserve">The </w:t>
      </w:r>
      <w:r w:rsidRPr="008675DF">
        <w:rPr>
          <w:b/>
        </w:rPr>
        <w:t>purchases of the Investment Assets</w:t>
      </w:r>
      <w:r w:rsidRPr="00BF4D1D">
        <w:t xml:space="preserve">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8675DF">
        <w:rPr>
          <w:b/>
        </w:rPr>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35C3552C" w:rsidR="000C40E7" w:rsidRPr="00BF4D1D" w:rsidRDefault="000C40E7" w:rsidP="00172605">
      <w:pPr>
        <w:pStyle w:val="7Bullet1"/>
        <w:numPr>
          <w:ilvl w:val="2"/>
          <w:numId w:val="6"/>
        </w:numPr>
      </w:pPr>
      <w:r w:rsidRPr="00BF4D1D">
        <w:t>The repayments profile won’t be able to a</w:t>
      </w:r>
      <w:r w:rsidR="00641741">
        <w:t>lign with the borrowing profile</w:t>
      </w:r>
      <w:r w:rsidRPr="00BF4D1D">
        <w:t xml:space="preserve"> (ie repayments </w:t>
      </w:r>
      <w:r w:rsidR="00641741">
        <w:t xml:space="preserve">begin at </w:t>
      </w:r>
      <w:r w:rsidRPr="00BF4D1D">
        <w:t xml:space="preserve">$400M begin </w:t>
      </w:r>
      <w:r w:rsidR="00641741">
        <w:t xml:space="preserve">even though </w:t>
      </w:r>
      <w:r w:rsidRPr="00BF4D1D">
        <w:t>first year borrowing is expected to be $1B). As a result, the maturities will be staggered up to 30 years and capped at the projected Fair Allocation Amount and readjustment amount for each six-month Reference Period.</w:t>
      </w:r>
    </w:p>
    <w:p w14:paraId="73BB26B9" w14:textId="0ACCA7F5" w:rsidR="000C40E7" w:rsidRPr="00BF4D1D" w:rsidRDefault="00B82572" w:rsidP="00FD0CB4">
      <w:pPr>
        <w:pStyle w:val="7Bullet3"/>
        <w:tabs>
          <w:tab w:val="clear" w:pos="1800"/>
          <w:tab w:val="left" w:pos="1440"/>
        </w:tabs>
        <w:ind w:left="1440"/>
      </w:pPr>
      <w:r>
        <w:t>Debt Maturities</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Pr="00A53BF3" w:rsidRDefault="00CC0EB4" w:rsidP="00172605">
      <w:pPr>
        <w:pStyle w:val="7Bullet1"/>
        <w:numPr>
          <w:ilvl w:val="0"/>
          <w:numId w:val="6"/>
        </w:numPr>
      </w:pPr>
      <w:r w:rsidRPr="008675DF">
        <w:rPr>
          <w:b/>
        </w:rP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506CC594" w:rsidR="00CC0EB4" w:rsidRDefault="00CC0EB4" w:rsidP="00172605">
      <w:pPr>
        <w:pStyle w:val="7Bullet1"/>
        <w:numPr>
          <w:ilvl w:val="2"/>
          <w:numId w:val="6"/>
        </w:numPr>
      </w:pPr>
      <w:r>
        <w:t xml:space="preserve">When it is more advantageous to perform original financing on a short term basis than a long term basis </w:t>
      </w:r>
    </w:p>
    <w:p w14:paraId="5BB75496" w14:textId="4CFE8EC8" w:rsidR="00CC0EB4" w:rsidRDefault="00CC0EB4" w:rsidP="00172605">
      <w:pPr>
        <w:pStyle w:val="7Bullet1"/>
        <w:numPr>
          <w:ilvl w:val="2"/>
          <w:numId w:val="6"/>
        </w:numPr>
      </w:pPr>
      <w:r>
        <w:lastRenderedPageBreak/>
        <w:t>Borrowing amounts are revised (eg. Fair Allocation Amount or Readjustment Amount change)</w:t>
      </w:r>
    </w:p>
    <w:p w14:paraId="7B8C35F2" w14:textId="3EB8C27E" w:rsidR="00CC0EB4" w:rsidRDefault="00CC0EB4" w:rsidP="00172605">
      <w:pPr>
        <w:pStyle w:val="7Bullet1"/>
        <w:numPr>
          <w:ilvl w:val="2"/>
          <w:numId w:val="6"/>
        </w:numPr>
      </w:pPr>
      <w:r>
        <w:t xml:space="preserve">Since no Clean Energy Adjustments will be collected until April 30, 2021, </w:t>
      </w:r>
      <w:r w:rsidR="006D4DFD">
        <w:t xml:space="preserve">any </w:t>
      </w:r>
      <w:r>
        <w:t>debt maturities during this period will need to be refinanced</w:t>
      </w:r>
      <w:r w:rsidR="006D4DFD">
        <w:t>.</w:t>
      </w:r>
    </w:p>
    <w:p w14:paraId="77E49EF9" w14:textId="77777777" w:rsidR="006D4DFD" w:rsidRDefault="006D4DFD" w:rsidP="006D4DFD">
      <w:pPr>
        <w:pStyle w:val="7Bullet1"/>
        <w:numPr>
          <w:ilvl w:val="0"/>
          <w:numId w:val="0"/>
        </w:numPr>
        <w:ind w:left="2160"/>
      </w:pPr>
    </w:p>
    <w:p w14:paraId="035F0D45" w14:textId="3F326E2E" w:rsidR="00CC0EB4" w:rsidRPr="00927370" w:rsidRDefault="00CC0EB4" w:rsidP="00927370">
      <w:pPr>
        <w:pStyle w:val="7Bullet1"/>
        <w:numPr>
          <w:ilvl w:val="0"/>
          <w:numId w:val="0"/>
        </w:numPr>
        <w:ind w:left="1440"/>
        <w:rPr>
          <w:i/>
        </w:rPr>
      </w:pPr>
      <w:r w:rsidRPr="006D4DFD">
        <w:rPr>
          <w:i/>
          <w:u w:val="single"/>
        </w:rPr>
        <w:t>EFB Comment:</w:t>
      </w:r>
      <w:r w:rsidRPr="00927370">
        <w:rPr>
          <w:i/>
        </w:rPr>
        <w:t xml:space="preserve">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546F4BFC" w14:textId="56E3C937" w:rsidR="00CE4292" w:rsidRDefault="00E50A30" w:rsidP="006E103A">
      <w:pPr>
        <w:pStyle w:val="7Bullet1"/>
        <w:keepNext/>
        <w:numPr>
          <w:ilvl w:val="0"/>
          <w:numId w:val="6"/>
        </w:numPr>
      </w:pPr>
      <w:r>
        <w:t xml:space="preserve">The </w:t>
      </w:r>
      <w:r w:rsidR="006D4DFD">
        <w:t xml:space="preserve">Trust has a </w:t>
      </w:r>
      <w:r>
        <w:t xml:space="preserve">variety of </w:t>
      </w:r>
      <w:r w:rsidRPr="008675DF">
        <w:rPr>
          <w:b/>
        </w:rPr>
        <w:t>cash flow</w:t>
      </w:r>
      <w:r>
        <w:t xml:space="preserve"> needs</w:t>
      </w:r>
      <w:r w:rsidR="006D4DFD">
        <w:t xml:space="preserve"> to meet its contractual obligations</w:t>
      </w:r>
      <w:r w:rsidR="00CE4292">
        <w:t>, please see graphic below.</w:t>
      </w:r>
    </w:p>
    <w:p w14:paraId="2301F8A3" w14:textId="6BCA621B" w:rsidR="00BF4D1D" w:rsidRDefault="00BF4D1D" w:rsidP="008675DF">
      <w:pPr>
        <w:pStyle w:val="7Bullet1"/>
        <w:keepNext/>
        <w:numPr>
          <w:ilvl w:val="0"/>
          <w:numId w:val="0"/>
        </w:numPr>
        <w:ind w:left="720"/>
      </w:pPr>
    </w:p>
    <w:p w14:paraId="54CEC5FF" w14:textId="2DE20F3C" w:rsidR="00CB0DAA" w:rsidRDefault="00CE4292" w:rsidP="008675DF">
      <w:pPr>
        <w:pStyle w:val="7Bullet1"/>
        <w:keepNext/>
        <w:numPr>
          <w:ilvl w:val="0"/>
          <w:numId w:val="0"/>
        </w:numPr>
        <w:ind w:left="720"/>
        <w:jc w:val="center"/>
        <w:rPr>
          <w:b/>
        </w:rPr>
      </w:pPr>
      <w:r>
        <w:rPr>
          <w:b/>
        </w:rPr>
        <w:t>Figure 3: Cashflow Needs</w:t>
      </w:r>
    </w:p>
    <w:p w14:paraId="26E9D4B5" w14:textId="7391F054" w:rsidR="00B1224A" w:rsidRDefault="00B1224A" w:rsidP="008675DF">
      <w:pPr>
        <w:pStyle w:val="7Bullet1"/>
        <w:keepNext/>
        <w:numPr>
          <w:ilvl w:val="0"/>
          <w:numId w:val="0"/>
        </w:numPr>
        <w:ind w:left="720"/>
        <w:jc w:val="center"/>
      </w:pPr>
      <w:r>
        <w:rPr>
          <w:b/>
        </w:rPr>
        <w:t>[Update graphic]</w:t>
      </w:r>
    </w:p>
    <w:p w14:paraId="0AA5559A" w14:textId="0ABB249B" w:rsidR="00E50A30" w:rsidRPr="00BF4D1D" w:rsidRDefault="00E50A30" w:rsidP="00E50A30">
      <w:pPr>
        <w:pStyle w:val="7Bullet1"/>
        <w:numPr>
          <w:ilvl w:val="0"/>
          <w:numId w:val="0"/>
        </w:numPr>
        <w:ind w:left="720"/>
      </w:pPr>
      <w:r w:rsidRPr="00F37274">
        <w:rPr>
          <w:rFonts w:ascii="Arial" w:hAnsi="Arial"/>
          <w:noProof/>
          <w:lang w:val="en-CA" w:eastAsia="en-CA"/>
        </w:rPr>
        <w:drawing>
          <wp:inline distT="0" distB="0" distL="0" distR="0" wp14:anchorId="4877FBDD" wp14:editId="0F9DCC8A">
            <wp:extent cx="5943600" cy="3344030"/>
            <wp:effectExtent l="57150" t="57150" r="114300" b="1231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40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789386B1"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6D4DFD">
        <w:rPr>
          <w:sz w:val="24"/>
          <w:szCs w:val="24"/>
        </w:rPr>
        <w:t xml:space="preserve"> by the </w:t>
      </w:r>
      <w:r w:rsidR="000F2FF3">
        <w:rPr>
          <w:sz w:val="24"/>
          <w:szCs w:val="24"/>
        </w:rPr>
        <w:t>Trust</w:t>
      </w:r>
      <w:r w:rsidRPr="00B6519E">
        <w:rPr>
          <w:sz w:val="24"/>
          <w:szCs w:val="24"/>
        </w:rPr>
        <w:t>:</w:t>
      </w:r>
    </w:p>
    <w:p w14:paraId="72A4812D" w14:textId="76FD51B0" w:rsidR="003E4D31" w:rsidRPr="006D4DFD" w:rsidRDefault="003E4D31" w:rsidP="00B6519E">
      <w:pPr>
        <w:pStyle w:val="7Bullet3"/>
        <w:tabs>
          <w:tab w:val="clear" w:pos="1800"/>
          <w:tab w:val="left" w:pos="1440"/>
        </w:tabs>
        <w:ind w:left="1440"/>
        <w:rPr>
          <w:u w:val="single"/>
        </w:rPr>
      </w:pPr>
      <w:r w:rsidRPr="006D4DFD">
        <w:rPr>
          <w:u w:val="single"/>
        </w:rPr>
        <w:t>Short Term</w:t>
      </w:r>
      <w:r w:rsidR="006B64C2" w:rsidRPr="006D4DFD">
        <w:rPr>
          <w:u w:val="single"/>
        </w:rPr>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44D4F1EF" w:rsidR="00B6519E" w:rsidRPr="00B6519E" w:rsidRDefault="0088303A" w:rsidP="00172605">
      <w:pPr>
        <w:pStyle w:val="ListParagraph"/>
        <w:numPr>
          <w:ilvl w:val="3"/>
          <w:numId w:val="6"/>
        </w:numPr>
        <w:spacing w:after="0"/>
        <w:rPr>
          <w:sz w:val="24"/>
          <w:szCs w:val="24"/>
        </w:rPr>
      </w:pPr>
      <w:r>
        <w:rPr>
          <w:sz w:val="24"/>
          <w:szCs w:val="24"/>
        </w:rPr>
        <w:t xml:space="preserve">The Trust has </w:t>
      </w:r>
      <w:r w:rsidR="000F2FF3">
        <w:rPr>
          <w:sz w:val="24"/>
          <w:szCs w:val="24"/>
        </w:rPr>
        <w:t xml:space="preserve">a </w:t>
      </w:r>
      <w:r w:rsidR="00F22B6E">
        <w:rPr>
          <w:sz w:val="24"/>
          <w:szCs w:val="24"/>
        </w:rPr>
        <w:t xml:space="preserve">$800M </w:t>
      </w:r>
      <w:r w:rsidR="000F2FF3">
        <w:rPr>
          <w:sz w:val="24"/>
          <w:szCs w:val="24"/>
        </w:rPr>
        <w:t xml:space="preserve">warehouse </w:t>
      </w:r>
      <w:r w:rsidR="00F22B6E">
        <w:rPr>
          <w:sz w:val="24"/>
          <w:szCs w:val="24"/>
        </w:rPr>
        <w:t xml:space="preserve">facility with </w:t>
      </w:r>
      <w:r w:rsidR="00B818DD">
        <w:rPr>
          <w:sz w:val="24"/>
          <w:szCs w:val="24"/>
        </w:rPr>
        <w:t xml:space="preserve">a bank </w:t>
      </w:r>
      <w:r w:rsidR="00F22B6E">
        <w:rPr>
          <w:sz w:val="24"/>
          <w:szCs w:val="24"/>
        </w:rPr>
        <w:t xml:space="preserve">syndicate of CIBC, RBC and Goldman Sachs. </w:t>
      </w:r>
      <w:r w:rsidR="000F2FF3">
        <w:rPr>
          <w:sz w:val="24"/>
          <w:szCs w:val="24"/>
        </w:rPr>
        <w:t>This facility is u</w:t>
      </w:r>
      <w:r w:rsidR="00F22B6E">
        <w:rPr>
          <w:sz w:val="24"/>
          <w:szCs w:val="24"/>
        </w:rPr>
        <w:t>sed to fund short term borrowings to get asset off of IESO’s books</w:t>
      </w:r>
      <w:r w:rsidR="000F2FF3">
        <w:rPr>
          <w:sz w:val="24"/>
          <w:szCs w:val="24"/>
        </w:rPr>
        <w:t xml:space="preserve"> on a monthly basis</w:t>
      </w:r>
      <w:r w:rsidR="006B64C2">
        <w:rPr>
          <w:sz w:val="24"/>
          <w:szCs w:val="24"/>
        </w:rPr>
        <w:t xml:space="preserve">, </w:t>
      </w:r>
      <w:r w:rsidR="000F2FF3">
        <w:rPr>
          <w:sz w:val="24"/>
          <w:szCs w:val="24"/>
        </w:rPr>
        <w:t xml:space="preserve">and </w:t>
      </w:r>
      <w:r w:rsidR="006B64C2">
        <w:rPr>
          <w:sz w:val="24"/>
          <w:szCs w:val="24"/>
        </w:rPr>
        <w:t>before the assets can be issued to the capital markets.</w:t>
      </w:r>
    </w:p>
    <w:p w14:paraId="4180C4A3" w14:textId="43651875" w:rsidR="00452B12" w:rsidRPr="00035FD8" w:rsidRDefault="00452B12" w:rsidP="00CF799B">
      <w:pPr>
        <w:pStyle w:val="ListParagraph"/>
        <w:keepNext/>
        <w:numPr>
          <w:ilvl w:val="2"/>
          <w:numId w:val="6"/>
        </w:numPr>
        <w:spacing w:after="0"/>
        <w:ind w:hanging="360"/>
        <w:rPr>
          <w:b/>
          <w:sz w:val="24"/>
          <w:szCs w:val="24"/>
        </w:rPr>
      </w:pPr>
      <w:r w:rsidRPr="00035FD8">
        <w:rPr>
          <w:b/>
          <w:sz w:val="24"/>
          <w:szCs w:val="24"/>
        </w:rPr>
        <w:lastRenderedPageBreak/>
        <w:t>Revolving Bank Lines of Credit</w:t>
      </w:r>
      <w:r w:rsidR="00C23CDD" w:rsidRPr="00035FD8">
        <w:rPr>
          <w:b/>
          <w:sz w:val="24"/>
          <w:szCs w:val="24"/>
        </w:rPr>
        <w:t xml:space="preserve"> </w:t>
      </w:r>
    </w:p>
    <w:p w14:paraId="456B6095" w14:textId="1A0DAADD" w:rsidR="00C23CDD" w:rsidRPr="00B6519E" w:rsidRDefault="000F2FF3" w:rsidP="00172605">
      <w:pPr>
        <w:pStyle w:val="ListParagraph"/>
        <w:numPr>
          <w:ilvl w:val="3"/>
          <w:numId w:val="6"/>
        </w:numPr>
        <w:spacing w:after="0"/>
        <w:rPr>
          <w:sz w:val="24"/>
          <w:szCs w:val="24"/>
        </w:rPr>
      </w:pPr>
      <w:r>
        <w:rPr>
          <w:sz w:val="24"/>
          <w:szCs w:val="24"/>
        </w:rPr>
        <w:t>This facility w</w:t>
      </w:r>
      <w:r w:rsidR="00C23CDD">
        <w:rPr>
          <w:sz w:val="24"/>
          <w:szCs w:val="24"/>
        </w:rPr>
        <w:t xml:space="preserve">ill be used when </w:t>
      </w:r>
      <w:r>
        <w:rPr>
          <w:sz w:val="24"/>
          <w:szCs w:val="24"/>
        </w:rPr>
        <w:t xml:space="preserve">it is deemed </w:t>
      </w:r>
      <w:r w:rsidR="00C23CDD">
        <w:rPr>
          <w:sz w:val="24"/>
          <w:szCs w:val="24"/>
        </w:rPr>
        <w:t>more cost effective than short-term notes</w:t>
      </w:r>
      <w:r w:rsidR="00F22B6E">
        <w:rPr>
          <w:sz w:val="24"/>
          <w:szCs w:val="24"/>
        </w:rPr>
        <w:t xml:space="preserve"> (ABCP)</w:t>
      </w:r>
    </w:p>
    <w:p w14:paraId="3C058D58" w14:textId="6AE9F5C8" w:rsidR="00452B12" w:rsidRPr="006D4DFD" w:rsidRDefault="00452B12" w:rsidP="00B6519E">
      <w:pPr>
        <w:pStyle w:val="7Bullet3"/>
        <w:tabs>
          <w:tab w:val="clear" w:pos="1800"/>
          <w:tab w:val="left" w:pos="1440"/>
        </w:tabs>
        <w:ind w:left="1440"/>
        <w:rPr>
          <w:u w:val="single"/>
        </w:rPr>
      </w:pPr>
      <w:r w:rsidRPr="006D4DFD">
        <w:rPr>
          <w:u w:val="single"/>
        </w:rPr>
        <w:t>Medium to Long-Term</w:t>
      </w:r>
      <w:r w:rsidR="00384DC6" w:rsidRPr="006D4DFD">
        <w:rPr>
          <w:u w:val="single"/>
        </w:rPr>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t>Term Asset Backed Security</w:t>
      </w:r>
      <w:r w:rsidR="009A60A2" w:rsidRPr="009A60A2">
        <w:rPr>
          <w:b/>
          <w:sz w:val="24"/>
          <w:szCs w:val="24"/>
        </w:rPr>
        <w:t xml:space="preserve"> </w:t>
      </w:r>
      <w:r w:rsidR="009A60A2" w:rsidRPr="00CF799B">
        <w:rPr>
          <w:sz w:val="24"/>
          <w:szCs w:val="24"/>
        </w:rPr>
        <w:t>and</w:t>
      </w:r>
      <w:r w:rsidR="009A60A2">
        <w:rPr>
          <w:b/>
          <w:sz w:val="24"/>
          <w:szCs w:val="24"/>
        </w:rPr>
        <w:t xml:space="preserve"> </w:t>
      </w:r>
      <w:r w:rsidR="009A60A2" w:rsidRPr="009A60A2">
        <w:rPr>
          <w:b/>
          <w:sz w:val="24"/>
          <w:szCs w:val="24"/>
        </w:rPr>
        <w:t>Privately Placed Debt Securities in Canadian or US Markets</w:t>
      </w:r>
    </w:p>
    <w:p w14:paraId="2DA9E03B" w14:textId="25F135CB" w:rsidR="00035FD8" w:rsidRDefault="006B64C2" w:rsidP="00172605">
      <w:pPr>
        <w:pStyle w:val="ListParagraph"/>
        <w:numPr>
          <w:ilvl w:val="3"/>
          <w:numId w:val="6"/>
        </w:numPr>
        <w:spacing w:after="0"/>
        <w:rPr>
          <w:sz w:val="24"/>
          <w:szCs w:val="24"/>
        </w:rPr>
      </w:pPr>
      <w:r>
        <w:rPr>
          <w:sz w:val="24"/>
          <w:szCs w:val="24"/>
        </w:rPr>
        <w:t>Bullet Bonds will be</w:t>
      </w:r>
      <w:r w:rsidR="005D7763">
        <w:rPr>
          <w:sz w:val="24"/>
          <w:szCs w:val="24"/>
        </w:rPr>
        <w:t xml:space="preserve"> issued (ie. </w:t>
      </w:r>
      <w:r w:rsidR="00035FD8">
        <w:rPr>
          <w:sz w:val="24"/>
          <w:szCs w:val="24"/>
        </w:rPr>
        <w:t>entire face value wi</w:t>
      </w:r>
      <w:r w:rsidR="005D7763">
        <w:rPr>
          <w:sz w:val="24"/>
          <w:szCs w:val="24"/>
        </w:rPr>
        <w:t xml:space="preserve">ll need to be paid at maturity </w:t>
      </w:r>
      <w:r w:rsidR="00035FD8">
        <w:rPr>
          <w:sz w:val="24"/>
          <w:szCs w:val="24"/>
        </w:rPr>
        <w:t>rather than amo</w:t>
      </w:r>
      <w:r>
        <w:rPr>
          <w:sz w:val="24"/>
          <w:szCs w:val="24"/>
        </w:rPr>
        <w:t>r</w:t>
      </w:r>
      <w:r w:rsidR="00035FD8">
        <w:rPr>
          <w:sz w:val="24"/>
          <w:szCs w:val="24"/>
        </w:rPr>
        <w:t>tized).</w:t>
      </w:r>
    </w:p>
    <w:p w14:paraId="7DFDCFFF" w14:textId="3586AE71" w:rsidR="00035FD8" w:rsidRPr="00035FD8" w:rsidRDefault="00CF799B" w:rsidP="00172605">
      <w:pPr>
        <w:pStyle w:val="ListParagraph"/>
        <w:numPr>
          <w:ilvl w:val="3"/>
          <w:numId w:val="6"/>
        </w:numPr>
        <w:spacing w:after="0"/>
        <w:rPr>
          <w:sz w:val="24"/>
          <w:szCs w:val="24"/>
        </w:rPr>
      </w:pPr>
      <w:r>
        <w:rPr>
          <w:sz w:val="24"/>
          <w:szCs w:val="24"/>
        </w:rPr>
        <w:t>The i</w:t>
      </w:r>
      <w:r w:rsidR="00035FD8">
        <w:rPr>
          <w:sz w:val="24"/>
          <w:szCs w:val="24"/>
        </w:rPr>
        <w:t xml:space="preserve">ntent </w:t>
      </w:r>
      <w:r>
        <w:rPr>
          <w:sz w:val="24"/>
          <w:szCs w:val="24"/>
        </w:rPr>
        <w:t xml:space="preserve">is to have these bonds </w:t>
      </w:r>
      <w:r w:rsidR="00035FD8">
        <w:rPr>
          <w:sz w:val="24"/>
          <w:szCs w:val="24"/>
        </w:rPr>
        <w:t>issued in the 15 to 25 year term.</w:t>
      </w:r>
      <w:r w:rsidR="00035FD8" w:rsidRPr="00035FD8">
        <w:rPr>
          <w:sz w:val="24"/>
          <w:szCs w:val="24"/>
        </w:rPr>
        <w:t xml:space="preserve"> </w:t>
      </w:r>
    </w:p>
    <w:p w14:paraId="2D93D371" w14:textId="0826F21C" w:rsidR="00F22B6E" w:rsidRPr="00B6519E" w:rsidRDefault="00CF799B" w:rsidP="00172605">
      <w:pPr>
        <w:pStyle w:val="ListParagraph"/>
        <w:numPr>
          <w:ilvl w:val="3"/>
          <w:numId w:val="6"/>
        </w:numPr>
        <w:spacing w:after="0"/>
        <w:rPr>
          <w:sz w:val="24"/>
          <w:szCs w:val="24"/>
        </w:rPr>
      </w:pPr>
      <w:r>
        <w:rPr>
          <w:sz w:val="24"/>
          <w:szCs w:val="24"/>
        </w:rPr>
        <w:t>This facility will f</w:t>
      </w:r>
      <w:r w:rsidR="006B64C2">
        <w:rPr>
          <w:sz w:val="24"/>
          <w:szCs w:val="24"/>
        </w:rPr>
        <w:t xml:space="preserve">inancing </w:t>
      </w:r>
      <w:r w:rsidR="00150F0C">
        <w:rPr>
          <w:sz w:val="24"/>
          <w:szCs w:val="24"/>
        </w:rPr>
        <w:t>51% of the GA deferrals</w:t>
      </w:r>
      <w:r>
        <w:rPr>
          <w:sz w:val="24"/>
          <w:szCs w:val="24"/>
        </w:rPr>
        <w:t>.</w:t>
      </w:r>
    </w:p>
    <w:p w14:paraId="7B28702B" w14:textId="225624BD" w:rsidR="00452B12" w:rsidRPr="006D4DFD" w:rsidRDefault="00452B12" w:rsidP="00B6519E">
      <w:pPr>
        <w:pStyle w:val="7Bullet3"/>
        <w:tabs>
          <w:tab w:val="clear" w:pos="1800"/>
          <w:tab w:val="left" w:pos="1440"/>
        </w:tabs>
        <w:ind w:left="1440"/>
        <w:rPr>
          <w:u w:val="single"/>
        </w:rPr>
      </w:pPr>
      <w:r w:rsidRPr="006D4DFD">
        <w:rPr>
          <w:u w:val="single"/>
        </w:rPr>
        <w:t>Subordinated Debt</w:t>
      </w:r>
    </w:p>
    <w:p w14:paraId="448736D7" w14:textId="2626B503" w:rsidR="003E4D31" w:rsidRDefault="00CF799B" w:rsidP="00172605">
      <w:pPr>
        <w:pStyle w:val="ListParagraph"/>
        <w:numPr>
          <w:ilvl w:val="2"/>
          <w:numId w:val="6"/>
        </w:numPr>
        <w:spacing w:after="0"/>
        <w:ind w:hanging="360"/>
        <w:rPr>
          <w:sz w:val="24"/>
          <w:szCs w:val="24"/>
        </w:rPr>
      </w:pPr>
      <w:r>
        <w:rPr>
          <w:sz w:val="24"/>
          <w:szCs w:val="24"/>
        </w:rPr>
        <w:t xml:space="preserve">Issued to </w:t>
      </w:r>
      <w:r w:rsidR="00452B12" w:rsidRPr="00B6519E">
        <w:rPr>
          <w:sz w:val="24"/>
          <w:szCs w:val="24"/>
        </w:rPr>
        <w:t>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20368C68" w:rsidR="00384DC6" w:rsidRDefault="00CF799B" w:rsidP="00172605">
      <w:pPr>
        <w:pStyle w:val="ListParagraph"/>
        <w:numPr>
          <w:ilvl w:val="2"/>
          <w:numId w:val="6"/>
        </w:numPr>
        <w:spacing w:after="0"/>
        <w:ind w:hanging="360"/>
        <w:rPr>
          <w:sz w:val="24"/>
          <w:szCs w:val="24"/>
        </w:rPr>
      </w:pPr>
      <w:r>
        <w:rPr>
          <w:sz w:val="24"/>
          <w:szCs w:val="24"/>
        </w:rPr>
        <w:t>The subordinated debt w</w:t>
      </w:r>
      <w:r w:rsidR="00384DC6">
        <w:rPr>
          <w:sz w:val="24"/>
          <w:szCs w:val="24"/>
        </w:rPr>
        <w:t>ill assume all of the liquidity and deferral risk</w:t>
      </w:r>
    </w:p>
    <w:p w14:paraId="6AFF837B" w14:textId="2CB097A6" w:rsidR="00384DC6" w:rsidRDefault="000F13C1" w:rsidP="00172605">
      <w:pPr>
        <w:pStyle w:val="ListParagraph"/>
        <w:numPr>
          <w:ilvl w:val="2"/>
          <w:numId w:val="6"/>
        </w:numPr>
        <w:spacing w:after="0"/>
        <w:ind w:hanging="360"/>
        <w:rPr>
          <w:sz w:val="24"/>
          <w:szCs w:val="24"/>
        </w:rPr>
      </w:pPr>
      <w:r>
        <w:rPr>
          <w:sz w:val="24"/>
          <w:szCs w:val="24"/>
        </w:rPr>
        <w:t xml:space="preserve">Interest rate </w:t>
      </w:r>
      <w:r w:rsidR="00CF799B">
        <w:rPr>
          <w:sz w:val="24"/>
          <w:szCs w:val="24"/>
        </w:rPr>
        <w:t xml:space="preserve">for this trance </w:t>
      </w:r>
      <w:r>
        <w:rPr>
          <w:sz w:val="24"/>
          <w:szCs w:val="24"/>
        </w:rPr>
        <w:t>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620342A5"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p>
    <w:p w14:paraId="3220A070" w14:textId="40BDB8C8" w:rsidR="00C13600" w:rsidRPr="00CF799B" w:rsidRDefault="00C13600" w:rsidP="00172605">
      <w:pPr>
        <w:pStyle w:val="ListParagraph"/>
        <w:numPr>
          <w:ilvl w:val="3"/>
          <w:numId w:val="6"/>
        </w:numPr>
        <w:spacing w:after="0"/>
        <w:rPr>
          <w:i/>
          <w:sz w:val="24"/>
          <w:szCs w:val="24"/>
          <w:u w:val="single"/>
        </w:rPr>
      </w:pPr>
      <w:r w:rsidRPr="00CF799B">
        <w:rPr>
          <w:i/>
          <w:sz w:val="24"/>
          <w:szCs w:val="24"/>
          <w:u w:val="single"/>
        </w:rPr>
        <w:t>EFB Comments:</w:t>
      </w:r>
      <w:r w:rsidRPr="00CF799B">
        <w:rPr>
          <w:i/>
          <w:sz w:val="24"/>
          <w:szCs w:val="24"/>
        </w:rPr>
        <w:t xml:space="preserve"> </w:t>
      </w:r>
      <w:r w:rsidRPr="00B1224A">
        <w:rPr>
          <w:i/>
          <w:sz w:val="24"/>
          <w:szCs w:val="24"/>
          <w:highlight w:val="yellow"/>
        </w:rPr>
        <w:t xml:space="preserve">Assuming this is how OPG will fund the 5% portion, however </w:t>
      </w:r>
      <w:r w:rsidR="00CF799B" w:rsidRPr="00B1224A">
        <w:rPr>
          <w:i/>
          <w:sz w:val="24"/>
          <w:szCs w:val="24"/>
          <w:highlight w:val="yellow"/>
        </w:rPr>
        <w:t xml:space="preserve">it is </w:t>
      </w:r>
      <w:r w:rsidRPr="00B1224A">
        <w:rPr>
          <w:i/>
          <w:sz w:val="24"/>
          <w:szCs w:val="24"/>
          <w:highlight w:val="yellow"/>
        </w:rPr>
        <w:t>unclear if this will be issued to the capital markets or not.</w:t>
      </w:r>
      <w:r w:rsidR="00B1224A">
        <w:rPr>
          <w:i/>
          <w:sz w:val="24"/>
          <w:szCs w:val="24"/>
        </w:rPr>
        <w:t>[only for short term, not long-term]</w:t>
      </w:r>
    </w:p>
    <w:p w14:paraId="2D5E8C04" w14:textId="13FA466D"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r w:rsidR="00AB3018">
        <w:rPr>
          <w:sz w:val="24"/>
          <w:szCs w:val="24"/>
        </w:rPr>
        <w:t>.</w:t>
      </w:r>
    </w:p>
    <w:p w14:paraId="2BBBF9ED" w14:textId="77777777" w:rsidR="00F67BE7" w:rsidRDefault="00640ADC" w:rsidP="00AB3018">
      <w:pPr>
        <w:pStyle w:val="ListParagraph"/>
        <w:numPr>
          <w:ilvl w:val="0"/>
          <w:numId w:val="6"/>
        </w:numPr>
        <w:spacing w:after="0"/>
        <w:rPr>
          <w:sz w:val="24"/>
          <w:szCs w:val="24"/>
        </w:rPr>
      </w:pPr>
      <w:r w:rsidRPr="00B06181">
        <w:rPr>
          <w:b/>
          <w:sz w:val="24"/>
          <w:szCs w:val="24"/>
        </w:rPr>
        <w:t>Fair Hydro Trust Costs and Expenditures</w:t>
      </w:r>
      <w:r w:rsidR="00AB3018">
        <w:rPr>
          <w:b/>
          <w:sz w:val="24"/>
          <w:szCs w:val="24"/>
        </w:rPr>
        <w:t xml:space="preserve">: </w:t>
      </w:r>
      <w:r w:rsidR="000E5A7A" w:rsidRPr="00AB3018">
        <w:rPr>
          <w:sz w:val="24"/>
          <w:szCs w:val="24"/>
        </w:rPr>
        <w:t>C</w:t>
      </w:r>
      <w:r w:rsidR="00751378" w:rsidRPr="00AB3018">
        <w:rPr>
          <w:sz w:val="24"/>
          <w:szCs w:val="24"/>
        </w:rPr>
        <w:t>osts incurred directly by the Trust and OPG as Financial Services Manager on behalf of the trust can be recovered from the IESO until July 2021</w:t>
      </w:r>
      <w:r w:rsidR="00D13285" w:rsidRPr="00AB3018">
        <w:rPr>
          <w:sz w:val="24"/>
          <w:szCs w:val="24"/>
        </w:rPr>
        <w:t xml:space="preserve"> and thereafter through the Clean Energy Adjustments</w:t>
      </w:r>
      <w:r w:rsidR="000E5A7A" w:rsidRPr="00AB3018">
        <w:rPr>
          <w:sz w:val="24"/>
          <w:szCs w:val="24"/>
        </w:rPr>
        <w:t>.</w:t>
      </w:r>
      <w:r w:rsidR="00AB3018">
        <w:rPr>
          <w:sz w:val="24"/>
          <w:szCs w:val="24"/>
        </w:rPr>
        <w:t xml:space="preserve"> </w:t>
      </w:r>
    </w:p>
    <w:p w14:paraId="1207230A" w14:textId="2FEE8AD4" w:rsidR="000E5A7A" w:rsidRPr="00AB3018" w:rsidRDefault="000E5A7A" w:rsidP="00F67BE7">
      <w:pPr>
        <w:pStyle w:val="ListParagraph"/>
        <w:spacing w:after="0"/>
        <w:rPr>
          <w:sz w:val="24"/>
          <w:szCs w:val="24"/>
        </w:rPr>
      </w:pPr>
      <w:r w:rsidRPr="00AB3018">
        <w:rPr>
          <w:sz w:val="24"/>
          <w:szCs w:val="24"/>
        </w:rPr>
        <w:t xml:space="preserve">Section 10.2(3) and 10.13(3) of O.Reg 206/17: General under the Ontario Fair Hydro Act, 2017 specifies the </w:t>
      </w:r>
      <w:r w:rsidR="006B02A1" w:rsidRPr="00AB3018">
        <w:rPr>
          <w:sz w:val="24"/>
          <w:szCs w:val="24"/>
        </w:rPr>
        <w:t xml:space="preserve">costs eligible for recovery. Section 10.2(3) outlines fees for 2017 and Section 10.13(3) outlines fees thereafter. Please see Appendix </w:t>
      </w:r>
      <w:r w:rsidR="007F0BAB">
        <w:rPr>
          <w:sz w:val="24"/>
          <w:szCs w:val="24"/>
        </w:rPr>
        <w:t xml:space="preserve">2 </w:t>
      </w:r>
      <w:r w:rsidR="006B02A1" w:rsidRPr="00AB3018">
        <w:rPr>
          <w:sz w:val="24"/>
          <w:szCs w:val="24"/>
        </w:rPr>
        <w:t>for full details</w:t>
      </w:r>
      <w:r w:rsidR="00D867A3" w:rsidRPr="00AB3018">
        <w:rPr>
          <w:sz w:val="24"/>
          <w:szCs w:val="24"/>
        </w:rPr>
        <w:t>.</w:t>
      </w:r>
    </w:p>
    <w:p w14:paraId="0B6DC239" w14:textId="4F9C9BE1" w:rsidR="00593D8C" w:rsidRPr="00E54DC3" w:rsidRDefault="00737DF1" w:rsidP="00E54DC3">
      <w:pPr>
        <w:pStyle w:val="ListParagraph"/>
        <w:numPr>
          <w:ilvl w:val="0"/>
          <w:numId w:val="6"/>
        </w:numPr>
        <w:spacing w:after="0"/>
        <w:rPr>
          <w:sz w:val="24"/>
          <w:szCs w:val="24"/>
        </w:rPr>
      </w:pPr>
      <w:r w:rsidRPr="00593D8C">
        <w:rPr>
          <w:b/>
          <w:sz w:val="24"/>
          <w:szCs w:val="24"/>
        </w:rPr>
        <w:t>Interest</w:t>
      </w:r>
      <w:r w:rsidRPr="00593D8C">
        <w:rPr>
          <w:sz w:val="24"/>
          <w:szCs w:val="24"/>
        </w:rPr>
        <w:t xml:space="preserve"> </w:t>
      </w:r>
      <w:r w:rsidRPr="00593D8C">
        <w:rPr>
          <w:b/>
          <w:sz w:val="24"/>
          <w:szCs w:val="24"/>
        </w:rPr>
        <w:t>Rates</w:t>
      </w:r>
      <w:r w:rsidR="00E54DC3">
        <w:rPr>
          <w:b/>
          <w:sz w:val="24"/>
          <w:szCs w:val="24"/>
        </w:rPr>
        <w:t>:</w:t>
      </w:r>
      <w:r w:rsidRPr="00E54DC3">
        <w:rPr>
          <w:b/>
          <w:sz w:val="24"/>
          <w:szCs w:val="24"/>
        </w:rPr>
        <w:t xml:space="preserve"> </w:t>
      </w:r>
      <w:r w:rsidR="00593D8C" w:rsidRPr="00E54DC3">
        <w:rPr>
          <w:sz w:val="24"/>
          <w:szCs w:val="24"/>
        </w:rPr>
        <w:t>The rating agencies’ assessment of the</w:t>
      </w:r>
      <w:r w:rsidR="00371E03" w:rsidRPr="00E54DC3">
        <w:rPr>
          <w:sz w:val="24"/>
          <w:szCs w:val="24"/>
        </w:rPr>
        <w:t xml:space="preserve"> limited</w:t>
      </w:r>
      <w:r w:rsidR="00593D8C" w:rsidRPr="00E54DC3">
        <w:rPr>
          <w:sz w:val="24"/>
          <w:szCs w:val="24"/>
        </w:rPr>
        <w:t xml:space="preserve"> guarantee to bondholders </w:t>
      </w:r>
      <w:r w:rsidR="00FD024D" w:rsidRPr="00E54DC3">
        <w:rPr>
          <w:sz w:val="24"/>
          <w:szCs w:val="24"/>
        </w:rPr>
        <w:t>(</w:t>
      </w:r>
      <w:r w:rsidR="00593D8C" w:rsidRPr="00E54DC3">
        <w:rPr>
          <w:sz w:val="24"/>
          <w:szCs w:val="24"/>
        </w:rPr>
        <w:t xml:space="preserve">provided by the Change of Law Protection </w:t>
      </w:r>
      <w:r w:rsidR="0028316C" w:rsidRPr="00E54DC3">
        <w:rPr>
          <w:sz w:val="24"/>
          <w:szCs w:val="24"/>
        </w:rPr>
        <w:t>Agreement</w:t>
      </w:r>
      <w:r w:rsidR="00FD024D" w:rsidRPr="00E54DC3">
        <w:rPr>
          <w:sz w:val="24"/>
          <w:szCs w:val="24"/>
        </w:rPr>
        <w:t>)</w:t>
      </w:r>
      <w:r w:rsidR="00593D8C" w:rsidRPr="00E54DC3">
        <w:rPr>
          <w:sz w:val="24"/>
          <w:szCs w:val="24"/>
        </w:rPr>
        <w:t xml:space="preserve"> is one of the major fact</w:t>
      </w:r>
      <w:r w:rsidR="00371E03" w:rsidRPr="00E54DC3">
        <w:rPr>
          <w:sz w:val="24"/>
          <w:szCs w:val="24"/>
        </w:rPr>
        <w:t>ors</w:t>
      </w:r>
      <w:r w:rsidR="00593D8C" w:rsidRPr="00E54DC3">
        <w:rPr>
          <w:sz w:val="24"/>
          <w:szCs w:val="24"/>
        </w:rPr>
        <w:t xml:space="preserve"> </w:t>
      </w:r>
      <w:r w:rsidR="00371E03" w:rsidRPr="00E54DC3">
        <w:rPr>
          <w:sz w:val="24"/>
          <w:szCs w:val="24"/>
        </w:rPr>
        <w:t>influencing</w:t>
      </w:r>
      <w:r w:rsidR="00593D8C" w:rsidRPr="00E54DC3">
        <w:rPr>
          <w:sz w:val="24"/>
          <w:szCs w:val="24"/>
        </w:rPr>
        <w:t xml:space="preserve"> the final ratin</w:t>
      </w:r>
      <w:r w:rsidR="0028316C" w:rsidRPr="00E54DC3">
        <w:rPr>
          <w:sz w:val="24"/>
          <w:szCs w:val="24"/>
        </w:rPr>
        <w:t>g</w:t>
      </w:r>
      <w:r w:rsidR="00593D8C" w:rsidRPr="00E54DC3">
        <w:rPr>
          <w:sz w:val="24"/>
          <w:szCs w:val="24"/>
        </w:rPr>
        <w:t>s of each debt tranche and in turn the corresponding interests rates.</w:t>
      </w:r>
    </w:p>
    <w:p w14:paraId="14F76D35" w14:textId="26982481" w:rsidR="00B26E84" w:rsidRDefault="00E54DC3" w:rsidP="006602AD">
      <w:pPr>
        <w:pStyle w:val="7Bullet4"/>
        <w:keepNext/>
        <w:tabs>
          <w:tab w:val="left" w:pos="720"/>
        </w:tabs>
        <w:ind w:left="0"/>
      </w:pPr>
      <w:r>
        <w:lastRenderedPageBreak/>
        <w:tab/>
      </w:r>
      <w:r w:rsidR="00B26E84">
        <w:t>T</w:t>
      </w:r>
      <w:r>
        <w:t xml:space="preserve">he following factors, among others, </w:t>
      </w:r>
      <w:r w:rsidR="00B26E84">
        <w:t>will be considered in evaluating credit stress:</w:t>
      </w:r>
    </w:p>
    <w:p w14:paraId="5085CC38" w14:textId="72DCD4F1" w:rsidR="00B26E84" w:rsidRDefault="00B26E84" w:rsidP="00E54DC3">
      <w:pPr>
        <w:pStyle w:val="7Bullet2"/>
        <w:numPr>
          <w:ilvl w:val="2"/>
          <w:numId w:val="2"/>
        </w:numPr>
      </w:pPr>
      <w:r>
        <w:t xml:space="preserve">Declining energy usage during </w:t>
      </w:r>
      <w:r w:rsidR="00E54DC3">
        <w:t xml:space="preserve">the </w:t>
      </w:r>
      <w:r>
        <w:t>period</w:t>
      </w:r>
    </w:p>
    <w:p w14:paraId="1ADFCF5A" w14:textId="6D6514DF" w:rsidR="00B26E84" w:rsidRDefault="00B26E84" w:rsidP="00E54DC3">
      <w:pPr>
        <w:pStyle w:val="7Bullet2"/>
        <w:numPr>
          <w:ilvl w:val="2"/>
          <w:numId w:val="2"/>
        </w:numPr>
      </w:pPr>
      <w:r>
        <w:t>Forecast collections in peak months not materializing</w:t>
      </w:r>
    </w:p>
    <w:p w14:paraId="2187AF84" w14:textId="59DE9882" w:rsidR="00B26E84" w:rsidRPr="00593D8C" w:rsidRDefault="00B26E84" w:rsidP="00E54DC3">
      <w:pPr>
        <w:pStyle w:val="7Bullet2"/>
        <w:numPr>
          <w:ilvl w:val="2"/>
          <w:numId w:val="2"/>
        </w:numPr>
      </w:pPr>
      <w:r>
        <w:t>Declining consumption equal to the largest absolute annual forecast error</w:t>
      </w:r>
    </w:p>
    <w:p w14:paraId="78CF4889" w14:textId="37A34CC2" w:rsidR="00593D8C" w:rsidRDefault="00593D8C" w:rsidP="007642BC">
      <w:pPr>
        <w:pStyle w:val="7Bullet3"/>
        <w:tabs>
          <w:tab w:val="clear" w:pos="1800"/>
          <w:tab w:val="left" w:pos="1440"/>
        </w:tabs>
        <w:ind w:left="1440"/>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p w14:paraId="2CD855CB" w14:textId="398373C3" w:rsidR="00667833" w:rsidRPr="008675DF" w:rsidRDefault="00667833" w:rsidP="008675DF">
      <w:pPr>
        <w:pStyle w:val="6Text"/>
        <w:jc w:val="center"/>
        <w:rPr>
          <w:b/>
        </w:rPr>
      </w:pPr>
      <w:r w:rsidRPr="00A53BF3">
        <w:rPr>
          <w:b/>
        </w:rPr>
        <w:t xml:space="preserve">Table </w:t>
      </w:r>
      <w:r>
        <w:rPr>
          <w:b/>
        </w:rPr>
        <w:t>4</w:t>
      </w:r>
      <w:r w:rsidRPr="00A53BF3">
        <w:rPr>
          <w:b/>
        </w:rPr>
        <w:t xml:space="preserve">: </w:t>
      </w:r>
      <w:r>
        <w:rPr>
          <w:b/>
        </w:rPr>
        <w:t>Indicative Pricing by Debt Tranche</w:t>
      </w:r>
    </w:p>
    <w:tbl>
      <w:tblPr>
        <w:tblStyle w:val="GridTable5Dark-Accent1"/>
        <w:tblW w:w="9620" w:type="dxa"/>
        <w:tblLook w:val="0420" w:firstRow="1" w:lastRow="0" w:firstColumn="0" w:lastColumn="0" w:noHBand="0" w:noVBand="1"/>
      </w:tblPr>
      <w:tblGrid>
        <w:gridCol w:w="1551"/>
        <w:gridCol w:w="926"/>
        <w:gridCol w:w="1107"/>
        <w:gridCol w:w="1121"/>
        <w:gridCol w:w="811"/>
        <w:gridCol w:w="1214"/>
        <w:gridCol w:w="1198"/>
        <w:gridCol w:w="1692"/>
      </w:tblGrid>
      <w:tr w:rsidR="00B26E84" w:rsidRPr="00B26E84" w14:paraId="03901752" w14:textId="77777777" w:rsidTr="002313AD">
        <w:trPr>
          <w:cnfStyle w:val="100000000000" w:firstRow="1" w:lastRow="0" w:firstColumn="0" w:lastColumn="0" w:oddVBand="0" w:evenVBand="0" w:oddHBand="0" w:evenHBand="0" w:firstRowFirstColumn="0" w:firstRowLastColumn="0" w:lastRowFirstColumn="0" w:lastRowLastColumn="0"/>
          <w:trHeight w:val="475"/>
        </w:trPr>
        <w:tc>
          <w:tcPr>
            <w:tcW w:w="1553" w:type="dxa"/>
            <w:vAlign w:val="center"/>
          </w:tcPr>
          <w:p w14:paraId="377099A1"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vAlign w:val="center"/>
          </w:tcPr>
          <w:p w14:paraId="75C285E2" w14:textId="2C3E1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vAlign w:val="center"/>
          </w:tcPr>
          <w:p w14:paraId="3E23C7E4"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vAlign w:val="center"/>
          </w:tcPr>
          <w:p w14:paraId="7DB857D5"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vAlign w:val="center"/>
          </w:tcPr>
          <w:p w14:paraId="240E76B3"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vAlign w:val="center"/>
          </w:tcPr>
          <w:p w14:paraId="59EC6F4B"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vAlign w:val="center"/>
          </w:tcPr>
          <w:p w14:paraId="5E7667E9"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vAlign w:val="center"/>
          </w:tcPr>
          <w:p w14:paraId="7F7D4369"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1553" w:type="dxa"/>
            <w:vAlign w:val="center"/>
          </w:tcPr>
          <w:p w14:paraId="49DB6826" w14:textId="6516FADB" w:rsidR="0075668C" w:rsidRPr="00B26E84" w:rsidRDefault="0075668C" w:rsidP="00A53BF3">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
          <w:p w14:paraId="4442BF16"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
          <w:p w14:paraId="4FA97FE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
          <w:p w14:paraId="349D1FE8"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
          <w:p w14:paraId="0ADDD057"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
          <w:p w14:paraId="7A8E50E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
          <w:p w14:paraId="40C289B5" w14:textId="3DA2A0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
          <w:p w14:paraId="0229ABDD" w14:textId="22F2C734"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8675DF">
        <w:trPr>
          <w:trHeight w:val="534"/>
        </w:trPr>
        <w:tc>
          <w:tcPr>
            <w:tcW w:w="1553" w:type="dxa"/>
            <w:vAlign w:val="center"/>
          </w:tcPr>
          <w:p w14:paraId="54F6018E" w14:textId="77777777" w:rsidR="0075668C" w:rsidRPr="00B26E84" w:rsidRDefault="0075668C" w:rsidP="00A53BF3">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
          <w:p w14:paraId="197836D8" w14:textId="56D0E4CA"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
          <w:p w14:paraId="33DCAD8C"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33FAACB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
          <w:p w14:paraId="32C11F62"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
          <w:p w14:paraId="35DDB4D7"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
          <w:p w14:paraId="156F6577" w14:textId="26E5FD7D"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
          <w:p w14:paraId="6D943309" w14:textId="603A71A9"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8675DF">
        <w:trPr>
          <w:cnfStyle w:val="000000100000" w:firstRow="0" w:lastRow="0" w:firstColumn="0" w:lastColumn="0" w:oddVBand="0" w:evenVBand="0" w:oddHBand="1" w:evenHBand="0" w:firstRowFirstColumn="0" w:firstRowLastColumn="0" w:lastRowFirstColumn="0" w:lastRowLastColumn="0"/>
          <w:trHeight w:val="347"/>
        </w:trPr>
        <w:tc>
          <w:tcPr>
            <w:tcW w:w="1553" w:type="dxa"/>
            <w:vMerge w:val="restart"/>
            <w:vAlign w:val="center"/>
          </w:tcPr>
          <w:p w14:paraId="0E60ACCC" w14:textId="3D2744A6" w:rsidR="0075668C" w:rsidRPr="00B26E84" w:rsidRDefault="0075668C" w:rsidP="00A53BF3">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
          <w:p w14:paraId="630AC884"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
          <w:p w14:paraId="2FBB5B1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41A2C48B"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
          <w:p w14:paraId="1C5AE902"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
          <w:p w14:paraId="66A9A367"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
          <w:p w14:paraId="14EE90AB" w14:textId="26816F7F"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
          <w:p w14:paraId="1F30B954"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8675DF">
        <w:trPr>
          <w:trHeight w:val="234"/>
        </w:trPr>
        <w:tc>
          <w:tcPr>
            <w:tcW w:w="1553" w:type="dxa"/>
            <w:vMerge/>
            <w:vAlign w:val="center"/>
          </w:tcPr>
          <w:p w14:paraId="33B7E94C" w14:textId="77777777" w:rsidR="0075668C" w:rsidRPr="00B26E84" w:rsidRDefault="0075668C" w:rsidP="008675DF">
            <w:pPr>
              <w:keepNext/>
              <w:keepLines/>
              <w:jc w:val="center"/>
              <w:rPr>
                <w:rFonts w:eastAsia="Times New Roman" w:cs="Arial"/>
                <w:kern w:val="24"/>
                <w:sz w:val="16"/>
                <w:szCs w:val="16"/>
                <w:lang w:eastAsia="en-CA"/>
              </w:rPr>
            </w:pPr>
          </w:p>
        </w:tc>
        <w:tc>
          <w:tcPr>
            <w:tcW w:w="926" w:type="dxa"/>
            <w:vMerge/>
            <w:vAlign w:val="center"/>
          </w:tcPr>
          <w:p w14:paraId="317DD064" w14:textId="77777777" w:rsidR="0075668C" w:rsidRPr="00B26E84" w:rsidRDefault="0075668C" w:rsidP="008675DF">
            <w:pPr>
              <w:keepNext/>
              <w:keepLines/>
              <w:jc w:val="center"/>
              <w:rPr>
                <w:rFonts w:eastAsia="Times New Roman" w:cs="Arial"/>
                <w:kern w:val="24"/>
                <w:sz w:val="16"/>
                <w:szCs w:val="16"/>
                <w:lang w:eastAsia="en-CA"/>
              </w:rPr>
            </w:pPr>
          </w:p>
        </w:tc>
        <w:tc>
          <w:tcPr>
            <w:tcW w:w="1108" w:type="dxa"/>
            <w:vAlign w:val="center"/>
          </w:tcPr>
          <w:p w14:paraId="42B0669E"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
          <w:p w14:paraId="045D9085"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
          <w:p w14:paraId="147DFEFC" w14:textId="77777777" w:rsidR="0075668C" w:rsidRPr="00B26E84" w:rsidRDefault="0075668C" w:rsidP="008675DF">
            <w:pPr>
              <w:keepNext/>
              <w:keepLines/>
              <w:jc w:val="center"/>
              <w:rPr>
                <w:rFonts w:eastAsia="Times New Roman" w:cs="Arial"/>
                <w:kern w:val="24"/>
                <w:sz w:val="16"/>
                <w:szCs w:val="16"/>
                <w:lang w:eastAsia="en-CA"/>
              </w:rPr>
            </w:pPr>
          </w:p>
        </w:tc>
        <w:tc>
          <w:tcPr>
            <w:tcW w:w="1215" w:type="dxa"/>
            <w:vMerge/>
            <w:vAlign w:val="center"/>
          </w:tcPr>
          <w:p w14:paraId="40ABB3A8" w14:textId="77777777" w:rsidR="0075668C" w:rsidRPr="00B26E84" w:rsidRDefault="0075668C" w:rsidP="008675DF">
            <w:pPr>
              <w:keepNext/>
              <w:keepLines/>
              <w:jc w:val="center"/>
              <w:rPr>
                <w:rFonts w:eastAsia="Times New Roman" w:cs="Arial"/>
                <w:sz w:val="16"/>
                <w:szCs w:val="16"/>
                <w:lang w:eastAsia="en-CA"/>
              </w:rPr>
            </w:pPr>
          </w:p>
        </w:tc>
        <w:tc>
          <w:tcPr>
            <w:tcW w:w="1199" w:type="dxa"/>
            <w:vMerge/>
            <w:vAlign w:val="center"/>
          </w:tcPr>
          <w:p w14:paraId="16181105" w14:textId="77777777" w:rsidR="0075668C" w:rsidRPr="00B26E84" w:rsidRDefault="0075668C" w:rsidP="008675DF">
            <w:pPr>
              <w:keepNext/>
              <w:keepLines/>
              <w:jc w:val="center"/>
              <w:rPr>
                <w:rFonts w:eastAsia="Times New Roman" w:cs="Arial"/>
                <w:sz w:val="16"/>
                <w:szCs w:val="16"/>
                <w:lang w:eastAsia="en-CA"/>
              </w:rPr>
            </w:pPr>
          </w:p>
        </w:tc>
        <w:tc>
          <w:tcPr>
            <w:tcW w:w="1695" w:type="dxa"/>
            <w:vMerge/>
            <w:vAlign w:val="center"/>
          </w:tcPr>
          <w:p w14:paraId="3451B041" w14:textId="77777777" w:rsidR="0075668C" w:rsidRPr="00B26E84" w:rsidRDefault="0075668C" w:rsidP="008675DF">
            <w:pPr>
              <w:keepNext/>
              <w:keepLines/>
              <w:jc w:val="center"/>
              <w:rPr>
                <w:rFonts w:eastAsia="Times New Roman" w:cs="Arial"/>
                <w:sz w:val="16"/>
                <w:szCs w:val="16"/>
                <w:lang w:eastAsia="en-CA"/>
              </w:rPr>
            </w:pPr>
          </w:p>
        </w:tc>
      </w:tr>
      <w:tr w:rsidR="00B26E84" w:rsidRPr="00B26E84" w14:paraId="14050A48" w14:textId="77777777" w:rsidTr="008675DF">
        <w:trPr>
          <w:cnfStyle w:val="000000100000" w:firstRow="0" w:lastRow="0" w:firstColumn="0" w:lastColumn="0" w:oddVBand="0" w:evenVBand="0" w:oddHBand="1" w:evenHBand="0" w:firstRowFirstColumn="0" w:firstRowLastColumn="0" w:lastRowFirstColumn="0" w:lastRowLastColumn="0"/>
          <w:trHeight w:val="262"/>
        </w:trPr>
        <w:tc>
          <w:tcPr>
            <w:tcW w:w="1553" w:type="dxa"/>
            <w:vAlign w:val="center"/>
          </w:tcPr>
          <w:p w14:paraId="7CCDE178" w14:textId="77777777" w:rsidR="0075668C" w:rsidRPr="00B26E84" w:rsidRDefault="0075668C" w:rsidP="00A53BF3">
            <w:pPr>
              <w:keepNext/>
              <w:keepLines/>
              <w:jc w:val="center"/>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
          <w:p w14:paraId="014FB042" w14:textId="77777777" w:rsidR="0075668C" w:rsidRPr="00B26E84" w:rsidRDefault="0075668C" w:rsidP="008675DF">
            <w:pPr>
              <w:keepNext/>
              <w:keepLines/>
              <w:jc w:val="center"/>
              <w:rPr>
                <w:rFonts w:eastAsia="Times New Roman" w:cs="Arial"/>
                <w:sz w:val="16"/>
                <w:szCs w:val="16"/>
                <w:lang w:eastAsia="en-CA"/>
              </w:rPr>
            </w:pPr>
          </w:p>
        </w:tc>
        <w:tc>
          <w:tcPr>
            <w:tcW w:w="1108" w:type="dxa"/>
            <w:vAlign w:val="center"/>
          </w:tcPr>
          <w:p w14:paraId="69298A99" w14:textId="77777777" w:rsidR="0075668C" w:rsidRPr="00B26E84" w:rsidRDefault="0075668C" w:rsidP="008675DF">
            <w:pPr>
              <w:keepNext/>
              <w:keepLines/>
              <w:jc w:val="center"/>
              <w:rPr>
                <w:rFonts w:eastAsia="Times New Roman" w:cs="Arial"/>
                <w:sz w:val="16"/>
                <w:szCs w:val="16"/>
                <w:lang w:eastAsia="en-CA"/>
              </w:rPr>
            </w:pPr>
          </w:p>
        </w:tc>
        <w:tc>
          <w:tcPr>
            <w:tcW w:w="1121" w:type="dxa"/>
            <w:vAlign w:val="center"/>
          </w:tcPr>
          <w:p w14:paraId="79B6F961" w14:textId="77777777" w:rsidR="0075668C" w:rsidRPr="00B26E84" w:rsidRDefault="0075668C" w:rsidP="008675DF">
            <w:pPr>
              <w:keepNext/>
              <w:keepLines/>
              <w:jc w:val="center"/>
              <w:rPr>
                <w:rFonts w:eastAsia="Times New Roman" w:cs="Arial"/>
                <w:sz w:val="16"/>
                <w:szCs w:val="16"/>
                <w:lang w:eastAsia="en-CA"/>
              </w:rPr>
            </w:pPr>
          </w:p>
        </w:tc>
        <w:tc>
          <w:tcPr>
            <w:tcW w:w="803" w:type="dxa"/>
            <w:vAlign w:val="center"/>
          </w:tcPr>
          <w:p w14:paraId="7B89F5D2" w14:textId="77777777" w:rsidR="0075668C" w:rsidRPr="00B26E84" w:rsidRDefault="0075668C" w:rsidP="008675DF">
            <w:pPr>
              <w:keepNext/>
              <w:keepLines/>
              <w:jc w:val="center"/>
              <w:rPr>
                <w:rFonts w:eastAsia="Times New Roman" w:cs="Arial"/>
                <w:sz w:val="16"/>
                <w:szCs w:val="16"/>
                <w:lang w:eastAsia="en-CA"/>
              </w:rPr>
            </w:pPr>
          </w:p>
        </w:tc>
        <w:tc>
          <w:tcPr>
            <w:tcW w:w="1215" w:type="dxa"/>
            <w:vAlign w:val="center"/>
          </w:tcPr>
          <w:p w14:paraId="76A87598" w14:textId="77777777" w:rsidR="0075668C" w:rsidRPr="00B26E84" w:rsidRDefault="0075668C" w:rsidP="008675DF">
            <w:pPr>
              <w:keepNext/>
              <w:keepLines/>
              <w:jc w:val="center"/>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
          <w:p w14:paraId="37B42F3F" w14:textId="77777777" w:rsidR="0075668C" w:rsidRPr="00B26E84" w:rsidRDefault="0075668C" w:rsidP="008675DF">
            <w:pPr>
              <w:keepNext/>
              <w:keepLines/>
              <w:jc w:val="center"/>
              <w:rPr>
                <w:rFonts w:eastAsia="Times New Roman" w:cs="Arial"/>
                <w:sz w:val="16"/>
                <w:szCs w:val="16"/>
                <w:lang w:eastAsia="en-CA"/>
              </w:rPr>
            </w:pPr>
          </w:p>
        </w:tc>
        <w:tc>
          <w:tcPr>
            <w:tcW w:w="1695" w:type="dxa"/>
            <w:vAlign w:val="center"/>
          </w:tcPr>
          <w:p w14:paraId="16855470" w14:textId="4E9F10C9" w:rsidR="0075668C" w:rsidRPr="00B26E84" w:rsidRDefault="0075668C" w:rsidP="008675DF">
            <w:pPr>
              <w:keepNext/>
              <w:keepLines/>
              <w:jc w:val="center"/>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0E7CA190" w:rsidR="00C321CB" w:rsidRDefault="00D7276F" w:rsidP="006E103A">
      <w:pPr>
        <w:pStyle w:val="7Bullet2"/>
        <w:numPr>
          <w:ilvl w:val="0"/>
          <w:numId w:val="0"/>
        </w:numPr>
        <w:ind w:left="720"/>
      </w:pPr>
      <w:r>
        <w:t xml:space="preserve">In addition to the </w:t>
      </w:r>
      <w:r w:rsidR="00AD64CB">
        <w:t xml:space="preserve">obligations under the </w:t>
      </w:r>
      <w:r>
        <w:t xml:space="preserve">Fair Allocation Amount and/or Reallocation Amount, the Trust will also hold a reserve and capital account.  </w:t>
      </w:r>
      <w:r w:rsidR="00AD64CB">
        <w:t xml:space="preserve">The reserve and capital accounts </w:t>
      </w:r>
      <w:r>
        <w:t>are required under the governing documents of the funding obligations and act as credit enhancements in support of the Trust’s borrowings.</w:t>
      </w:r>
      <w:r w:rsidR="00AD64CB">
        <w:t xml:space="preserve"> </w:t>
      </w:r>
      <w:r>
        <w:br/>
      </w:r>
    </w:p>
    <w:p w14:paraId="74A83554" w14:textId="7B9F89F6" w:rsidR="008E1F60" w:rsidRDefault="001B2639" w:rsidP="006F37B9">
      <w:pPr>
        <w:pStyle w:val="7Bullet1"/>
        <w:numPr>
          <w:ilvl w:val="0"/>
          <w:numId w:val="19"/>
        </w:numPr>
      </w:pPr>
      <w:r w:rsidRPr="006F37B9">
        <w:rPr>
          <w:u w:val="single"/>
        </w:rPr>
        <w:t xml:space="preserve">Finance </w:t>
      </w:r>
      <w:r w:rsidR="00D7276F" w:rsidRPr="006F37B9">
        <w:rPr>
          <w:u w:val="single"/>
        </w:rPr>
        <w:t>Reserve Accounts:</w:t>
      </w:r>
      <w:r w:rsidR="00D7276F">
        <w:t xml:space="preserve"> The Trust is </w:t>
      </w:r>
      <w:r w:rsidR="00D7276F" w:rsidRPr="006F37B9">
        <w:t>required</w:t>
      </w:r>
      <w:r w:rsidR="00D7276F">
        <w:t xml:space="preserve"> to establish a </w:t>
      </w:r>
      <w:r w:rsidR="008E1F60" w:rsidRPr="0085101F">
        <w:rPr>
          <w:i/>
        </w:rPr>
        <w:t>Program Cash Reserve Account</w:t>
      </w:r>
      <w:r w:rsidR="008E1F60">
        <w:t xml:space="preserve"> </w:t>
      </w:r>
      <w:r w:rsidR="00B11325">
        <w:t>where t</w:t>
      </w:r>
      <w:r w:rsidR="008E1F60">
        <w:t xml:space="preserve">he Trust will be required to deposit 0.50 per cent of the aggregate outstanding principal amount of the senior, subordinated and junior subordinated funding obligations, beginning in the May 2021 reference period. </w:t>
      </w:r>
      <w:r w:rsidR="0085101F">
        <w:t>The Program Cash Reserve Account will be under the control of the Indenture Trustee for the benefit of the Indenture Trustee and specified creditors</w:t>
      </w:r>
      <w:r w:rsidR="00FB68EC">
        <w:t>.</w:t>
      </w:r>
    </w:p>
    <w:p w14:paraId="719CB69C" w14:textId="4EFCF1EB" w:rsidR="00D7276F" w:rsidRDefault="008E1F60" w:rsidP="006F37B9">
      <w:pPr>
        <w:pStyle w:val="7Bullet1"/>
        <w:numPr>
          <w:ilvl w:val="1"/>
          <w:numId w:val="19"/>
        </w:numPr>
      </w:pPr>
      <w:r>
        <w:t xml:space="preserve">Further, the Trust </w:t>
      </w:r>
      <w:r w:rsidRPr="006F37B9">
        <w:t>may</w:t>
      </w:r>
      <w:r>
        <w:t xml:space="preserve"> also establish a </w:t>
      </w:r>
      <w:r w:rsidRPr="0085101F">
        <w:rPr>
          <w:i/>
        </w:rPr>
        <w:t>Series Finance Reserve Account</w:t>
      </w:r>
      <w:r>
        <w:t xml:space="preserve"> for the purposes of paying finance charges (including, without limitation, interest and payments under derivative agreements)</w:t>
      </w:r>
      <w:r w:rsidR="002623D9">
        <w:t xml:space="preserve"> for each series of issuance</w:t>
      </w:r>
      <w:r>
        <w:t>.</w:t>
      </w:r>
    </w:p>
    <w:p w14:paraId="179FCAD4" w14:textId="6609AA36" w:rsidR="008E1F60" w:rsidRPr="006F37B9" w:rsidRDefault="008E1F60" w:rsidP="006F37B9">
      <w:pPr>
        <w:pStyle w:val="7Bullet1"/>
        <w:numPr>
          <w:ilvl w:val="0"/>
          <w:numId w:val="19"/>
        </w:numPr>
      </w:pPr>
      <w:r w:rsidRPr="006F37B9">
        <w:rPr>
          <w:u w:val="single"/>
        </w:rPr>
        <w:t>Capital Reserve Account:</w:t>
      </w:r>
      <w:r w:rsidR="00B11325">
        <w:t xml:space="preserve"> The Trust </w:t>
      </w:r>
      <w:r w:rsidR="00B11325" w:rsidRPr="006F37B9">
        <w:t>may</w:t>
      </w:r>
      <w:r w:rsidR="00B11325">
        <w:t xml:space="preserve"> create a </w:t>
      </w:r>
      <w:r w:rsidR="00B11325" w:rsidRPr="00722BF1">
        <w:rPr>
          <w:i/>
        </w:rPr>
        <w:t>Series Capital Reserve Account</w:t>
      </w:r>
      <w:r w:rsidR="00722BF1">
        <w:t xml:space="preserve"> under the control of the Indenture Trustee </w:t>
      </w:r>
      <w:r w:rsidR="00D52678">
        <w:t>for the purpose of accumulating funds to be used to make repayments of the funding obligations.</w:t>
      </w:r>
    </w:p>
    <w:p w14:paraId="7D95C947" w14:textId="77777777" w:rsidR="00D52678" w:rsidRDefault="00D52678" w:rsidP="006E103A">
      <w:pPr>
        <w:pStyle w:val="7Bullet1"/>
        <w:numPr>
          <w:ilvl w:val="0"/>
          <w:numId w:val="0"/>
        </w:numPr>
        <w:ind w:left="360" w:hanging="360"/>
      </w:pPr>
    </w:p>
    <w:p w14:paraId="51F6AA42" w14:textId="51768DD9" w:rsidR="00D52678" w:rsidRPr="00FB68EC" w:rsidRDefault="00D52678" w:rsidP="006E103A">
      <w:pPr>
        <w:pStyle w:val="7Bullet1"/>
        <w:numPr>
          <w:ilvl w:val="0"/>
          <w:numId w:val="0"/>
        </w:numPr>
        <w:ind w:left="720"/>
        <w:rPr>
          <w:i/>
        </w:rPr>
      </w:pPr>
      <w:r w:rsidRPr="00FB68EC">
        <w:rPr>
          <w:i/>
          <w:u w:val="single"/>
        </w:rPr>
        <w:t>EFB Staff Comment:</w:t>
      </w:r>
      <w:r w:rsidRPr="00FB68EC">
        <w:rPr>
          <w:i/>
        </w:rPr>
        <w:t xml:space="preserve"> </w:t>
      </w:r>
      <w:r w:rsidR="00061D37" w:rsidRPr="00FB68EC">
        <w:rPr>
          <w:i/>
        </w:rPr>
        <w:t>It is unclear who will instruct the Trust to create the reserve accounts, specifically the Series Finance Reserve Account and the Series Capital Reserve account, which are optional.  Specifically for the Series Capital Reserve Account, it may not be beneficial to maintain a large capital reserve account as it would increase the outstanding debt of the Province.</w:t>
      </w:r>
    </w:p>
    <w:p w14:paraId="4C2CB006" w14:textId="77777777" w:rsidR="00061D37" w:rsidRDefault="00061D37" w:rsidP="006E103A">
      <w:pPr>
        <w:pStyle w:val="7Bullet1"/>
        <w:numPr>
          <w:ilvl w:val="0"/>
          <w:numId w:val="0"/>
        </w:numPr>
        <w:ind w:left="360"/>
      </w:pPr>
    </w:p>
    <w:p w14:paraId="6969A920" w14:textId="06C4AFBC" w:rsidR="00061D37" w:rsidRPr="006E103A" w:rsidRDefault="00E0014E" w:rsidP="008675DF">
      <w:pPr>
        <w:pStyle w:val="7Bullet1"/>
        <w:keepNext/>
        <w:numPr>
          <w:ilvl w:val="0"/>
          <w:numId w:val="6"/>
        </w:numPr>
      </w:pPr>
      <w:r>
        <w:rPr>
          <w:b/>
        </w:rPr>
        <w:lastRenderedPageBreak/>
        <w:t>Indemnifications</w:t>
      </w:r>
    </w:p>
    <w:p w14:paraId="4296759F" w14:textId="119C2CE6" w:rsidR="00E0014E" w:rsidRDefault="00053E1F" w:rsidP="006E103A">
      <w:pPr>
        <w:pStyle w:val="7Bullet1"/>
        <w:numPr>
          <w:ilvl w:val="0"/>
          <w:numId w:val="0"/>
        </w:numPr>
        <w:ind w:left="720"/>
      </w:pPr>
      <w:r>
        <w:t>There are various indemnifications the Province is providing should certain events occur in the course of the Act and its related Financing Plan.</w:t>
      </w:r>
      <w:r w:rsidR="003F4C8E">
        <w:t xml:space="preserve"> These </w:t>
      </w:r>
      <w:r w:rsidR="00A707E1">
        <w:t>events and</w:t>
      </w:r>
      <w:r w:rsidR="00583B54">
        <w:t xml:space="preserve"> corresponding agreements</w:t>
      </w:r>
      <w:r w:rsidR="003F4C8E">
        <w:t xml:space="preserve"> include:</w:t>
      </w:r>
    </w:p>
    <w:p w14:paraId="21E344E0" w14:textId="3A5C0EA6" w:rsidR="003F4C8E" w:rsidRDefault="003F4C8E" w:rsidP="006E103A">
      <w:pPr>
        <w:pStyle w:val="7Bullet1"/>
        <w:numPr>
          <w:ilvl w:val="0"/>
          <w:numId w:val="19"/>
        </w:numPr>
      </w:pPr>
      <w:r w:rsidRPr="006F37B9">
        <w:rPr>
          <w:u w:val="single"/>
        </w:rPr>
        <w:t>Change of Law</w:t>
      </w:r>
      <w:r w:rsidR="00583B54" w:rsidRPr="006F37B9">
        <w:rPr>
          <w:u w:val="single"/>
        </w:rPr>
        <w:t xml:space="preserve"> Protection Agreement</w:t>
      </w:r>
      <w:r w:rsidR="00270D74">
        <w:rPr>
          <w:u w:val="single"/>
        </w:rPr>
        <w:t xml:space="preserve"> (between the Province and Trust)</w:t>
      </w:r>
      <w:r w:rsidR="00D32FAB" w:rsidRPr="006F37B9">
        <w:rPr>
          <w:u w:val="single"/>
        </w:rPr>
        <w:t>:</w:t>
      </w:r>
      <w:r w:rsidR="00D32FAB">
        <w:t xml:space="preserve"> I</w:t>
      </w:r>
      <w:r>
        <w:t xml:space="preserve">f the Province changes the legislation or passes other legislation that impacts the </w:t>
      </w:r>
      <w:r w:rsidR="00A707E1">
        <w:t>beneficia</w:t>
      </w:r>
      <w:r w:rsidR="002A0406">
        <w:t>ries of the Trust with respect</w:t>
      </w:r>
      <w:r w:rsidR="00A707E1">
        <w:t xml:space="preserve"> to the secured obligations</w:t>
      </w:r>
      <w:r>
        <w:t>, including if the Act is declared invalid/unconstitutional</w:t>
      </w:r>
      <w:r w:rsidR="00A707E1">
        <w:t xml:space="preserve">. </w:t>
      </w:r>
      <w:r w:rsidR="002A0406">
        <w:t>Provides bondholders with a limited guarantee in the event of a protection event.</w:t>
      </w:r>
    </w:p>
    <w:p w14:paraId="14561670" w14:textId="78AAD11D" w:rsidR="00FD3995" w:rsidRDefault="00D32FAB" w:rsidP="006E103A">
      <w:pPr>
        <w:pStyle w:val="7Bullet1"/>
        <w:numPr>
          <w:ilvl w:val="0"/>
          <w:numId w:val="19"/>
        </w:numPr>
      </w:pPr>
      <w:commentRangeStart w:id="8"/>
      <w:r w:rsidRPr="006F37B9">
        <w:rPr>
          <w:u w:val="single"/>
        </w:rPr>
        <w:t>Change of Law Process Agreement</w:t>
      </w:r>
      <w:r w:rsidR="00270D74">
        <w:rPr>
          <w:u w:val="single"/>
        </w:rPr>
        <w:t xml:space="preserve"> (between the Province and OPG)</w:t>
      </w:r>
      <w:r w:rsidRPr="006F37B9">
        <w:rPr>
          <w:u w:val="single"/>
        </w:rPr>
        <w:t>:</w:t>
      </w:r>
      <w:r>
        <w:t xml:space="preserve"> </w:t>
      </w:r>
      <w:r w:rsidR="00FD3995">
        <w:t>Subject to confirmation, it is understood that this agreement provides OPG (as Financial Services Manager) a guarantee on the amount of debt the Trust is expected to issue over the next 24 months and protects the Trust and its beneficiaries from any Change of Law that may occur during each of the 24 month period.  It is believed this will allow the Trust to continue to issue debt within the 24 month period should there be any Change in Law.</w:t>
      </w:r>
      <w:commentRangeEnd w:id="8"/>
      <w:r w:rsidR="00FD3995">
        <w:rPr>
          <w:rStyle w:val="CommentReference"/>
          <w:rFonts w:eastAsiaTheme="minorHAnsi" w:cstheme="minorBidi"/>
          <w:lang w:val="en-CA"/>
        </w:rPr>
        <w:commentReference w:id="8"/>
      </w:r>
      <w:r w:rsidR="00FD3995">
        <w:t xml:space="preserve"> </w:t>
      </w:r>
    </w:p>
    <w:p w14:paraId="0074FA58" w14:textId="45A77D16" w:rsidR="00D32FAB" w:rsidRDefault="00FD3995" w:rsidP="006E103A">
      <w:pPr>
        <w:pStyle w:val="7Bullet1"/>
        <w:numPr>
          <w:ilvl w:val="1"/>
          <w:numId w:val="19"/>
        </w:numPr>
      </w:pPr>
      <w:r>
        <w:t>The current maximum debt amount protection is as follows:</w:t>
      </w:r>
    </w:p>
    <w:p w14:paraId="56C0DD04" w14:textId="77777777" w:rsidR="00B61355" w:rsidRDefault="00B61355" w:rsidP="008675DF">
      <w:pPr>
        <w:pStyle w:val="7Bullet1"/>
        <w:numPr>
          <w:ilvl w:val="0"/>
          <w:numId w:val="0"/>
        </w:numPr>
        <w:ind w:left="2160"/>
      </w:pPr>
    </w:p>
    <w:p w14:paraId="530EFD64" w14:textId="50644946" w:rsidR="00FD3995" w:rsidRPr="008675DF" w:rsidRDefault="00B61355" w:rsidP="008675DF">
      <w:pPr>
        <w:pStyle w:val="6Text"/>
        <w:jc w:val="center"/>
        <w:rPr>
          <w:b/>
        </w:rPr>
      </w:pPr>
      <w:r w:rsidRPr="008675DF">
        <w:rPr>
          <w:b/>
        </w:rPr>
        <w:t xml:space="preserve">Table </w:t>
      </w:r>
      <w:r>
        <w:rPr>
          <w:b/>
        </w:rPr>
        <w:t>5</w:t>
      </w:r>
      <w:r w:rsidRPr="008675DF">
        <w:rPr>
          <w:b/>
        </w:rPr>
        <w:t>: Initial Protection Agreement Maximum</w:t>
      </w:r>
    </w:p>
    <w:tbl>
      <w:tblPr>
        <w:tblStyle w:val="GridTable5Dark-Accent1"/>
        <w:tblpPr w:leftFromText="180" w:rightFromText="180" w:vertAnchor="text" w:horzAnchor="margin" w:tblpXSpec="right" w:tblpY="5"/>
        <w:tblW w:w="5000" w:type="pct"/>
        <w:tblLook w:val="0420" w:firstRow="1" w:lastRow="0" w:firstColumn="0" w:lastColumn="0" w:noHBand="0" w:noVBand="1"/>
      </w:tblPr>
      <w:tblGrid>
        <w:gridCol w:w="3108"/>
        <w:gridCol w:w="3229"/>
        <w:gridCol w:w="3013"/>
      </w:tblGrid>
      <w:tr w:rsidR="00FD3995" w:rsidRPr="00BF4D1D" w14:paraId="761523E0" w14:textId="77777777" w:rsidTr="008675DF">
        <w:trPr>
          <w:cnfStyle w:val="100000000000" w:firstRow="1" w:lastRow="0" w:firstColumn="0" w:lastColumn="0" w:oddVBand="0" w:evenVBand="0" w:oddHBand="0" w:evenHBand="0" w:firstRowFirstColumn="0" w:firstRowLastColumn="0" w:lastRowFirstColumn="0" w:lastRowLastColumn="0"/>
          <w:trHeight w:val="475"/>
        </w:trPr>
        <w:tc>
          <w:tcPr>
            <w:tcW w:w="1662" w:type="pct"/>
            <w:vAlign w:val="center"/>
            <w:hideMark/>
          </w:tcPr>
          <w:p w14:paraId="18925CDB" w14:textId="77777777" w:rsidR="00FD3995" w:rsidRPr="00A53BF3" w:rsidRDefault="00FD3995" w:rsidP="008675DF">
            <w:pPr>
              <w:keepNext/>
              <w:jc w:val="center"/>
              <w:rPr>
                <w:rFonts w:eastAsia="Times New Roman" w:cs="Arial"/>
                <w:sz w:val="20"/>
                <w:szCs w:val="20"/>
                <w:lang w:eastAsia="en-CA"/>
              </w:rPr>
            </w:pPr>
            <w:r w:rsidRPr="008675DF">
              <w:rPr>
                <w:rFonts w:eastAsia="Times New Roman" w:cs="Arial"/>
                <w:bCs w:val="0"/>
                <w:kern w:val="24"/>
                <w:sz w:val="20"/>
                <w:szCs w:val="20"/>
                <w:lang w:eastAsia="en-CA"/>
              </w:rPr>
              <w:t>Forecast Period Start Date</w:t>
            </w:r>
          </w:p>
        </w:tc>
        <w:tc>
          <w:tcPr>
            <w:tcW w:w="1726" w:type="pct"/>
            <w:vAlign w:val="center"/>
            <w:hideMark/>
          </w:tcPr>
          <w:p w14:paraId="42010F3B" w14:textId="77777777" w:rsidR="00FD3995" w:rsidRPr="00A53BF3" w:rsidRDefault="00FD3995"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Forecast Period End Date</w:t>
            </w:r>
          </w:p>
        </w:tc>
        <w:tc>
          <w:tcPr>
            <w:tcW w:w="1611" w:type="pct"/>
            <w:vAlign w:val="center"/>
            <w:hideMark/>
          </w:tcPr>
          <w:p w14:paraId="3DB223D3" w14:textId="77777777" w:rsidR="00FD3995" w:rsidRPr="00A53BF3" w:rsidRDefault="00FD3995"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Expected Amount of Debt Issuance ($M)</w:t>
            </w:r>
          </w:p>
        </w:tc>
      </w:tr>
      <w:tr w:rsidR="00FD3995" w:rsidRPr="00BF4D1D" w14:paraId="775FCA42" w14:textId="77777777" w:rsidTr="008675DF">
        <w:trPr>
          <w:cnfStyle w:val="000000100000" w:firstRow="0" w:lastRow="0" w:firstColumn="0" w:lastColumn="0" w:oddVBand="0" w:evenVBand="0" w:oddHBand="1" w:evenHBand="0" w:firstRowFirstColumn="0" w:firstRowLastColumn="0" w:lastRowFirstColumn="0" w:lastRowLastColumn="0"/>
          <w:trHeight w:val="345"/>
        </w:trPr>
        <w:tc>
          <w:tcPr>
            <w:tcW w:w="1662" w:type="pct"/>
            <w:vAlign w:val="center"/>
            <w:hideMark/>
          </w:tcPr>
          <w:p w14:paraId="240E3A7E"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December 1, 2017</w:t>
            </w:r>
          </w:p>
        </w:tc>
        <w:tc>
          <w:tcPr>
            <w:tcW w:w="1726" w:type="pct"/>
            <w:vAlign w:val="center"/>
            <w:hideMark/>
          </w:tcPr>
          <w:p w14:paraId="50E6BFD3"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December 31, 2017</w:t>
            </w:r>
          </w:p>
        </w:tc>
        <w:tc>
          <w:tcPr>
            <w:tcW w:w="1611" w:type="pct"/>
            <w:vAlign w:val="center"/>
            <w:hideMark/>
          </w:tcPr>
          <w:p w14:paraId="3F59E98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$1,179</w:t>
            </w:r>
          </w:p>
        </w:tc>
      </w:tr>
      <w:tr w:rsidR="00FD3995" w:rsidRPr="00BF4D1D" w14:paraId="11139029" w14:textId="77777777" w:rsidTr="008675DF">
        <w:trPr>
          <w:trHeight w:val="376"/>
        </w:trPr>
        <w:tc>
          <w:tcPr>
            <w:tcW w:w="1662" w:type="pct"/>
            <w:vAlign w:val="center"/>
            <w:hideMark/>
          </w:tcPr>
          <w:p w14:paraId="30DF425C"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January 1, 2018</w:t>
            </w:r>
          </w:p>
        </w:tc>
        <w:tc>
          <w:tcPr>
            <w:tcW w:w="1726" w:type="pct"/>
            <w:vAlign w:val="center"/>
            <w:hideMark/>
          </w:tcPr>
          <w:p w14:paraId="00018AFC"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December 31, 2018</w:t>
            </w:r>
          </w:p>
        </w:tc>
        <w:tc>
          <w:tcPr>
            <w:tcW w:w="1611" w:type="pct"/>
            <w:vAlign w:val="center"/>
            <w:hideMark/>
          </w:tcPr>
          <w:p w14:paraId="563D849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$2,591</w:t>
            </w:r>
          </w:p>
        </w:tc>
      </w:tr>
      <w:tr w:rsidR="00FD3995" w:rsidRPr="00BF4D1D" w14:paraId="25EFA39D" w14:textId="77777777" w:rsidTr="008675DF">
        <w:trPr>
          <w:cnfStyle w:val="000000100000" w:firstRow="0" w:lastRow="0" w:firstColumn="0" w:lastColumn="0" w:oddVBand="0" w:evenVBand="0" w:oddHBand="1" w:evenHBand="0" w:firstRowFirstColumn="0" w:firstRowLastColumn="0" w:lastRowFirstColumn="0" w:lastRowLastColumn="0"/>
          <w:trHeight w:val="347"/>
        </w:trPr>
        <w:tc>
          <w:tcPr>
            <w:tcW w:w="1662" w:type="pct"/>
            <w:vAlign w:val="center"/>
            <w:hideMark/>
          </w:tcPr>
          <w:p w14:paraId="368E424C"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January 1, 2019</w:t>
            </w:r>
          </w:p>
        </w:tc>
        <w:tc>
          <w:tcPr>
            <w:tcW w:w="1726" w:type="pct"/>
            <w:vAlign w:val="center"/>
            <w:hideMark/>
          </w:tcPr>
          <w:p w14:paraId="0A92297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November 30, 2019</w:t>
            </w:r>
          </w:p>
        </w:tc>
        <w:tc>
          <w:tcPr>
            <w:tcW w:w="1611" w:type="pct"/>
            <w:vAlign w:val="center"/>
            <w:hideMark/>
          </w:tcPr>
          <w:p w14:paraId="244C80A3"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$2,553</w:t>
            </w:r>
          </w:p>
        </w:tc>
      </w:tr>
      <w:tr w:rsidR="00FD3995" w:rsidRPr="00BF4D1D" w14:paraId="07E8DEF8" w14:textId="77777777" w:rsidTr="008675DF">
        <w:trPr>
          <w:trHeight w:val="347"/>
        </w:trPr>
        <w:tc>
          <w:tcPr>
            <w:tcW w:w="3389" w:type="pct"/>
            <w:gridSpan w:val="2"/>
            <w:vAlign w:val="center"/>
          </w:tcPr>
          <w:p w14:paraId="756492ED" w14:textId="77777777" w:rsidR="00FD3995" w:rsidRPr="008675DF" w:rsidRDefault="00FD3995" w:rsidP="008675DF">
            <w:pPr>
              <w:keepNext/>
              <w:jc w:val="center"/>
              <w:rPr>
                <w:rFonts w:eastAsia="Times New Roman" w:cs="Arial"/>
                <w:b/>
                <w:kern w:val="24"/>
                <w:sz w:val="20"/>
                <w:szCs w:val="20"/>
                <w:lang w:eastAsia="en-CA"/>
              </w:rPr>
            </w:pPr>
            <w:r w:rsidRPr="008675DF">
              <w:rPr>
                <w:rFonts w:eastAsia="Times New Roman" w:cs="Arial"/>
                <w:b/>
                <w:kern w:val="24"/>
                <w:sz w:val="20"/>
                <w:szCs w:val="20"/>
                <w:lang w:eastAsia="en-CA"/>
              </w:rPr>
              <w:t>Initial Protection Agreement Maximum:</w:t>
            </w:r>
          </w:p>
        </w:tc>
        <w:tc>
          <w:tcPr>
            <w:tcW w:w="1611" w:type="pct"/>
            <w:vAlign w:val="center"/>
          </w:tcPr>
          <w:p w14:paraId="2E658695" w14:textId="77777777" w:rsidR="00FD3995" w:rsidRPr="008675DF" w:rsidRDefault="00FD3995" w:rsidP="00A53BF3">
            <w:pPr>
              <w:keepNext/>
              <w:jc w:val="center"/>
              <w:rPr>
                <w:rFonts w:eastAsia="Times New Roman" w:cs="Arial"/>
                <w:b/>
                <w:kern w:val="24"/>
                <w:sz w:val="20"/>
                <w:szCs w:val="20"/>
                <w:lang w:eastAsia="en-CA"/>
              </w:rPr>
            </w:pPr>
            <w:r w:rsidRPr="008675DF">
              <w:rPr>
                <w:rFonts w:eastAsia="Times New Roman" w:cs="Arial"/>
                <w:b/>
                <w:kern w:val="24"/>
                <w:sz w:val="20"/>
                <w:szCs w:val="20"/>
                <w:lang w:eastAsia="en-CA"/>
              </w:rPr>
              <w:t>$6,323</w:t>
            </w:r>
          </w:p>
        </w:tc>
      </w:tr>
    </w:tbl>
    <w:p w14:paraId="20B563F8" w14:textId="77777777" w:rsidR="00FD3995" w:rsidRPr="00E0014E" w:rsidRDefault="00FD3995" w:rsidP="006E103A">
      <w:pPr>
        <w:pStyle w:val="7Bullet1"/>
        <w:numPr>
          <w:ilvl w:val="0"/>
          <w:numId w:val="0"/>
        </w:numPr>
        <w:ind w:left="360" w:hanging="360"/>
      </w:pPr>
    </w:p>
    <w:p w14:paraId="0AEC46D2" w14:textId="35749346" w:rsidR="0010361C" w:rsidRPr="006F37B9" w:rsidRDefault="0010361C" w:rsidP="006F37B9">
      <w:pPr>
        <w:pStyle w:val="5Byline"/>
        <w:ind w:left="720"/>
        <w:rPr>
          <w:b w:val="0"/>
        </w:rPr>
      </w:pPr>
      <w:r w:rsidRPr="006F37B9">
        <w:rPr>
          <w:b w:val="0"/>
          <w:i/>
        </w:rPr>
        <w:t>EFB Staff Comment:</w:t>
      </w:r>
      <w:r w:rsidRPr="006F37B9">
        <w:rPr>
          <w:b w:val="0"/>
        </w:rPr>
        <w:t xml:space="preserve"> </w:t>
      </w:r>
      <w:r>
        <w:rPr>
          <w:b w:val="0"/>
        </w:rPr>
        <w:t>9 to 12 months prior to the expir</w:t>
      </w:r>
      <w:r w:rsidR="006F37B9">
        <w:rPr>
          <w:b w:val="0"/>
        </w:rPr>
        <w:t xml:space="preserve">y of this </w:t>
      </w:r>
      <w:r w:rsidR="000D6066">
        <w:rPr>
          <w:b w:val="0"/>
        </w:rPr>
        <w:t xml:space="preserve">initial and every subsequent </w:t>
      </w:r>
      <w:r>
        <w:rPr>
          <w:b w:val="0"/>
        </w:rPr>
        <w:t>24-month forecast</w:t>
      </w:r>
      <w:r w:rsidR="000D6066">
        <w:rPr>
          <w:b w:val="0"/>
        </w:rPr>
        <w:t>s</w:t>
      </w:r>
      <w:r>
        <w:rPr>
          <w:b w:val="0"/>
        </w:rPr>
        <w:t xml:space="preserve">, OPG will provide the Province with an updated forecast amount of debt to be issued. </w:t>
      </w:r>
    </w:p>
    <w:p w14:paraId="25658FA7" w14:textId="77777777" w:rsidR="0010361C" w:rsidRDefault="0010361C" w:rsidP="00317420">
      <w:pPr>
        <w:pStyle w:val="5Byline"/>
      </w:pPr>
    </w:p>
    <w:p w14:paraId="7C042DDA" w14:textId="490A7AC2" w:rsidR="00FD3995" w:rsidRPr="006E103A" w:rsidRDefault="00A017FE" w:rsidP="006E103A">
      <w:pPr>
        <w:pStyle w:val="5Byline"/>
        <w:ind w:left="720"/>
        <w:rPr>
          <w:b w:val="0"/>
          <w:sz w:val="24"/>
          <w:szCs w:val="24"/>
          <w:u w:val="single"/>
        </w:rPr>
      </w:pPr>
      <w:r w:rsidRPr="006E103A">
        <w:rPr>
          <w:b w:val="0"/>
          <w:sz w:val="24"/>
          <w:szCs w:val="24"/>
          <w:u w:val="single"/>
        </w:rPr>
        <w:t>Other indemnities include:</w:t>
      </w:r>
    </w:p>
    <w:p w14:paraId="0B9E0AA1" w14:textId="77777777" w:rsidR="00A017FE" w:rsidRDefault="00A017FE" w:rsidP="006E103A">
      <w:pPr>
        <w:pStyle w:val="5Byline"/>
        <w:ind w:left="720"/>
        <w:rPr>
          <w:b w:val="0"/>
          <w:u w:val="single"/>
        </w:rPr>
      </w:pPr>
    </w:p>
    <w:p w14:paraId="32144E20" w14:textId="256C6E3F" w:rsidR="00A017FE" w:rsidRDefault="006E6AFC" w:rsidP="006E103A">
      <w:pPr>
        <w:pStyle w:val="7Bullet1"/>
        <w:numPr>
          <w:ilvl w:val="0"/>
          <w:numId w:val="19"/>
        </w:numPr>
      </w:pPr>
      <w:r w:rsidRPr="006E103A">
        <w:t xml:space="preserve">The </w:t>
      </w:r>
      <w:r>
        <w:t xml:space="preserve">Issuer Trustee (and its related parties) will be indemnified out of the </w:t>
      </w:r>
      <w:commentRangeStart w:id="9"/>
      <w:r>
        <w:t>trust property</w:t>
      </w:r>
      <w:commentRangeEnd w:id="9"/>
      <w:r>
        <w:rPr>
          <w:rStyle w:val="CommentReference"/>
          <w:rFonts w:eastAsiaTheme="minorHAnsi" w:cstheme="minorBidi"/>
          <w:lang w:val="en-CA"/>
        </w:rPr>
        <w:commentReference w:id="9"/>
      </w:r>
      <w:r>
        <w:t xml:space="preserve"> from and against all liabilities, obligations, losses, damages, penalties etc arising from its participation in the program agreement and in administration of the Trust except for its own fraud, willful misconduct, bad faith or negligence.</w:t>
      </w:r>
    </w:p>
    <w:p w14:paraId="7CE45A57" w14:textId="516E69B4" w:rsidR="00A65E3C" w:rsidRPr="006E6AFC" w:rsidRDefault="0053663D" w:rsidP="006E103A">
      <w:pPr>
        <w:pStyle w:val="7Bullet1"/>
        <w:numPr>
          <w:ilvl w:val="0"/>
          <w:numId w:val="19"/>
        </w:numPr>
      </w:pPr>
      <w:r>
        <w:t>Limited Recourse language ensure that the Indenture Trustee, OPG nor the Issuer Trustee will be responsible for the payment principal and interest on the notes or any other funding obligations of the Trust.</w:t>
      </w:r>
    </w:p>
    <w:p w14:paraId="660C1B81" w14:textId="77777777" w:rsidR="007B5528" w:rsidRDefault="007B5528" w:rsidP="007B5528">
      <w:pPr>
        <w:pStyle w:val="7Bullet1"/>
        <w:numPr>
          <w:ilvl w:val="0"/>
          <w:numId w:val="0"/>
        </w:numPr>
        <w:ind w:left="360"/>
      </w:pPr>
    </w:p>
    <w:p w14:paraId="79880C9C" w14:textId="64B9627F" w:rsidR="007B5528" w:rsidRPr="002D45BC" w:rsidRDefault="007B5528" w:rsidP="007B5528">
      <w:pPr>
        <w:pStyle w:val="7Bullet1"/>
        <w:numPr>
          <w:ilvl w:val="0"/>
          <w:numId w:val="6"/>
        </w:numPr>
      </w:pPr>
      <w:r>
        <w:rPr>
          <w:b/>
        </w:rPr>
        <w:t>Financial Services Manager’s Fees</w:t>
      </w:r>
    </w:p>
    <w:p w14:paraId="7358BA53" w14:textId="77777777" w:rsidR="007B5528" w:rsidRDefault="007B5528" w:rsidP="007B5528">
      <w:pPr>
        <w:pStyle w:val="7Bullet1"/>
        <w:numPr>
          <w:ilvl w:val="0"/>
          <w:numId w:val="0"/>
        </w:numPr>
        <w:ind w:left="360" w:hanging="360"/>
        <w:rPr>
          <w:b/>
        </w:rPr>
      </w:pPr>
    </w:p>
    <w:p w14:paraId="30D5232E" w14:textId="4E2287E4" w:rsidR="00FD3995" w:rsidRDefault="007B5528" w:rsidP="008675DF">
      <w:pPr>
        <w:pStyle w:val="7Bullet1"/>
        <w:numPr>
          <w:ilvl w:val="0"/>
          <w:numId w:val="0"/>
        </w:numPr>
        <w:ind w:left="360" w:hanging="360"/>
      </w:pPr>
      <w:r>
        <w:t>The</w:t>
      </w:r>
      <w:r w:rsidR="00856DD1">
        <w:t xml:space="preserve"> General Regulation</w:t>
      </w:r>
      <w:r w:rsidR="00631217">
        <w:t>s</w:t>
      </w:r>
      <w:r w:rsidR="00856DD1">
        <w:t xml:space="preserve"> specify how the fees OPG charges the Trust will be recovered:</w:t>
      </w:r>
    </w:p>
    <w:p w14:paraId="713D3DEC" w14:textId="77777777" w:rsidR="00B61355" w:rsidRDefault="00B61355" w:rsidP="008675DF">
      <w:pPr>
        <w:pStyle w:val="7Bullet1"/>
        <w:numPr>
          <w:ilvl w:val="0"/>
          <w:numId w:val="0"/>
        </w:numPr>
        <w:ind w:left="360" w:hanging="360"/>
      </w:pPr>
    </w:p>
    <w:p w14:paraId="557D74CE" w14:textId="5AFEF71C" w:rsidR="00B61355" w:rsidRPr="008675DF" w:rsidRDefault="00B61355" w:rsidP="008675DF">
      <w:pPr>
        <w:pStyle w:val="6Text"/>
        <w:jc w:val="center"/>
        <w:rPr>
          <w:b/>
        </w:rPr>
      </w:pPr>
      <w:r w:rsidRPr="008675DF">
        <w:rPr>
          <w:b/>
        </w:rPr>
        <w:t>Table 6: Fee Structure</w:t>
      </w:r>
    </w:p>
    <w:tbl>
      <w:tblPr>
        <w:tblStyle w:val="GridTable4-Accent1"/>
        <w:tblW w:w="0" w:type="auto"/>
        <w:tblLook w:val="04A0" w:firstRow="1" w:lastRow="0" w:firstColumn="1" w:lastColumn="0" w:noHBand="0" w:noVBand="1"/>
      </w:tblPr>
      <w:tblGrid>
        <w:gridCol w:w="3595"/>
        <w:gridCol w:w="5580"/>
      </w:tblGrid>
      <w:tr w:rsidR="00631217" w14:paraId="150EDD74" w14:textId="77777777" w:rsidTr="00170BB5">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27D218D" w14:textId="4F2DA968" w:rsidR="00631217" w:rsidRDefault="00631217" w:rsidP="008675DF">
            <w:pPr>
              <w:pStyle w:val="7Bullet1"/>
              <w:keepNext/>
              <w:numPr>
                <w:ilvl w:val="0"/>
                <w:numId w:val="0"/>
              </w:numPr>
              <w:jc w:val="center"/>
            </w:pPr>
            <w:r>
              <w:t>Time Period</w:t>
            </w:r>
          </w:p>
        </w:tc>
        <w:tc>
          <w:tcPr>
            <w:tcW w:w="5580" w:type="dxa"/>
            <w:vAlign w:val="center"/>
          </w:tcPr>
          <w:p w14:paraId="357CEFF8" w14:textId="28162870" w:rsidR="00631217" w:rsidRDefault="00905419" w:rsidP="008675DF">
            <w:pPr>
              <w:pStyle w:val="7Bullet1"/>
              <w:keepNext/>
              <w:numPr>
                <w:ilvl w:val="0"/>
                <w:numId w:val="0"/>
              </w:numPr>
              <w:jc w:val="center"/>
              <w:cnfStyle w:val="100000000000" w:firstRow="1" w:lastRow="0" w:firstColumn="0" w:lastColumn="0" w:oddVBand="0" w:evenVBand="0" w:oddHBand="0" w:evenHBand="0" w:firstRowFirstColumn="0" w:firstRowLastColumn="0" w:lastRowFirstColumn="0" w:lastRowLastColumn="0"/>
            </w:pPr>
            <w:r>
              <w:t>Fee Structure</w:t>
            </w:r>
          </w:p>
        </w:tc>
      </w:tr>
      <w:tr w:rsidR="00631217" w14:paraId="514E67E8" w14:textId="77777777" w:rsidTr="00170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7652753E" w14:textId="7464016F" w:rsidR="00631217" w:rsidRDefault="00631217">
            <w:pPr>
              <w:pStyle w:val="7Bullet1"/>
              <w:numPr>
                <w:ilvl w:val="0"/>
                <w:numId w:val="0"/>
              </w:numPr>
            </w:pPr>
            <w:r>
              <w:t>Up to December 31, 2017</w:t>
            </w:r>
          </w:p>
        </w:tc>
        <w:tc>
          <w:tcPr>
            <w:tcW w:w="5580" w:type="dxa"/>
          </w:tcPr>
          <w:p w14:paraId="01791454" w14:textId="49B5C384"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pPr>
            <w:r>
              <w:t>$</w:t>
            </w:r>
            <w:r w:rsidR="005744AA">
              <w:t xml:space="preserve">3.1M </w:t>
            </w:r>
            <w:r>
              <w:t>(includes a $0.6M fee</w:t>
            </w:r>
            <w:r w:rsidR="005744AA">
              <w:t>, and $2.5M to cover costs prior to June 1)</w:t>
            </w:r>
          </w:p>
          <w:p w14:paraId="5468BE03" w14:textId="3BF674FA"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pPr>
            <w:r>
              <w:t xml:space="preserve">Amount to cover up-front costs by OPG </w:t>
            </w:r>
            <w:r w:rsidR="005744AA">
              <w:t xml:space="preserve">between June 1 and December 31 </w:t>
            </w:r>
            <w:r>
              <w:t>on behalf of the Trust (legal fees, rating agency fees, trustee fees).</w:t>
            </w:r>
          </w:p>
        </w:tc>
      </w:tr>
      <w:tr w:rsidR="00631217" w14:paraId="3B208306" w14:textId="77777777" w:rsidTr="00170BB5">
        <w:tc>
          <w:tcPr>
            <w:cnfStyle w:val="001000000000" w:firstRow="0" w:lastRow="0" w:firstColumn="1" w:lastColumn="0" w:oddVBand="0" w:evenVBand="0" w:oddHBand="0" w:evenHBand="0" w:firstRowFirstColumn="0" w:firstRowLastColumn="0" w:lastRowFirstColumn="0" w:lastRowLastColumn="0"/>
            <w:tcW w:w="3595" w:type="dxa"/>
            <w:vAlign w:val="center"/>
          </w:tcPr>
          <w:p w14:paraId="47F521EC" w14:textId="1D0D944A" w:rsidR="00631217" w:rsidRDefault="00631217">
            <w:pPr>
              <w:pStyle w:val="7Bullet1"/>
              <w:numPr>
                <w:ilvl w:val="0"/>
                <w:numId w:val="0"/>
              </w:numPr>
            </w:pPr>
            <w:r>
              <w:t>January 1 2018 to March 31, 2019</w:t>
            </w:r>
          </w:p>
        </w:tc>
        <w:tc>
          <w:tcPr>
            <w:tcW w:w="5580" w:type="dxa"/>
          </w:tcPr>
          <w:p w14:paraId="6AAC2D93" w14:textId="6A5D59DC" w:rsidR="005744AA" w:rsidRDefault="005744AA" w:rsidP="0016298D">
            <w:pPr>
              <w:pStyle w:val="7Bullet1"/>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A general fee based on:</w:t>
            </w:r>
          </w:p>
          <w:p w14:paraId="31466A2B" w14:textId="17DC69BD" w:rsidR="00631217" w:rsidRDefault="0016298D"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B</w:t>
            </w:r>
            <w:r w:rsidR="005744AA" w:rsidRPr="00170BB5">
              <w:rPr>
                <w:b/>
              </w:rPr>
              <w:t>ase fee</w:t>
            </w:r>
            <w:r w:rsidR="00386D4F" w:rsidRPr="00170BB5">
              <w:rPr>
                <w:b/>
              </w:rPr>
              <w:t>:</w:t>
            </w:r>
            <w:r w:rsidR="005744AA">
              <w:t xml:space="preserve"> based on the </w:t>
            </w:r>
            <w:r>
              <w:t xml:space="preserve">monthly </w:t>
            </w:r>
            <w:r w:rsidR="005744AA">
              <w:t>average outstanding debt of the Trust, calculated on a monthly basis on 7.5 basis points, divided by 12.</w:t>
            </w:r>
          </w:p>
          <w:p w14:paraId="4A7A3573" w14:textId="7DD125D0" w:rsidR="00DA4BFC" w:rsidRDefault="005744AA">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Variable fee</w:t>
            </w:r>
            <w:r w:rsidR="00386D4F" w:rsidRPr="00170BB5">
              <w:rPr>
                <w:b/>
              </w:rPr>
              <w:t>:</w:t>
            </w:r>
            <w:r w:rsidR="0016298D">
              <w:t xml:space="preserve"> calculated on the </w:t>
            </w:r>
            <w:r w:rsidR="001F5EBA">
              <w:t xml:space="preserve">external funding tranche (51%). Fee based on how the </w:t>
            </w:r>
            <w:r w:rsidR="0016298D">
              <w:t xml:space="preserve">interest </w:t>
            </w:r>
            <w:r w:rsidR="00DA4BFC">
              <w:t xml:space="preserve">for the external funding tranches for the period compare to </w:t>
            </w:r>
            <w:r w:rsidR="001F5EBA">
              <w:t xml:space="preserve">forecast </w:t>
            </w:r>
            <w:r w:rsidR="00DA4BFC">
              <w:t>interest rates for the period. This fee is limited to +/-</w:t>
            </w:r>
            <w:r w:rsidR="001F5EBA">
              <w:t> </w:t>
            </w:r>
            <w:r w:rsidR="00DA4BFC">
              <w:t>2</w:t>
            </w:r>
            <w:r w:rsidR="001F5EBA">
              <w:t> </w:t>
            </w:r>
            <w:r w:rsidR="00DA4BFC">
              <w:t>percent of 5 percent of the total external funding tranches</w:t>
            </w:r>
            <w:r w:rsidR="00905419">
              <w:t>.</w:t>
            </w:r>
          </w:p>
          <w:p w14:paraId="22233121" w14:textId="5BA49891" w:rsidR="005744AA" w:rsidRDefault="00386D4F"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Expenses:</w:t>
            </w:r>
            <w:r>
              <w:t xml:space="preserve"> </w:t>
            </w:r>
            <w:r w:rsidR="00265012">
              <w:t>Third-party expenses and direct employee costs of dedicated Fair Hydro employees.</w:t>
            </w:r>
          </w:p>
        </w:tc>
      </w:tr>
      <w:tr w:rsidR="00631217" w14:paraId="1C32ACBD" w14:textId="77777777" w:rsidTr="00170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3A9E4A54" w14:textId="4D614ADA" w:rsidR="00631217" w:rsidRDefault="00631217">
            <w:pPr>
              <w:pStyle w:val="7Bullet1"/>
              <w:numPr>
                <w:ilvl w:val="0"/>
                <w:numId w:val="0"/>
              </w:numPr>
            </w:pPr>
            <w:r>
              <w:t xml:space="preserve">April 1, 2019 to March 31, 2020 </w:t>
            </w:r>
          </w:p>
          <w:p w14:paraId="694F5452" w14:textId="659639A0" w:rsidR="00631217" w:rsidRDefault="00631217">
            <w:pPr>
              <w:pStyle w:val="7Bullet1"/>
              <w:numPr>
                <w:ilvl w:val="0"/>
                <w:numId w:val="0"/>
              </w:numPr>
            </w:pPr>
            <w:r>
              <w:t>(and every subsequent fiscal year)</w:t>
            </w:r>
          </w:p>
        </w:tc>
        <w:tc>
          <w:tcPr>
            <w:tcW w:w="5580" w:type="dxa"/>
          </w:tcPr>
          <w:p w14:paraId="4C4FC0EE" w14:textId="77777777" w:rsidR="00631217" w:rsidRDefault="00877788">
            <w:pPr>
              <w:pStyle w:val="7Bullet1"/>
              <w:numPr>
                <w:ilvl w:val="0"/>
                <w:numId w:val="0"/>
              </w:numPr>
              <w:cnfStyle w:val="000000100000" w:firstRow="0" w:lastRow="0" w:firstColumn="0" w:lastColumn="0" w:oddVBand="0" w:evenVBand="0" w:oddHBand="1" w:evenHBand="0" w:firstRowFirstColumn="0" w:firstRowLastColumn="0" w:lastRowFirstColumn="0" w:lastRowLastColumn="0"/>
            </w:pPr>
            <w:r>
              <w:t>Base fee, variable fee and expenses submitted to the OEB</w:t>
            </w:r>
          </w:p>
          <w:p w14:paraId="00F89FD9" w14:textId="0515182D" w:rsidR="00877788" w:rsidRDefault="00386D4F"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170BB5">
              <w:rPr>
                <w:b/>
              </w:rPr>
              <w:t>Base Fee:</w:t>
            </w:r>
            <w:r>
              <w:t xml:space="preserve"> </w:t>
            </w:r>
            <w:r w:rsidR="00551E17">
              <w:t>comparable fees charged by full-service managers of securitization vehicles</w:t>
            </w:r>
          </w:p>
          <w:p w14:paraId="62E09D7D" w14:textId="5E2D0248" w:rsidR="00551E17" w:rsidRDefault="00551E17" w:rsidP="00551E17">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7F2FD9">
              <w:rPr>
                <w:b/>
              </w:rPr>
              <w:t>Variable fee:</w:t>
            </w:r>
            <w:r>
              <w:t xml:space="preserve"> same as above with a refresh of forecast interest rates for the relevant period.</w:t>
            </w:r>
          </w:p>
          <w:p w14:paraId="2362B125" w14:textId="598AD3DD" w:rsidR="00551E17" w:rsidRPr="00877788" w:rsidRDefault="00551E17"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170BB5">
              <w:rPr>
                <w:b/>
              </w:rPr>
              <w:t>Expenses:</w:t>
            </w:r>
            <w:r>
              <w:t xml:space="preserve"> will only include direct employee costs if comparable managers also include such direct costs.</w:t>
            </w:r>
          </w:p>
        </w:tc>
      </w:tr>
    </w:tbl>
    <w:p w14:paraId="392EC376" w14:textId="5D190127" w:rsidR="00856DD1" w:rsidRDefault="00856DD1" w:rsidP="007B5528">
      <w:pPr>
        <w:pStyle w:val="7Bullet1"/>
        <w:numPr>
          <w:ilvl w:val="0"/>
          <w:numId w:val="0"/>
        </w:numPr>
        <w:ind w:left="720"/>
      </w:pPr>
    </w:p>
    <w:p w14:paraId="7BB359AC" w14:textId="7C8CAC51" w:rsidR="00FD3995" w:rsidRPr="008675DF" w:rsidRDefault="00B540F9" w:rsidP="00317420">
      <w:pPr>
        <w:pStyle w:val="5Byline"/>
        <w:rPr>
          <w:b w:val="0"/>
          <w:sz w:val="24"/>
          <w:szCs w:val="24"/>
        </w:rPr>
      </w:pPr>
      <w:r w:rsidRPr="008675DF">
        <w:rPr>
          <w:b w:val="0"/>
          <w:sz w:val="24"/>
          <w:szCs w:val="24"/>
        </w:rPr>
        <w:t>Each submission to the OEB must be accompanied by an external auditor’s review of the accuracy of the costs and expenditures.</w:t>
      </w:r>
    </w:p>
    <w:p w14:paraId="4D8EDBA2" w14:textId="77777777" w:rsidR="00B540F9" w:rsidRPr="008675DF" w:rsidRDefault="00B540F9" w:rsidP="00317420">
      <w:pPr>
        <w:pStyle w:val="5Byline"/>
        <w:rPr>
          <w:b w:val="0"/>
          <w:sz w:val="24"/>
          <w:szCs w:val="24"/>
        </w:rPr>
      </w:pPr>
    </w:p>
    <w:p w14:paraId="59F440FB" w14:textId="3225CC8A" w:rsidR="00167100" w:rsidRPr="008675DF" w:rsidRDefault="00167100" w:rsidP="00317420">
      <w:pPr>
        <w:pStyle w:val="5Byline"/>
        <w:rPr>
          <w:b w:val="0"/>
          <w:sz w:val="24"/>
          <w:szCs w:val="24"/>
        </w:rPr>
      </w:pPr>
      <w:r w:rsidRPr="008675DF">
        <w:rPr>
          <w:b w:val="0"/>
          <w:i/>
          <w:sz w:val="24"/>
          <w:szCs w:val="24"/>
        </w:rPr>
        <w:t>EFB Staff Comment:</w:t>
      </w:r>
      <w:r w:rsidRPr="008675DF">
        <w:rPr>
          <w:b w:val="0"/>
          <w:sz w:val="24"/>
          <w:szCs w:val="24"/>
        </w:rPr>
        <w:t xml:space="preserve"> Unclear of the OEB’s role or mandate in approving fees and whether a proceeding similar to the rate decision will take place.</w:t>
      </w:r>
    </w:p>
    <w:p w14:paraId="546E16ED" w14:textId="77777777" w:rsidR="00111F5D" w:rsidRPr="008675DF" w:rsidRDefault="00111F5D" w:rsidP="00317420">
      <w:pPr>
        <w:pStyle w:val="5Byline"/>
        <w:rPr>
          <w:b w:val="0"/>
          <w:sz w:val="24"/>
          <w:szCs w:val="24"/>
        </w:rPr>
      </w:pPr>
    </w:p>
    <w:p w14:paraId="2A842401" w14:textId="64A1B0C0" w:rsidR="00FD3995" w:rsidRPr="008675DF" w:rsidRDefault="00AA1480" w:rsidP="008675DF">
      <w:pPr>
        <w:pStyle w:val="2Heading1"/>
        <w:keepNext/>
        <w:rPr>
          <w:szCs w:val="24"/>
        </w:rPr>
      </w:pPr>
      <w:r w:rsidRPr="00A53BF3">
        <w:rPr>
          <w:szCs w:val="24"/>
        </w:rPr>
        <w:t>Other considerations</w:t>
      </w:r>
    </w:p>
    <w:p w14:paraId="2A661268" w14:textId="13DA099E" w:rsidR="00FD3995" w:rsidRPr="008675DF" w:rsidRDefault="00124780" w:rsidP="00170BB5">
      <w:pPr>
        <w:pStyle w:val="5Byline"/>
        <w:numPr>
          <w:ilvl w:val="0"/>
          <w:numId w:val="28"/>
        </w:numPr>
        <w:rPr>
          <w:b w:val="0"/>
          <w:sz w:val="24"/>
          <w:szCs w:val="24"/>
        </w:rPr>
      </w:pPr>
      <w:r w:rsidRPr="008675DF">
        <w:rPr>
          <w:b w:val="0"/>
          <w:sz w:val="24"/>
          <w:szCs w:val="24"/>
        </w:rPr>
        <w:t>While priority will be given to borrowing in the Canadian market, due to the novelty (term ABS notes longer than 10 years) and size of the funding</w:t>
      </w:r>
      <w:r w:rsidR="00187F94">
        <w:rPr>
          <w:b w:val="0"/>
          <w:sz w:val="24"/>
          <w:szCs w:val="24"/>
        </w:rPr>
        <w:t xml:space="preserve"> obligation</w:t>
      </w:r>
      <w:r w:rsidRPr="008675DF">
        <w:rPr>
          <w:b w:val="0"/>
          <w:sz w:val="24"/>
          <w:szCs w:val="24"/>
        </w:rPr>
        <w:t xml:space="preserve">, </w:t>
      </w:r>
      <w:r w:rsidR="00563DA6" w:rsidRPr="008675DF">
        <w:rPr>
          <w:b w:val="0"/>
          <w:sz w:val="24"/>
          <w:szCs w:val="24"/>
        </w:rPr>
        <w:t>flexibility</w:t>
      </w:r>
      <w:r w:rsidRPr="008675DF">
        <w:rPr>
          <w:b w:val="0"/>
          <w:sz w:val="24"/>
          <w:szCs w:val="24"/>
        </w:rPr>
        <w:t xml:space="preserve"> will be maintained to access the US markets.</w:t>
      </w:r>
      <w:r w:rsidR="006635CB" w:rsidRPr="008675DF">
        <w:rPr>
          <w:b w:val="0"/>
          <w:sz w:val="24"/>
          <w:szCs w:val="24"/>
        </w:rPr>
        <w:t xml:space="preserve"> The decision on which market to access will occur on a deal-by-deal basis.</w:t>
      </w:r>
    </w:p>
    <w:p w14:paraId="66317ECF" w14:textId="6D50B577" w:rsidR="006635CB" w:rsidRPr="008675DF" w:rsidRDefault="002636CA" w:rsidP="00170BB5">
      <w:pPr>
        <w:pStyle w:val="5Byline"/>
        <w:numPr>
          <w:ilvl w:val="0"/>
          <w:numId w:val="28"/>
        </w:numPr>
        <w:rPr>
          <w:b w:val="0"/>
          <w:sz w:val="24"/>
          <w:szCs w:val="24"/>
        </w:rPr>
      </w:pPr>
      <w:r>
        <w:rPr>
          <w:b w:val="0"/>
          <w:sz w:val="24"/>
          <w:szCs w:val="24"/>
        </w:rPr>
        <w:lastRenderedPageBreak/>
        <w:t xml:space="preserve">The </w:t>
      </w:r>
      <w:r w:rsidR="00AE748C" w:rsidRPr="008675DF">
        <w:rPr>
          <w:b w:val="0"/>
          <w:sz w:val="24"/>
          <w:szCs w:val="24"/>
        </w:rPr>
        <w:t>W</w:t>
      </w:r>
      <w:r w:rsidR="005B0348" w:rsidRPr="008675DF">
        <w:rPr>
          <w:b w:val="0"/>
          <w:sz w:val="24"/>
          <w:szCs w:val="24"/>
        </w:rPr>
        <w:t xml:space="preserve">aterfall graphic </w:t>
      </w:r>
      <w:r>
        <w:rPr>
          <w:b w:val="0"/>
          <w:sz w:val="24"/>
          <w:szCs w:val="24"/>
        </w:rPr>
        <w:t xml:space="preserve">(See Figure 3) </w:t>
      </w:r>
      <w:r w:rsidR="005B0348" w:rsidRPr="008675DF">
        <w:rPr>
          <w:b w:val="0"/>
          <w:sz w:val="24"/>
          <w:szCs w:val="24"/>
        </w:rPr>
        <w:t>above</w:t>
      </w:r>
      <w:r w:rsidR="00AE748C" w:rsidRPr="008675DF">
        <w:rPr>
          <w:b w:val="0"/>
          <w:sz w:val="24"/>
          <w:szCs w:val="24"/>
        </w:rPr>
        <w:t xml:space="preserve"> provides details on priority of payments</w:t>
      </w:r>
      <w:r w:rsidR="005B0348" w:rsidRPr="008675DF">
        <w:rPr>
          <w:b w:val="0"/>
          <w:sz w:val="24"/>
          <w:szCs w:val="24"/>
        </w:rPr>
        <w:t>.</w:t>
      </w:r>
      <w:r w:rsidR="00C048BC" w:rsidRPr="008675DF">
        <w:rPr>
          <w:b w:val="0"/>
          <w:sz w:val="24"/>
          <w:szCs w:val="24"/>
        </w:rPr>
        <w:t xml:space="preserve"> Full details </w:t>
      </w:r>
      <w:r w:rsidR="00AE748C" w:rsidRPr="008675DF">
        <w:rPr>
          <w:b w:val="0"/>
          <w:sz w:val="24"/>
          <w:szCs w:val="24"/>
        </w:rPr>
        <w:t xml:space="preserve">also </w:t>
      </w:r>
      <w:r w:rsidR="00C048BC" w:rsidRPr="008675DF">
        <w:rPr>
          <w:b w:val="0"/>
          <w:sz w:val="24"/>
          <w:szCs w:val="24"/>
        </w:rPr>
        <w:t xml:space="preserve">provided in </w:t>
      </w:r>
      <w:r w:rsidR="00AE748C" w:rsidRPr="008675DF">
        <w:rPr>
          <w:b w:val="0"/>
          <w:sz w:val="24"/>
          <w:szCs w:val="24"/>
        </w:rPr>
        <w:t xml:space="preserve">the </w:t>
      </w:r>
      <w:r w:rsidR="00C048BC" w:rsidRPr="008675DF">
        <w:rPr>
          <w:b w:val="0"/>
          <w:sz w:val="24"/>
          <w:szCs w:val="24"/>
        </w:rPr>
        <w:t>Appendix</w:t>
      </w:r>
      <w:r w:rsidR="007F0BAB">
        <w:rPr>
          <w:b w:val="0"/>
          <w:sz w:val="24"/>
          <w:szCs w:val="24"/>
        </w:rPr>
        <w:t xml:space="preserve"> 3</w:t>
      </w:r>
      <w:r w:rsidR="00AE748C" w:rsidRPr="008675DF">
        <w:rPr>
          <w:b w:val="0"/>
          <w:sz w:val="24"/>
          <w:szCs w:val="24"/>
        </w:rPr>
        <w:t>.</w:t>
      </w:r>
    </w:p>
    <w:p w14:paraId="35A65F76" w14:textId="124B6384" w:rsidR="00AE748C" w:rsidRPr="008675DF" w:rsidRDefault="004A051C" w:rsidP="00170BB5">
      <w:pPr>
        <w:pStyle w:val="5Byline"/>
        <w:numPr>
          <w:ilvl w:val="0"/>
          <w:numId w:val="28"/>
        </w:numPr>
        <w:rPr>
          <w:b w:val="0"/>
          <w:sz w:val="24"/>
          <w:szCs w:val="24"/>
        </w:rPr>
      </w:pPr>
      <w:r w:rsidRPr="008675DF">
        <w:rPr>
          <w:b w:val="0"/>
          <w:sz w:val="24"/>
          <w:szCs w:val="24"/>
        </w:rPr>
        <w:t>Risk Mitigation Strategies</w:t>
      </w:r>
    </w:p>
    <w:p w14:paraId="2A40C828" w14:textId="78BCF2FE" w:rsidR="004A051C" w:rsidRPr="008675DF" w:rsidRDefault="004A051C" w:rsidP="008675DF">
      <w:pPr>
        <w:pStyle w:val="5Byline"/>
        <w:numPr>
          <w:ilvl w:val="1"/>
          <w:numId w:val="30"/>
        </w:numPr>
        <w:rPr>
          <w:b w:val="0"/>
          <w:sz w:val="24"/>
          <w:szCs w:val="24"/>
        </w:rPr>
      </w:pPr>
      <w:r w:rsidRPr="008675DF">
        <w:rPr>
          <w:sz w:val="24"/>
          <w:szCs w:val="24"/>
        </w:rPr>
        <w:t>Currency Risk:</w:t>
      </w:r>
      <w:r w:rsidRPr="008675DF">
        <w:rPr>
          <w:b w:val="0"/>
          <w:sz w:val="24"/>
          <w:szCs w:val="24"/>
        </w:rPr>
        <w:t xml:space="preserve"> </w:t>
      </w:r>
      <w:r w:rsidR="001C256F" w:rsidRPr="008675DF">
        <w:rPr>
          <w:b w:val="0"/>
          <w:sz w:val="24"/>
          <w:szCs w:val="24"/>
        </w:rPr>
        <w:t>Hedges will be considered to mitigate currency should US debt issuance take place. Funding will be sourced from the Canadian market for the initial issuance.</w:t>
      </w:r>
    </w:p>
    <w:p w14:paraId="383EBE58" w14:textId="43E9DFC8" w:rsidR="00A72EE6" w:rsidRPr="008675DF" w:rsidRDefault="00E05D58" w:rsidP="008675DF">
      <w:pPr>
        <w:pStyle w:val="5Byline"/>
        <w:numPr>
          <w:ilvl w:val="1"/>
          <w:numId w:val="30"/>
        </w:numPr>
        <w:rPr>
          <w:b w:val="0"/>
          <w:sz w:val="24"/>
          <w:szCs w:val="24"/>
        </w:rPr>
      </w:pPr>
      <w:r w:rsidRPr="008675DF">
        <w:rPr>
          <w:sz w:val="24"/>
          <w:szCs w:val="24"/>
        </w:rPr>
        <w:t>Interest Rate and Refinancing Risk:</w:t>
      </w:r>
      <w:r w:rsidRPr="008675DF">
        <w:rPr>
          <w:b w:val="0"/>
          <w:sz w:val="24"/>
          <w:szCs w:val="24"/>
        </w:rPr>
        <w:t xml:space="preserve"> </w:t>
      </w:r>
      <w:r w:rsidR="00A72EE6" w:rsidRPr="008675DF">
        <w:rPr>
          <w:b w:val="0"/>
          <w:sz w:val="24"/>
          <w:szCs w:val="24"/>
        </w:rPr>
        <w:t xml:space="preserve">Interest rate hedges, including bond forwards, interest rate swaps will be considered given the 30 </w:t>
      </w:r>
      <w:r w:rsidR="002636CA">
        <w:rPr>
          <w:b w:val="0"/>
          <w:sz w:val="24"/>
          <w:szCs w:val="24"/>
        </w:rPr>
        <w:t xml:space="preserve">year </w:t>
      </w:r>
      <w:r w:rsidR="00A72EE6" w:rsidRPr="008675DF">
        <w:rPr>
          <w:b w:val="0"/>
          <w:sz w:val="24"/>
          <w:szCs w:val="24"/>
        </w:rPr>
        <w:t>period of the program and potential for interest rate and refinancing risk.</w:t>
      </w:r>
    </w:p>
    <w:p w14:paraId="02389059" w14:textId="70016B21" w:rsidR="001C256F" w:rsidRPr="008675DF" w:rsidRDefault="007C5750" w:rsidP="008675DF">
      <w:pPr>
        <w:pStyle w:val="5Byline"/>
        <w:numPr>
          <w:ilvl w:val="1"/>
          <w:numId w:val="30"/>
        </w:numPr>
        <w:rPr>
          <w:b w:val="0"/>
          <w:sz w:val="24"/>
          <w:szCs w:val="24"/>
        </w:rPr>
      </w:pPr>
      <w:r w:rsidRPr="008675DF">
        <w:rPr>
          <w:sz w:val="24"/>
          <w:szCs w:val="24"/>
        </w:rPr>
        <w:t>Legal and Political Risk</w:t>
      </w:r>
      <w:r w:rsidR="003077EC" w:rsidRPr="008675DF">
        <w:rPr>
          <w:sz w:val="24"/>
          <w:szCs w:val="24"/>
        </w:rPr>
        <w:t>:</w:t>
      </w:r>
      <w:r w:rsidR="003077EC" w:rsidRPr="008675DF">
        <w:rPr>
          <w:b w:val="0"/>
          <w:sz w:val="24"/>
          <w:szCs w:val="24"/>
        </w:rPr>
        <w:t xml:space="preserve"> </w:t>
      </w:r>
      <w:r w:rsidR="00221733" w:rsidRPr="008675DF">
        <w:rPr>
          <w:b w:val="0"/>
          <w:sz w:val="24"/>
          <w:szCs w:val="24"/>
        </w:rPr>
        <w:t xml:space="preserve">Change of Law Protection Agreement provides bondholders with a limited guarantee that the Province will cover the approved obligations of </w:t>
      </w:r>
      <w:r w:rsidR="002371FE" w:rsidRPr="008675DF">
        <w:rPr>
          <w:b w:val="0"/>
          <w:sz w:val="24"/>
          <w:szCs w:val="24"/>
        </w:rPr>
        <w:t xml:space="preserve">Trust </w:t>
      </w:r>
      <w:r w:rsidR="00221733" w:rsidRPr="008675DF">
        <w:rPr>
          <w:b w:val="0"/>
          <w:sz w:val="24"/>
          <w:szCs w:val="24"/>
        </w:rPr>
        <w:t>if the guarantee is triggered.</w:t>
      </w:r>
    </w:p>
    <w:p w14:paraId="45B7D732" w14:textId="3B1E6E5A" w:rsidR="00521903" w:rsidRPr="008675DF" w:rsidRDefault="001A67F2" w:rsidP="00170BB5">
      <w:pPr>
        <w:pStyle w:val="5Byline"/>
        <w:numPr>
          <w:ilvl w:val="0"/>
          <w:numId w:val="28"/>
        </w:numPr>
        <w:rPr>
          <w:b w:val="0"/>
          <w:sz w:val="24"/>
          <w:szCs w:val="24"/>
        </w:rPr>
      </w:pPr>
      <w:r w:rsidRPr="008675DF">
        <w:rPr>
          <w:b w:val="0"/>
          <w:sz w:val="24"/>
          <w:szCs w:val="24"/>
        </w:rPr>
        <w:t>Tax Minimization Strategies</w:t>
      </w:r>
    </w:p>
    <w:p w14:paraId="045139AE" w14:textId="77777777" w:rsidR="001A67F2" w:rsidRPr="008675DF" w:rsidRDefault="00170BB5" w:rsidP="00170BB5">
      <w:pPr>
        <w:pStyle w:val="5Byline"/>
        <w:numPr>
          <w:ilvl w:val="1"/>
          <w:numId w:val="28"/>
        </w:numPr>
        <w:rPr>
          <w:b w:val="0"/>
          <w:sz w:val="24"/>
          <w:szCs w:val="24"/>
        </w:rPr>
      </w:pPr>
      <w:r w:rsidRPr="008675DF">
        <w:rPr>
          <w:sz w:val="24"/>
          <w:szCs w:val="24"/>
        </w:rPr>
        <w:t xml:space="preserve">Fair Hydro Trust: </w:t>
      </w:r>
      <w:r w:rsidRPr="008675DF">
        <w:rPr>
          <w:b w:val="0"/>
          <w:sz w:val="24"/>
          <w:szCs w:val="24"/>
        </w:rPr>
        <w:t>The Trust Income will be fully distributed to unitholders to ensure that there is no tax payable by the Trust.</w:t>
      </w:r>
    </w:p>
    <w:p w14:paraId="34C05FBC" w14:textId="73867E6B" w:rsidR="00D42E33" w:rsidRPr="008675DF" w:rsidRDefault="00D42E33" w:rsidP="008675DF">
      <w:pPr>
        <w:pStyle w:val="5Byline"/>
        <w:numPr>
          <w:ilvl w:val="2"/>
          <w:numId w:val="28"/>
        </w:numPr>
        <w:rPr>
          <w:b w:val="0"/>
          <w:sz w:val="24"/>
          <w:szCs w:val="24"/>
        </w:rPr>
      </w:pPr>
      <w:r w:rsidRPr="008675DF">
        <w:rPr>
          <w:b w:val="0"/>
          <w:sz w:val="24"/>
          <w:szCs w:val="24"/>
        </w:rPr>
        <w:t>Note: From Table 1 above, the Fair Hydro Trust Unitholders consist of FHP2017 Inc. (1,000,000 units) and BNY (1 unit).</w:t>
      </w:r>
    </w:p>
    <w:p w14:paraId="6FD1A376" w14:textId="5878E1DF" w:rsidR="00485FB2" w:rsidRPr="008A6CB1" w:rsidRDefault="00485FB2" w:rsidP="008675DF">
      <w:pPr>
        <w:pStyle w:val="5Byline"/>
        <w:numPr>
          <w:ilvl w:val="2"/>
          <w:numId w:val="28"/>
        </w:numPr>
        <w:rPr>
          <w:b w:val="0"/>
          <w:i/>
          <w:sz w:val="24"/>
          <w:szCs w:val="24"/>
        </w:rPr>
      </w:pPr>
      <w:r w:rsidRPr="008A6CB1">
        <w:rPr>
          <w:b w:val="0"/>
          <w:i/>
          <w:sz w:val="24"/>
          <w:szCs w:val="24"/>
          <w:u w:val="single"/>
        </w:rPr>
        <w:t>EFB Staff Comment:</w:t>
      </w:r>
      <w:r w:rsidRPr="008A6CB1">
        <w:rPr>
          <w:b w:val="0"/>
          <w:i/>
          <w:sz w:val="24"/>
          <w:szCs w:val="24"/>
        </w:rPr>
        <w:t xml:space="preserve"> Unclear if the BNY would receive proportionate share of income.</w:t>
      </w:r>
    </w:p>
    <w:p w14:paraId="1C981774" w14:textId="457D293B" w:rsidR="00170BB5" w:rsidRPr="008675DF" w:rsidRDefault="00485FB2" w:rsidP="00170BB5">
      <w:pPr>
        <w:pStyle w:val="5Byline"/>
        <w:numPr>
          <w:ilvl w:val="1"/>
          <w:numId w:val="28"/>
        </w:numPr>
        <w:rPr>
          <w:b w:val="0"/>
          <w:sz w:val="24"/>
          <w:szCs w:val="24"/>
        </w:rPr>
      </w:pPr>
      <w:r w:rsidRPr="008675DF">
        <w:rPr>
          <w:sz w:val="24"/>
          <w:szCs w:val="24"/>
        </w:rPr>
        <w:t>Beneficiary:</w:t>
      </w:r>
      <w:r w:rsidRPr="008675DF">
        <w:rPr>
          <w:b w:val="0"/>
          <w:sz w:val="24"/>
          <w:szCs w:val="24"/>
        </w:rPr>
        <w:t xml:space="preserve"> The Majority unitholder of the Trust, FHP 2017 Inc. is exempt from federal and provincial tax, and </w:t>
      </w:r>
      <w:r w:rsidR="00451734" w:rsidRPr="008675DF">
        <w:rPr>
          <w:b w:val="0"/>
          <w:sz w:val="24"/>
          <w:szCs w:val="24"/>
        </w:rPr>
        <w:t>has also been made exempt from payments in lieu of tax.</w:t>
      </w:r>
    </w:p>
    <w:p w14:paraId="791A83D0" w14:textId="77777777" w:rsidR="00221733" w:rsidRPr="008675DF" w:rsidRDefault="00221733">
      <w:pPr>
        <w:pStyle w:val="5Byline"/>
        <w:rPr>
          <w:b w:val="0"/>
          <w:sz w:val="24"/>
          <w:szCs w:val="24"/>
        </w:rPr>
      </w:pPr>
    </w:p>
    <w:p w14:paraId="779ADE00" w14:textId="5BA81312" w:rsidR="00E26DFE" w:rsidRPr="00A53BF3" w:rsidRDefault="00E26DFE" w:rsidP="008675DF">
      <w:pPr>
        <w:pStyle w:val="2Heading1"/>
        <w:rPr>
          <w:szCs w:val="24"/>
        </w:rPr>
      </w:pPr>
      <w:r w:rsidRPr="00A53BF3">
        <w:rPr>
          <w:szCs w:val="24"/>
        </w:rPr>
        <w:t>Execution Plan for First Investment Asset Purchase</w:t>
      </w:r>
    </w:p>
    <w:p w14:paraId="3CEFEEC7" w14:textId="77777777" w:rsidR="00E26DFE" w:rsidRPr="008675DF" w:rsidRDefault="00E26DFE">
      <w:pPr>
        <w:pStyle w:val="5Byline"/>
        <w:rPr>
          <w:b w:val="0"/>
          <w:sz w:val="24"/>
          <w:szCs w:val="24"/>
        </w:rPr>
      </w:pPr>
    </w:p>
    <w:p w14:paraId="5BF583E0" w14:textId="57161E50" w:rsidR="00001842" w:rsidRPr="008675DF" w:rsidRDefault="00001842" w:rsidP="008675DF">
      <w:pPr>
        <w:pStyle w:val="7Bullet1"/>
      </w:pPr>
      <w:r w:rsidRPr="00A53BF3">
        <w:t xml:space="preserve">The </w:t>
      </w:r>
      <w:r w:rsidR="003A414B" w:rsidRPr="00A53BF3">
        <w:t>f</w:t>
      </w:r>
      <w:r w:rsidRPr="008675DF">
        <w:t xml:space="preserve">irst </w:t>
      </w:r>
      <w:r w:rsidR="003A414B" w:rsidRPr="008675DF">
        <w:t>a</w:t>
      </w:r>
      <w:r w:rsidRPr="008675DF">
        <w:t xml:space="preserve">sset purchase </w:t>
      </w:r>
      <w:r w:rsidR="00C37FB7" w:rsidRPr="008675DF">
        <w:t xml:space="preserve">from the IESO </w:t>
      </w:r>
      <w:r w:rsidRPr="008675DF">
        <w:t xml:space="preserve">of approximately $1.2B </w:t>
      </w:r>
      <w:r w:rsidR="00C37FB7" w:rsidRPr="008675DF">
        <w:t xml:space="preserve">in December 2017 </w:t>
      </w:r>
      <w:r w:rsidRPr="008675DF">
        <w:t>will utilize the short-term warehouse facility</w:t>
      </w:r>
      <w:r w:rsidR="002F3F23" w:rsidRPr="008675DF">
        <w:t xml:space="preserve"> (approximately $600M) </w:t>
      </w:r>
      <w:r w:rsidR="003A414B" w:rsidRPr="008675DF">
        <w:t xml:space="preserve">for 51% of the debt </w:t>
      </w:r>
      <w:r w:rsidR="002F3F23" w:rsidRPr="008675DF">
        <w:t>and short-term subordinated and junior subordinated debt (approximately $580M)</w:t>
      </w:r>
      <w:r w:rsidR="003A414B" w:rsidRPr="008675DF">
        <w:t xml:space="preserve"> for the remaining 49%</w:t>
      </w:r>
      <w:r w:rsidRPr="008675DF">
        <w:t>.</w:t>
      </w:r>
    </w:p>
    <w:p w14:paraId="5C285FBE" w14:textId="43FC23AD" w:rsidR="002F3F23" w:rsidRDefault="009C0F2C" w:rsidP="008675DF">
      <w:pPr>
        <w:pStyle w:val="7Bullet1"/>
      </w:pPr>
      <w:r w:rsidRPr="008675DF">
        <w:t xml:space="preserve">The Timeline for the first purchase is </w:t>
      </w:r>
      <w:r w:rsidR="00442C86">
        <w:t xml:space="preserve">shown </w:t>
      </w:r>
      <w:r w:rsidRPr="00A53BF3">
        <w:t>in the table below:</w:t>
      </w:r>
    </w:p>
    <w:p w14:paraId="331FB658" w14:textId="77777777" w:rsidR="00542F42" w:rsidRPr="00A53BF3" w:rsidRDefault="00542F42" w:rsidP="008675DF">
      <w:pPr>
        <w:pStyle w:val="7Bullet1"/>
        <w:numPr>
          <w:ilvl w:val="0"/>
          <w:numId w:val="0"/>
        </w:numPr>
        <w:ind w:left="360"/>
      </w:pPr>
    </w:p>
    <w:p w14:paraId="7646A806" w14:textId="10462A03" w:rsidR="009C0F2C" w:rsidRPr="008675DF" w:rsidRDefault="00B61355" w:rsidP="008675DF">
      <w:pPr>
        <w:pStyle w:val="6Text"/>
        <w:jc w:val="center"/>
        <w:rPr>
          <w:b/>
        </w:rPr>
      </w:pPr>
      <w:r w:rsidRPr="008675DF">
        <w:rPr>
          <w:b/>
        </w:rPr>
        <w:t>Table 7: Timeline for First Purchase</w:t>
      </w:r>
    </w:p>
    <w:tbl>
      <w:tblPr>
        <w:tblStyle w:val="GridTable5Dark-Accent1"/>
        <w:tblW w:w="5000" w:type="pct"/>
        <w:tblLook w:val="0420" w:firstRow="1" w:lastRow="0" w:firstColumn="0" w:lastColumn="0" w:noHBand="0" w:noVBand="1"/>
      </w:tblPr>
      <w:tblGrid>
        <w:gridCol w:w="6465"/>
        <w:gridCol w:w="2885"/>
      </w:tblGrid>
      <w:tr w:rsidR="00454568" w:rsidRPr="00BF4D1D" w14:paraId="626D1D28" w14:textId="77777777" w:rsidTr="008675DF">
        <w:trPr>
          <w:cnfStyle w:val="100000000000" w:firstRow="1" w:lastRow="0" w:firstColumn="0" w:lastColumn="0" w:oddVBand="0" w:evenVBand="0" w:oddHBand="0" w:evenHBand="0" w:firstRowFirstColumn="0" w:firstRowLastColumn="0" w:lastRowFirstColumn="0" w:lastRowLastColumn="0"/>
          <w:trHeight w:val="432"/>
        </w:trPr>
        <w:tc>
          <w:tcPr>
            <w:tcW w:w="3457" w:type="pct"/>
            <w:vAlign w:val="center"/>
            <w:hideMark/>
          </w:tcPr>
          <w:p w14:paraId="2309E527" w14:textId="34591F7C" w:rsidR="00454568" w:rsidRPr="00A53BF3" w:rsidRDefault="0036121E" w:rsidP="008675DF">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Activity</w:t>
            </w:r>
          </w:p>
        </w:tc>
        <w:tc>
          <w:tcPr>
            <w:tcW w:w="1543" w:type="pct"/>
            <w:vAlign w:val="center"/>
            <w:hideMark/>
          </w:tcPr>
          <w:p w14:paraId="4DA8DE83" w14:textId="61FA3FBF" w:rsidR="00454568" w:rsidRPr="00A53BF3" w:rsidRDefault="00454568" w:rsidP="00A53BF3">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2017-18 Timeline</w:t>
            </w:r>
          </w:p>
        </w:tc>
      </w:tr>
      <w:tr w:rsidR="00454568" w:rsidRPr="00BF4D1D" w14:paraId="7E18F730"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3457" w:type="pct"/>
            <w:vAlign w:val="center"/>
          </w:tcPr>
          <w:p w14:paraId="0F047202" w14:textId="2B65D208" w:rsidR="00454568" w:rsidRPr="00BF4D1D" w:rsidRDefault="00454568" w:rsidP="00A53BF3">
            <w:pPr>
              <w:keepNext/>
              <w:keepLines/>
              <w:rPr>
                <w:rFonts w:eastAsia="Times New Roman" w:cs="Arial"/>
                <w:sz w:val="20"/>
                <w:szCs w:val="20"/>
                <w:lang w:eastAsia="en-CA"/>
              </w:rPr>
            </w:pPr>
            <w:r>
              <w:rPr>
                <w:rFonts w:eastAsia="Times New Roman" w:cs="Arial"/>
                <w:sz w:val="20"/>
                <w:szCs w:val="20"/>
                <w:lang w:eastAsia="en-CA"/>
              </w:rPr>
              <w:t>Provinces’  Equity Contribution and Warehouse Facility Closing &amp; Funding to Purchase Investment Asset</w:t>
            </w:r>
          </w:p>
        </w:tc>
        <w:tc>
          <w:tcPr>
            <w:tcW w:w="1543" w:type="pct"/>
            <w:vAlign w:val="center"/>
            <w:hideMark/>
          </w:tcPr>
          <w:p w14:paraId="38966E79" w14:textId="3A062D8F" w:rsidR="00454568" w:rsidRPr="00BF4D1D" w:rsidRDefault="00454568" w:rsidP="008675DF">
            <w:pPr>
              <w:keepNext/>
              <w:keepLines/>
              <w:jc w:val="center"/>
              <w:rPr>
                <w:rFonts w:eastAsia="Times New Roman" w:cs="Arial"/>
                <w:sz w:val="20"/>
                <w:szCs w:val="20"/>
                <w:lang w:eastAsia="en-CA"/>
              </w:rPr>
            </w:pPr>
            <w:r>
              <w:rPr>
                <w:rFonts w:eastAsia="Times New Roman" w:cs="Arial"/>
                <w:sz w:val="20"/>
                <w:szCs w:val="20"/>
                <w:lang w:eastAsia="en-CA"/>
              </w:rPr>
              <w:t>December 21, 2017</w:t>
            </w:r>
          </w:p>
        </w:tc>
      </w:tr>
      <w:tr w:rsidR="00454568" w:rsidRPr="00BF4D1D" w14:paraId="1630EA47" w14:textId="77777777" w:rsidTr="008675DF">
        <w:trPr>
          <w:trHeight w:val="421"/>
        </w:trPr>
        <w:tc>
          <w:tcPr>
            <w:tcW w:w="3457" w:type="pct"/>
            <w:vAlign w:val="center"/>
          </w:tcPr>
          <w:p w14:paraId="6C9E9962" w14:textId="6E9B5547"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Term Debt Rating Agencies’ Confirmation of Ratings</w:t>
            </w:r>
          </w:p>
        </w:tc>
        <w:tc>
          <w:tcPr>
            <w:tcW w:w="1543" w:type="pct"/>
            <w:vAlign w:val="center"/>
          </w:tcPr>
          <w:p w14:paraId="1B6F4182" w14:textId="1A0EA4FD"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Week of January 8, 2018</w:t>
            </w:r>
          </w:p>
        </w:tc>
      </w:tr>
      <w:tr w:rsidR="00454568" w:rsidRPr="00BF4D1D" w14:paraId="37B9C65D" w14:textId="77777777" w:rsidTr="008675DF">
        <w:trPr>
          <w:cnfStyle w:val="000000100000" w:firstRow="0" w:lastRow="0" w:firstColumn="0" w:lastColumn="0" w:oddVBand="0" w:evenVBand="0" w:oddHBand="1" w:evenHBand="0" w:firstRowFirstColumn="0" w:firstRowLastColumn="0" w:lastRowFirstColumn="0" w:lastRowLastColumn="0"/>
          <w:trHeight w:val="421"/>
        </w:trPr>
        <w:tc>
          <w:tcPr>
            <w:tcW w:w="3457" w:type="pct"/>
            <w:vAlign w:val="center"/>
          </w:tcPr>
          <w:p w14:paraId="7B41A8EB" w14:textId="582380CC"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Marketing &amp; Roadshow</w:t>
            </w:r>
          </w:p>
        </w:tc>
        <w:tc>
          <w:tcPr>
            <w:tcW w:w="1543" w:type="pct"/>
            <w:vAlign w:val="center"/>
          </w:tcPr>
          <w:p w14:paraId="20FA2713" w14:textId="3EDC2FD0"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Week of January 22, 2018</w:t>
            </w:r>
          </w:p>
        </w:tc>
      </w:tr>
      <w:tr w:rsidR="00454568" w:rsidRPr="00BF4D1D" w14:paraId="1231A2EE" w14:textId="77777777" w:rsidTr="008675DF">
        <w:trPr>
          <w:trHeight w:val="421"/>
        </w:trPr>
        <w:tc>
          <w:tcPr>
            <w:tcW w:w="3457" w:type="pct"/>
            <w:vAlign w:val="center"/>
          </w:tcPr>
          <w:p w14:paraId="1ECFE779" w14:textId="1687EB1F" w:rsidR="00454568" w:rsidRPr="00BF4D1D" w:rsidRDefault="00454568" w:rsidP="00A53BF3">
            <w:pPr>
              <w:keepNext/>
              <w:keepLines/>
              <w:rPr>
                <w:rFonts w:eastAsia="Times New Roman" w:cs="Arial"/>
                <w:sz w:val="20"/>
                <w:szCs w:val="20"/>
                <w:lang w:eastAsia="en-CA"/>
              </w:rPr>
            </w:pPr>
            <w:r>
              <w:rPr>
                <w:rFonts w:eastAsia="Times New Roman" w:cs="Arial"/>
                <w:sz w:val="20"/>
                <w:szCs w:val="20"/>
                <w:lang w:eastAsia="en-CA"/>
              </w:rPr>
              <w:t>Term Debt Pricing</w:t>
            </w:r>
          </w:p>
        </w:tc>
        <w:tc>
          <w:tcPr>
            <w:tcW w:w="1543" w:type="pct"/>
            <w:vAlign w:val="center"/>
            <w:hideMark/>
          </w:tcPr>
          <w:p w14:paraId="28EFCA53" w14:textId="2A65F647" w:rsidR="00454568" w:rsidRPr="00BF4D1D" w:rsidRDefault="00454568" w:rsidP="008675DF">
            <w:pPr>
              <w:keepNext/>
              <w:keepLines/>
              <w:jc w:val="center"/>
              <w:rPr>
                <w:rFonts w:eastAsia="Times New Roman" w:cs="Arial"/>
                <w:sz w:val="20"/>
                <w:szCs w:val="20"/>
                <w:lang w:eastAsia="en-CA"/>
              </w:rPr>
            </w:pPr>
            <w:r>
              <w:rPr>
                <w:rFonts w:eastAsia="Times New Roman" w:cs="Arial"/>
                <w:kern w:val="24"/>
                <w:sz w:val="20"/>
                <w:szCs w:val="20"/>
                <w:lang w:eastAsia="en-CA"/>
              </w:rPr>
              <w:t>Week of February 5, 2018</w:t>
            </w:r>
          </w:p>
        </w:tc>
      </w:tr>
      <w:tr w:rsidR="00454568" w:rsidRPr="00BF4D1D" w14:paraId="1ACC1F07" w14:textId="77777777" w:rsidTr="008675DF">
        <w:trPr>
          <w:cnfStyle w:val="000000100000" w:firstRow="0" w:lastRow="0" w:firstColumn="0" w:lastColumn="0" w:oddVBand="0" w:evenVBand="0" w:oddHBand="1" w:evenHBand="0" w:firstRowFirstColumn="0" w:firstRowLastColumn="0" w:lastRowFirstColumn="0" w:lastRowLastColumn="0"/>
          <w:trHeight w:val="349"/>
        </w:trPr>
        <w:tc>
          <w:tcPr>
            <w:tcW w:w="3457" w:type="pct"/>
            <w:vAlign w:val="center"/>
          </w:tcPr>
          <w:p w14:paraId="15443099" w14:textId="7753AF6B"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Term Debt Closing &amp; Funding</w:t>
            </w:r>
          </w:p>
        </w:tc>
        <w:tc>
          <w:tcPr>
            <w:tcW w:w="1543" w:type="pct"/>
            <w:vAlign w:val="center"/>
          </w:tcPr>
          <w:p w14:paraId="74091088" w14:textId="1975F190"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T+5 of Pricing Date</w:t>
            </w:r>
          </w:p>
        </w:tc>
      </w:tr>
    </w:tbl>
    <w:p w14:paraId="3D16E054" w14:textId="77777777" w:rsidR="00FD3995" w:rsidRDefault="00FD3995" w:rsidP="00317420">
      <w:pPr>
        <w:pStyle w:val="5Byline"/>
      </w:pPr>
    </w:p>
    <w:p w14:paraId="2D9D4F4C" w14:textId="5667CA44" w:rsidR="00864B70" w:rsidRDefault="00785DE1" w:rsidP="00317420">
      <w:pPr>
        <w:pStyle w:val="5Byline"/>
      </w:pPr>
      <w:r w:rsidRPr="00BF4D1D">
        <w:t>Corporate and Electricity Finance Division</w:t>
      </w:r>
      <w:r w:rsidR="00C23F1E">
        <w:t>, Electricity Finance Branch</w:t>
      </w:r>
    </w:p>
    <w:p w14:paraId="7A20CC8C" w14:textId="0F6048AA" w:rsidR="00B61355" w:rsidRDefault="00C23F1E" w:rsidP="00830403">
      <w:pPr>
        <w:pStyle w:val="5Byline"/>
        <w:rPr>
          <w:b w:val="0"/>
          <w:caps/>
          <w:sz w:val="24"/>
          <w:szCs w:val="28"/>
        </w:rPr>
      </w:pPr>
      <w:r>
        <w:t>January 2018</w:t>
      </w:r>
      <w:r w:rsidR="00B61355">
        <w:br w:type="page"/>
      </w:r>
    </w:p>
    <w:p w14:paraId="45349819" w14:textId="7C62ECBB" w:rsidR="004F54FE" w:rsidRPr="00BF4D1D" w:rsidRDefault="004F54FE" w:rsidP="004F54FE">
      <w:pPr>
        <w:pStyle w:val="2Heading1"/>
      </w:pPr>
      <w:r w:rsidRPr="00BF4D1D">
        <w:lastRenderedPageBreak/>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lastRenderedPageBreak/>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0BD229DC" w14:textId="6258C291" w:rsidR="00791A08" w:rsidRDefault="00D867A3" w:rsidP="0088303A">
      <w:pPr>
        <w:pStyle w:val="2Heading1"/>
      </w:pPr>
      <w:r>
        <w:lastRenderedPageBreak/>
        <w:t>A</w:t>
      </w:r>
      <w:r w:rsidR="00830403">
        <w:t>PPENDIX 2</w:t>
      </w:r>
      <w:r>
        <w:t xml:space="preserve">: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lastRenderedPageBreak/>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763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7631D">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7631D">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A25AC6" w:rsidRDefault="00CA6621" w:rsidP="00CA6621">
            <w:pPr>
              <w:pStyle w:val="6Text"/>
              <w:numPr>
                <w:ilvl w:val="0"/>
                <w:numId w:val="10"/>
              </w:numPr>
              <w:rPr>
                <w:b w:val="0"/>
                <w:sz w:val="20"/>
                <w:szCs w:val="20"/>
                <w:highlight w:val="yellow"/>
              </w:rPr>
            </w:pPr>
            <w:commentRangeStart w:id="10"/>
            <w:r w:rsidRPr="00CA6621">
              <w:rPr>
                <w:b w:val="0"/>
                <w:sz w:val="20"/>
                <w:szCs w:val="20"/>
              </w:rPr>
              <w:t xml:space="preserve">no </w:t>
            </w:r>
            <w:r w:rsidRPr="00A25AC6">
              <w:rPr>
                <w:b w:val="0"/>
                <w:sz w:val="20"/>
                <w:szCs w:val="20"/>
                <w:highlight w:val="yellow"/>
              </w:rPr>
              <w:t>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A25AC6">
              <w:rPr>
                <w:b w:val="0"/>
                <w:sz w:val="20"/>
                <w:szCs w:val="20"/>
                <w:highlight w:val="yellow"/>
              </w:rPr>
              <w:t>no later than February 28 in each subsequent</w:t>
            </w:r>
            <w:r w:rsidRPr="00CA6621">
              <w:rPr>
                <w:b w:val="0"/>
                <w:sz w:val="20"/>
                <w:szCs w:val="20"/>
              </w:rPr>
              <w:t xml:space="preserve"> year</w:t>
            </w:r>
            <w:commentRangeEnd w:id="10"/>
            <w:r w:rsidR="00A96DF1">
              <w:rPr>
                <w:rStyle w:val="CommentReference"/>
                <w:rFonts w:eastAsiaTheme="minorHAnsi" w:cstheme="minorBidi"/>
                <w:b w:val="0"/>
                <w:bCs w:val="0"/>
                <w:lang w:val="en-CA"/>
              </w:rPr>
              <w:commentReference w:id="10"/>
            </w:r>
            <w:r w:rsidRPr="00CA6621">
              <w:rPr>
                <w:b w:val="0"/>
                <w:sz w:val="20"/>
                <w:szCs w:val="20"/>
              </w:rPr>
              <w:t>, in respect of costs and expenditures paid during the previous calendar year. O. Reg. 415/17, s. 4.</w:t>
            </w:r>
          </w:p>
        </w:tc>
        <w:tc>
          <w:tcPr>
            <w:tcW w:w="3145" w:type="dxa"/>
          </w:tcPr>
          <w:p w14:paraId="3585D86C" w14:textId="4D83AE9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in the calendar year to which the submission under this section relates are charged by full-service managers of funds who, in addition to charging those fees, also recover costs that are </w:t>
            </w:r>
            <w:r w:rsidRPr="003B658D">
              <w:rPr>
                <w:b w:val="0"/>
                <w:sz w:val="20"/>
                <w:szCs w:val="20"/>
              </w:rPr>
              <w:lastRenderedPageBreak/>
              <w:t>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48031646" w:rsidR="00C048BC" w:rsidRDefault="00C048BC">
      <w:pPr>
        <w:rPr>
          <w:rFonts w:cs="Arial"/>
          <w:sz w:val="24"/>
          <w:szCs w:val="24"/>
        </w:rPr>
      </w:pPr>
      <w:r>
        <w:br w:type="page"/>
      </w:r>
    </w:p>
    <w:p w14:paraId="397A539F" w14:textId="1A2D3A9B" w:rsidR="002D6FBD" w:rsidRDefault="00C048BC" w:rsidP="00170BB5">
      <w:pPr>
        <w:pStyle w:val="2Heading1"/>
      </w:pPr>
      <w:r>
        <w:lastRenderedPageBreak/>
        <w:t xml:space="preserve">appendix </w:t>
      </w:r>
      <w:r w:rsidR="00830403">
        <w:t>3</w:t>
      </w:r>
      <w:r>
        <w:t>: Payment Priorities</w:t>
      </w:r>
    </w:p>
    <w:p w14:paraId="24E6CC96" w14:textId="77777777" w:rsidR="00C048BC" w:rsidRDefault="00C048BC">
      <w:pPr>
        <w:pStyle w:val="6Text"/>
      </w:pPr>
    </w:p>
    <w:p w14:paraId="48F6EED5" w14:textId="77777777" w:rsidR="0057631D" w:rsidRDefault="0057631D" w:rsidP="0057631D">
      <w:pPr>
        <w:pStyle w:val="6Text"/>
      </w:pPr>
      <w:r>
        <w:t>On each payment date, all amounts on deposit in the collection account will be paid out in the following order of priority:</w:t>
      </w:r>
    </w:p>
    <w:p w14:paraId="4435488E" w14:textId="04C93296" w:rsidR="0057631D" w:rsidRDefault="0057631D" w:rsidP="00170BB5">
      <w:pPr>
        <w:pStyle w:val="6Text"/>
        <w:numPr>
          <w:ilvl w:val="0"/>
          <w:numId w:val="29"/>
        </w:numPr>
      </w:pPr>
      <w:r>
        <w:t>to pay (A) all taxes e</w:t>
      </w:r>
      <w:r w:rsidR="00AE748C">
        <w:t>l</w:t>
      </w:r>
      <w:r>
        <w:t>igible for which a governmental authority is given priority over the specified creditors under the laws of the applicable jurisdiction, and then (B) fees, expenses and reimbursements owing to the Issuer Trustee and the Indenture Trustee up to a maximum aggregate amount of equal to $150,000, multiplied by the number of series of senior Funding Obligations outstanding on the payment date, divided by 12;</w:t>
      </w:r>
    </w:p>
    <w:p w14:paraId="4B2D4DFF" w14:textId="380F89C6" w:rsidR="0057631D" w:rsidRDefault="0057631D" w:rsidP="00170BB5">
      <w:pPr>
        <w:pStyle w:val="6Text"/>
        <w:numPr>
          <w:ilvl w:val="0"/>
          <w:numId w:val="29"/>
        </w:numPr>
      </w:pPr>
      <w:r>
        <w:t xml:space="preserve">to pay (A) interest, fees and other amounts owing in respect of senior debt and (B) amounts payable to derivative counterparties other than termination payments; </w:t>
      </w:r>
    </w:p>
    <w:p w14:paraId="24160462" w14:textId="472538B6" w:rsidR="0057631D" w:rsidRDefault="0057631D" w:rsidP="00170BB5">
      <w:pPr>
        <w:pStyle w:val="6Text"/>
        <w:numPr>
          <w:ilvl w:val="0"/>
          <w:numId w:val="29"/>
        </w:numPr>
      </w:pPr>
      <w:r>
        <w:t>to pay interest, fees and other amounts owing in respect of subordinated debt;</w:t>
      </w:r>
    </w:p>
    <w:p w14:paraId="7BB2E7C8" w14:textId="79FD7867" w:rsidR="0057631D" w:rsidRDefault="0057631D" w:rsidP="00170BB5">
      <w:pPr>
        <w:pStyle w:val="6Text"/>
        <w:numPr>
          <w:ilvl w:val="0"/>
          <w:numId w:val="29"/>
        </w:numPr>
      </w:pPr>
      <w:r>
        <w:t>to pay interest, fees and other amounts owing in respect of junior subordinated debt;</w:t>
      </w:r>
    </w:p>
    <w:p w14:paraId="1972EF1A" w14:textId="0C0102E7" w:rsidR="0057631D" w:rsidRDefault="0057631D" w:rsidP="00170BB5">
      <w:pPr>
        <w:pStyle w:val="6Text"/>
        <w:numPr>
          <w:ilvl w:val="0"/>
          <w:numId w:val="29"/>
        </w:numPr>
      </w:pPr>
      <w:r>
        <w:t>to pay principal owing in respect of warehouse debt;</w:t>
      </w:r>
    </w:p>
    <w:p w14:paraId="694B6D44" w14:textId="1DD91895" w:rsidR="0057631D" w:rsidRDefault="0057631D" w:rsidP="00170BB5">
      <w:pPr>
        <w:pStyle w:val="6Text"/>
        <w:numPr>
          <w:ilvl w:val="0"/>
          <w:numId w:val="29"/>
        </w:numPr>
      </w:pPr>
      <w:r>
        <w:t>to pay (A) principal owing in respect of senior debt to the extent required to satisfy any payment of principal; and (B) termination payments owing to derivative counterparties where the derivative counterparty is not the defaulting party or the sole affected party;</w:t>
      </w:r>
    </w:p>
    <w:p w14:paraId="0DABCC15" w14:textId="2C90DC9A" w:rsidR="0057631D" w:rsidRDefault="0057631D" w:rsidP="00170BB5">
      <w:pPr>
        <w:pStyle w:val="6Text"/>
        <w:numPr>
          <w:ilvl w:val="0"/>
          <w:numId w:val="29"/>
        </w:numPr>
      </w:pPr>
      <w:r>
        <w:t>to pay fees, expenses, reimbursement and indemnity amounts owing to the FSM;</w:t>
      </w:r>
    </w:p>
    <w:p w14:paraId="12C0F735" w14:textId="4C6BDCEE" w:rsidR="0057631D" w:rsidRDefault="0057631D" w:rsidP="00170BB5">
      <w:pPr>
        <w:pStyle w:val="6Text"/>
        <w:numPr>
          <w:ilvl w:val="0"/>
          <w:numId w:val="29"/>
        </w:numPr>
      </w:pPr>
      <w:r>
        <w:t>to pay principal owing in respect of subordinated debt to the extent required to satisfy any payment of principal;</w:t>
      </w:r>
    </w:p>
    <w:p w14:paraId="0FD85ADD" w14:textId="61078042" w:rsidR="0057631D" w:rsidRDefault="0057631D" w:rsidP="00170BB5">
      <w:pPr>
        <w:pStyle w:val="6Text"/>
        <w:numPr>
          <w:ilvl w:val="0"/>
          <w:numId w:val="29"/>
        </w:numPr>
      </w:pPr>
      <w:r>
        <w:t>to pay principal owing in respect of junior subordinated debt to the extent required to satisfy any payment of principal;</w:t>
      </w:r>
    </w:p>
    <w:p w14:paraId="7A228302" w14:textId="77D05018" w:rsidR="0057631D" w:rsidRDefault="0057631D" w:rsidP="00170BB5">
      <w:pPr>
        <w:pStyle w:val="6Text"/>
        <w:numPr>
          <w:ilvl w:val="0"/>
          <w:numId w:val="29"/>
        </w:numPr>
      </w:pPr>
      <w:r>
        <w:t>to deposit to the Program Cash Reserve Account, if the amount on deposit is less than the required amount;</w:t>
      </w:r>
    </w:p>
    <w:p w14:paraId="1908E2CF" w14:textId="0D9DAD0C" w:rsidR="0057631D" w:rsidRDefault="0057631D" w:rsidP="00170BB5">
      <w:pPr>
        <w:pStyle w:val="6Text"/>
        <w:numPr>
          <w:ilvl w:val="0"/>
          <w:numId w:val="29"/>
        </w:numPr>
      </w:pPr>
      <w:r>
        <w:t>to replenish any reserve account in respect of senior debt, the amount required pursuant to the applicable Funding Obligation agreement;</w:t>
      </w:r>
    </w:p>
    <w:p w14:paraId="04F1D514" w14:textId="75045071" w:rsidR="0057631D" w:rsidRDefault="0057631D" w:rsidP="00170BB5">
      <w:pPr>
        <w:pStyle w:val="6Text"/>
        <w:numPr>
          <w:ilvl w:val="0"/>
          <w:numId w:val="29"/>
        </w:numPr>
      </w:pPr>
      <w:r>
        <w:t>to replenish any reserve account in respect of subordinated debt, the amount required pursuant to the applicable Funding Obligation agreement;</w:t>
      </w:r>
    </w:p>
    <w:p w14:paraId="4C880461" w14:textId="418EE9E6" w:rsidR="0057631D" w:rsidRDefault="0057631D" w:rsidP="00170BB5">
      <w:pPr>
        <w:pStyle w:val="6Text"/>
        <w:numPr>
          <w:ilvl w:val="0"/>
          <w:numId w:val="29"/>
        </w:numPr>
      </w:pPr>
      <w:r>
        <w:t>to replenish any reserve account in respect of junior subordinated debt, the amount required pursuant to the applicable Funding Obligation agreement;</w:t>
      </w:r>
    </w:p>
    <w:p w14:paraId="0A187859" w14:textId="22AFF74C" w:rsidR="0057631D" w:rsidRPr="00BF4D1D" w:rsidRDefault="0057631D" w:rsidP="00170BB5">
      <w:pPr>
        <w:pStyle w:val="6Text"/>
        <w:numPr>
          <w:ilvl w:val="0"/>
          <w:numId w:val="29"/>
        </w:numPr>
      </w:pPr>
      <w:r>
        <w:t>to be held in the collection account for distribution in the above order of priority on the next payment date; or (ii) after all Funding Obligations have been paid and discharged, and all other amounts have been paid in full, to pay to the Trust.</w:t>
      </w:r>
    </w:p>
    <w:sectPr w:rsidR="0057631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hajee Kathirgamanathan" w:date="2017-12-14T14:16:00Z" w:initials="SK">
    <w:p w14:paraId="561A3C36" w14:textId="028317D2" w:rsidR="00B1224A" w:rsidRDefault="00B1224A" w:rsidP="006638DA">
      <w:pPr>
        <w:pStyle w:val="CommentText"/>
      </w:pPr>
      <w:r>
        <w:rPr>
          <w:rStyle w:val="CommentReference"/>
        </w:rPr>
        <w:annotationRef/>
      </w:r>
      <w:r>
        <w:rPr>
          <w:rStyle w:val="CommentReference"/>
        </w:rPr>
        <w:t>Fairly certain, but will need to confirm.</w:t>
      </w:r>
    </w:p>
  </w:comment>
  <w:comment w:id="2" w:author="ShajeeK9" w:date="2017-11-16T13:20:00Z" w:initials="SK9">
    <w:p w14:paraId="6AF6361F" w14:textId="77777777" w:rsidR="00B1224A" w:rsidRPr="00BF4D1D" w:rsidRDefault="00B1224A" w:rsidP="00C92A2C">
      <w:pPr>
        <w:pStyle w:val="6Text"/>
        <w:rPr>
          <w:i/>
        </w:rPr>
      </w:pPr>
      <w:r>
        <w:rPr>
          <w:rStyle w:val="CommentReference"/>
        </w:rPr>
        <w:annotationRef/>
      </w:r>
      <w:r>
        <w:t>Does this mean a loan to the trust?</w:t>
      </w:r>
      <w:r>
        <w:br/>
      </w:r>
      <w:r>
        <w:br/>
      </w:r>
      <w:r w:rsidRPr="00BF4D1D">
        <w:rPr>
          <w:i/>
        </w:rPr>
        <w:t>EFB Comment: Unclear how this ‘investment’ in the trust from OPG will work. Will it be a loan? If so it is unclear as to what would be the expected return of this loan.</w:t>
      </w:r>
    </w:p>
    <w:p w14:paraId="1D007ACA" w14:textId="72BA2A50" w:rsidR="00B1224A" w:rsidRDefault="00B1224A" w:rsidP="000F3543">
      <w:pPr>
        <w:pStyle w:val="CommentText"/>
      </w:pPr>
    </w:p>
  </w:comment>
  <w:comment w:id="3" w:author="Salman Qadir" w:date="2017-12-28T11:23:00Z" w:initials="SQ">
    <w:p w14:paraId="67262A9C" w14:textId="04CD8275" w:rsidR="00B1224A" w:rsidRDefault="00B1224A">
      <w:pPr>
        <w:pStyle w:val="CommentText"/>
      </w:pPr>
      <w:r>
        <w:rPr>
          <w:rStyle w:val="CommentReference"/>
        </w:rPr>
        <w:annotationRef/>
      </w:r>
      <w:r>
        <w:t>It does seem tricky but it does say later in the same sentence that it (being investment) will be in subordinated debt. So yes. But agree that the debt could be structured in a number of ways, which is outlined in “Current Funding Options” in the Financing Plan and add later into this note.</w:t>
      </w:r>
    </w:p>
  </w:comment>
  <w:comment w:id="4" w:author="Salman Qadir" w:date="2017-12-28T12:22:00Z" w:initials="SQ">
    <w:p w14:paraId="791D76E4" w14:textId="77777777" w:rsidR="00B1224A" w:rsidRPr="00BF4D1D" w:rsidRDefault="00B1224A" w:rsidP="00227DBE">
      <w:pPr>
        <w:pStyle w:val="6Text"/>
        <w:rPr>
          <w:i/>
        </w:rPr>
      </w:pPr>
      <w:r>
        <w:rPr>
          <w:rStyle w:val="CommentReference"/>
        </w:rPr>
        <w:annotationRef/>
      </w:r>
      <w:r w:rsidRPr="00BF4D1D">
        <w:rPr>
          <w:i/>
        </w:rPr>
        <w:t>EFB Comment: Unclear if this means FAA and RA amounts will be recalculated by Energy and sent to OPG every 6 months from here on out. This does not seem to be the case according to legislation, but frequency of revisions is still uncertain.</w:t>
      </w:r>
    </w:p>
    <w:p w14:paraId="68B5019D" w14:textId="030BDCAC" w:rsidR="00B1224A" w:rsidRDefault="00B1224A">
      <w:pPr>
        <w:pStyle w:val="CommentText"/>
      </w:pPr>
    </w:p>
  </w:comment>
  <w:comment w:id="5" w:author="Salman Qadir" w:date="2017-12-28T12:23:00Z" w:initials="SQ">
    <w:p w14:paraId="5A5E72C2" w14:textId="77777777" w:rsidR="00B1224A" w:rsidRDefault="00B1224A">
      <w:pPr>
        <w:pStyle w:val="CommentText"/>
      </w:pPr>
      <w:r>
        <w:rPr>
          <w:rStyle w:val="CommentReference"/>
        </w:rPr>
        <w:annotationRef/>
      </w:r>
      <w:r>
        <w:t>From the Act; Reference Period:</w:t>
      </w:r>
    </w:p>
    <w:p w14:paraId="1866B7AE" w14:textId="77777777" w:rsidR="00B1224A" w:rsidRDefault="00B1224A" w:rsidP="00227DBE">
      <w:pPr>
        <w:pStyle w:val="definition"/>
        <w:shd w:val="clear" w:color="auto" w:fill="FFFFFF"/>
        <w:spacing w:before="0" w:beforeAutospacing="0" w:after="120" w:afterAutospacing="0"/>
        <w:ind w:left="480" w:hanging="240"/>
        <w:rPr>
          <w:rFonts w:ascii="Arial" w:hAnsi="Arial" w:cs="Arial"/>
          <w:color w:val="505050"/>
        </w:rPr>
      </w:pPr>
      <w:r>
        <w:rPr>
          <w:rFonts w:ascii="Arial" w:hAnsi="Arial" w:cs="Arial"/>
          <w:color w:val="505050"/>
        </w:rPr>
        <w:t>“reference period” means,</w:t>
      </w:r>
    </w:p>
    <w:p w14:paraId="37A15B9D" w14:textId="79B97291" w:rsidR="00B1224A" w:rsidRDefault="00B1224A"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(a) the period beginning on July 1, 2017 and ending on October 31, 2017, and</w:t>
      </w:r>
    </w:p>
    <w:p w14:paraId="444461DD" w14:textId="5A6D27E0" w:rsidR="00B1224A" w:rsidRDefault="00B1224A"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(b) during the period beginning on November 1, 2017 and ending on either April 30, 2047 or such later day as may be prescribed,</w:t>
      </w:r>
    </w:p>
    <w:p w14:paraId="0E6B2E3C" w14:textId="6FCBD50E" w:rsidR="00B1224A" w:rsidRDefault="00B1224A" w:rsidP="00227DBE">
      <w:pPr>
        <w:pStyle w:val="subpara"/>
        <w:shd w:val="clear" w:color="auto" w:fill="FFFFFF"/>
        <w:ind w:firstLine="360"/>
        <w:rPr>
          <w:rFonts w:ascii="Arial" w:hAnsi="Arial" w:cs="Arial"/>
          <w:color w:val="505050"/>
        </w:rPr>
      </w:pPr>
      <w:r>
        <w:rPr>
          <w:rFonts w:ascii="Arial" w:hAnsi="Arial" w:cs="Arial"/>
          <w:color w:val="505050"/>
        </w:rPr>
        <w:tab/>
        <w:t>(i) every six-month period following the period mentioned in clause (a), or</w:t>
      </w:r>
    </w:p>
    <w:p w14:paraId="7A6702CF" w14:textId="5A09C3B1" w:rsidR="00B1224A" w:rsidRPr="00DE6C7D" w:rsidRDefault="00B1224A" w:rsidP="00DE6C7D">
      <w:pPr>
        <w:pStyle w:val="subpara"/>
        <w:shd w:val="clear" w:color="auto" w:fill="FFFFFF"/>
        <w:ind w:hanging="360"/>
        <w:rPr>
          <w:rFonts w:ascii="Arial" w:hAnsi="Arial" w:cs="Arial"/>
          <w:color w:val="505050"/>
        </w:rPr>
      </w:pPr>
      <w:r>
        <w:rPr>
          <w:rFonts w:ascii="Arial" w:hAnsi="Arial" w:cs="Arial"/>
          <w:color w:val="505050"/>
        </w:rPr>
        <w:t>(ii) any period shorter than six months, as may be prescribed; (“période de référence”)</w:t>
      </w:r>
    </w:p>
  </w:comment>
  <w:comment w:id="6" w:author="Salman Qadir" w:date="2017-12-28T12:29:00Z" w:initials="SQ">
    <w:p w14:paraId="289F9850" w14:textId="26FBBB4E" w:rsidR="00B1224A" w:rsidRDefault="00B1224A">
      <w:pPr>
        <w:pStyle w:val="CommentText"/>
      </w:pPr>
      <w:r>
        <w:rPr>
          <w:rStyle w:val="CommentReference"/>
        </w:rPr>
        <w:annotationRef/>
      </w:r>
      <w:r>
        <w:t>What isn’t clear is how early does MOE need to get the new FAA/RA to OPG before each reference period.</w:t>
      </w:r>
    </w:p>
  </w:comment>
  <w:comment w:id="7" w:author="Shajee Kathirgamanathan" w:date="2018-01-09T13:56:00Z" w:initials="SK">
    <w:p w14:paraId="76A9D3AF" w14:textId="2075960A" w:rsidR="00B1224A" w:rsidRDefault="00B1224A">
      <w:pPr>
        <w:pStyle w:val="CommentText"/>
      </w:pPr>
      <w:r>
        <w:rPr>
          <w:rStyle w:val="CommentReference"/>
        </w:rPr>
        <w:annotationRef/>
      </w:r>
      <w:r>
        <w:t>The more I think about it, it seems the reference period is a period of time for which an FAA and RA amount is needed to be calculated. It’s not that Energy needs to recalculate the entire FAA and RA every reference period.</w:t>
      </w:r>
    </w:p>
  </w:comment>
  <w:comment w:id="8" w:author="Salman Qadir" w:date="2018-01-02T11:00:00Z" w:initials="SQ">
    <w:p w14:paraId="2C95DC0F" w14:textId="566BFEFB" w:rsidR="00B1224A" w:rsidRDefault="00B1224A">
      <w:pPr>
        <w:pStyle w:val="CommentText"/>
      </w:pPr>
      <w:r>
        <w:rPr>
          <w:rStyle w:val="CommentReference"/>
        </w:rPr>
        <w:annotationRef/>
      </w:r>
      <w:r>
        <w:t>I am not 100% sure what this agreement does (compared to the Change of Law Protection Agreement) and this understanding will need to be confirmed by whoever worked (is working) on this agreement.</w:t>
      </w:r>
    </w:p>
  </w:comment>
  <w:comment w:id="9" w:author="Salman Qadir" w:date="2018-01-02T14:05:00Z" w:initials="SQ">
    <w:p w14:paraId="2C467470" w14:textId="77777777" w:rsidR="00B1224A" w:rsidRDefault="00B1224A">
      <w:pPr>
        <w:pStyle w:val="CommentText"/>
      </w:pPr>
      <w:r>
        <w:rPr>
          <w:rStyle w:val="CommentReference"/>
        </w:rPr>
        <w:annotationRef/>
      </w:r>
      <w:r>
        <w:t>This is the language the Financing Plan uses. I assume the understanding is that any of the losses etc are to be paid out from Trust’s assets and not by the Province.</w:t>
      </w:r>
    </w:p>
    <w:p w14:paraId="2C760B45" w14:textId="77777777" w:rsidR="00B1224A" w:rsidRDefault="00B1224A">
      <w:pPr>
        <w:pStyle w:val="CommentText"/>
      </w:pPr>
    </w:p>
    <w:p w14:paraId="4BCE22E7" w14:textId="11EAEF20" w:rsidR="00B1224A" w:rsidRDefault="00B1224A" w:rsidP="00A65E3C">
      <w:pPr>
        <w:pStyle w:val="CommentText"/>
      </w:pPr>
      <w:r>
        <w:t>Question would be where this “payout” is in the waterfall of payments should a default/change of law etc occur. This may possibly mean the Province is still indirectly on the hook for all damages even though the language says “from trust property”.</w:t>
      </w:r>
    </w:p>
  </w:comment>
  <w:comment w:id="10" w:author="Shajee Kathirgamanathan" w:date="2018-01-09T17:11:00Z" w:initials="SK">
    <w:p w14:paraId="0E220A79" w14:textId="74A31FA9" w:rsidR="00B1224A" w:rsidRDefault="00B1224A">
      <w:pPr>
        <w:pStyle w:val="CommentText"/>
      </w:pPr>
      <w:r>
        <w:t xml:space="preserve">TO DO: </w:t>
      </w:r>
      <w:r>
        <w:rPr>
          <w:rStyle w:val="CommentReference"/>
        </w:rPr>
        <w:annotationRef/>
      </w:r>
      <w:r>
        <w:t>Reconcile this with the fee table above.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Ex w15:paraId="67262A9C" w15:paraIdParent="1D007ACA" w15:done="0"/>
  <w15:commentEx w15:paraId="68B5019D" w15:done="0"/>
  <w15:commentEx w15:paraId="7A6702CF" w15:paraIdParent="68B5019D" w15:done="0"/>
  <w15:commentEx w15:paraId="289F9850" w15:paraIdParent="68B5019D" w15:done="0"/>
  <w15:commentEx w15:paraId="76A9D3AF" w15:paraIdParent="68B5019D" w15:done="0"/>
  <w15:commentEx w15:paraId="2C95DC0F" w15:done="0"/>
  <w15:commentEx w15:paraId="4BCE22E7" w15:done="0"/>
  <w15:commentEx w15:paraId="0E220A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B1224A" w:rsidRDefault="00B1224A" w:rsidP="001977B8">
      <w:pPr>
        <w:spacing w:after="0" w:line="240" w:lineRule="auto"/>
      </w:pPr>
      <w:r>
        <w:separator/>
      </w:r>
    </w:p>
  </w:endnote>
  <w:endnote w:type="continuationSeparator" w:id="0">
    <w:p w14:paraId="3EBA41C7" w14:textId="77777777" w:rsidR="00B1224A" w:rsidRDefault="00B1224A"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B1224A" w:rsidRDefault="00B1224A">
        <w:pPr>
          <w:jc w:val="right"/>
        </w:pPr>
        <w:r>
          <w:fldChar w:fldCharType="begin"/>
        </w:r>
        <w:r>
          <w:instrText xml:space="preserve"> PAGE   \* MERGEFORMAT </w:instrText>
        </w:r>
        <w:r>
          <w:fldChar w:fldCharType="separate"/>
        </w:r>
        <w:r w:rsidR="00FE1C4A">
          <w:rPr>
            <w:noProof/>
          </w:rPr>
          <w:t>2</w:t>
        </w:r>
        <w:r>
          <w:rPr>
            <w:noProof/>
          </w:rPr>
          <w:fldChar w:fldCharType="end"/>
        </w:r>
      </w:p>
    </w:sdtContent>
  </w:sdt>
  <w:p w14:paraId="2A87F53B" w14:textId="77777777" w:rsidR="00B1224A" w:rsidRDefault="00B1224A">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B1224A" w:rsidRDefault="00B1224A" w:rsidP="001977B8">
      <w:pPr>
        <w:spacing w:after="0" w:line="240" w:lineRule="auto"/>
      </w:pPr>
      <w:r>
        <w:separator/>
      </w:r>
    </w:p>
  </w:footnote>
  <w:footnote w:type="continuationSeparator" w:id="0">
    <w:p w14:paraId="32AAE176" w14:textId="77777777" w:rsidR="00B1224A" w:rsidRDefault="00B1224A" w:rsidP="001977B8">
      <w:pPr>
        <w:spacing w:after="0" w:line="240" w:lineRule="auto"/>
      </w:pPr>
      <w:r>
        <w:continuationSeparator/>
      </w:r>
    </w:p>
  </w:footnote>
  <w:footnote w:id="1">
    <w:p w14:paraId="086CD568" w14:textId="07656B72" w:rsidR="00B1224A" w:rsidRPr="00ED6E6E" w:rsidRDefault="00B1224A">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B1224A" w:rsidRPr="00ED6E6E" w:rsidRDefault="00B1224A">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760C1974" w:rsidR="00B1224A" w:rsidRPr="00EE7F3F" w:rsidRDefault="00B1224A">
      <w:pPr>
        <w:pStyle w:val="FootnoteText"/>
        <w:rPr>
          <w:lang w:val="en-CA"/>
        </w:rPr>
      </w:pPr>
      <w:r>
        <w:rPr>
          <w:rStyle w:val="FootnoteReference"/>
        </w:rPr>
        <w:footnoteRef/>
      </w:r>
      <w:r>
        <w:t xml:space="preserve"> O.Reg 206/17: General, Section 10.3, Board review of general fee for 2017 </w:t>
      </w:r>
      <w:hyperlink r:id="rId3" w:anchor="BK17" w:history="1">
        <w:r w:rsidRPr="003808F2">
          <w:rPr>
            <w:rStyle w:val="Hyperlink"/>
          </w:rPr>
          <w:t>https://www.ontario.ca/laws/regulation/170206%20-%20BK16%20-%20BK17%20-%20BK27#BK17</w:t>
        </w:r>
      </w:hyperlink>
    </w:p>
  </w:footnote>
  <w:footnote w:id="4">
    <w:p w14:paraId="312A1923" w14:textId="24288107" w:rsidR="00B1224A" w:rsidRPr="00EE7F3F" w:rsidRDefault="00B1224A">
      <w:pPr>
        <w:pStyle w:val="FootnoteText"/>
        <w:rPr>
          <w:lang w:val="en-CA"/>
        </w:rPr>
      </w:pPr>
      <w:r>
        <w:rPr>
          <w:rStyle w:val="FootnoteReference"/>
        </w:rPr>
        <w:footnoteRef/>
      </w:r>
      <w:r>
        <w:t xml:space="preserve"> O.Reg 206/17: General, Section 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B1224A" w:rsidRPr="00935D39" w:rsidRDefault="00B1224A"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0B3C5B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EF4094"/>
    <w:multiLevelType w:val="hybridMultilevel"/>
    <w:tmpl w:val="4EEAFBB2"/>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644937"/>
    <w:multiLevelType w:val="hybridMultilevel"/>
    <w:tmpl w:val="18BE8C9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4233C"/>
    <w:multiLevelType w:val="hybridMultilevel"/>
    <w:tmpl w:val="47C846E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F80FB7"/>
    <w:multiLevelType w:val="hybridMultilevel"/>
    <w:tmpl w:val="41BADD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4367CA"/>
    <w:multiLevelType w:val="hybridMultilevel"/>
    <w:tmpl w:val="FFE6C1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5154F3E"/>
    <w:multiLevelType w:val="hybridMultilevel"/>
    <w:tmpl w:val="2DDE23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5BA92444"/>
    <w:multiLevelType w:val="hybridMultilevel"/>
    <w:tmpl w:val="09B6E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D195E86"/>
    <w:multiLevelType w:val="hybridMultilevel"/>
    <w:tmpl w:val="FE128C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lvlText w:val=""/>
      <w:lvlJc w:val="left"/>
      <w:pPr>
        <w:ind w:left="2160" w:hanging="360"/>
      </w:pPr>
      <w:rPr>
        <w:rFonts w:ascii="Wingdings" w:hAnsi="Wingdings" w:hint="default"/>
      </w:rPr>
    </w:lvl>
    <w:lvl w:ilvl="3" w:tplc="EF9A70EC">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3206186"/>
    <w:multiLevelType w:val="hybridMultilevel"/>
    <w:tmpl w:val="242AC6C0"/>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B6F2148"/>
    <w:multiLevelType w:val="hybridMultilevel"/>
    <w:tmpl w:val="1E1EB51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3"/>
  </w:num>
  <w:num w:numId="4">
    <w:abstractNumId w:val="15"/>
  </w:num>
  <w:num w:numId="5">
    <w:abstractNumId w:val="3"/>
  </w:num>
  <w:num w:numId="6">
    <w:abstractNumId w:val="8"/>
  </w:num>
  <w:num w:numId="7">
    <w:abstractNumId w:val="4"/>
  </w:num>
  <w:num w:numId="8">
    <w:abstractNumId w:val="14"/>
  </w:num>
  <w:num w:numId="9">
    <w:abstractNumId w:val="5"/>
  </w:num>
  <w:num w:numId="10">
    <w:abstractNumId w:val="1"/>
  </w:num>
  <w:num w:numId="11">
    <w:abstractNumId w:val="9"/>
  </w:num>
  <w:num w:numId="12">
    <w:abstractNumId w:val="0"/>
  </w:num>
  <w:num w:numId="13">
    <w:abstractNumId w:val="19"/>
  </w:num>
  <w:num w:numId="14">
    <w:abstractNumId w:val="20"/>
  </w:num>
  <w:num w:numId="15">
    <w:abstractNumId w:val="11"/>
  </w:num>
  <w:num w:numId="16">
    <w:abstractNumId w:val="20"/>
  </w:num>
  <w:num w:numId="17">
    <w:abstractNumId w:val="20"/>
  </w:num>
  <w:num w:numId="18">
    <w:abstractNumId w:val="20"/>
  </w:num>
  <w:num w:numId="19">
    <w:abstractNumId w:val="22"/>
  </w:num>
  <w:num w:numId="20">
    <w:abstractNumId w:val="2"/>
  </w:num>
  <w:num w:numId="21">
    <w:abstractNumId w:val="20"/>
  </w:num>
  <w:num w:numId="22">
    <w:abstractNumId w:val="20"/>
  </w:num>
  <w:num w:numId="23">
    <w:abstractNumId w:val="20"/>
  </w:num>
  <w:num w:numId="24">
    <w:abstractNumId w:val="10"/>
  </w:num>
  <w:num w:numId="25">
    <w:abstractNumId w:val="18"/>
  </w:num>
  <w:num w:numId="26">
    <w:abstractNumId w:val="17"/>
  </w:num>
  <w:num w:numId="27">
    <w:abstractNumId w:val="12"/>
  </w:num>
  <w:num w:numId="28">
    <w:abstractNumId w:val="21"/>
  </w:num>
  <w:num w:numId="29">
    <w:abstractNumId w:val="16"/>
  </w:num>
  <w:num w:numId="30">
    <w:abstractNumId w:val="6"/>
  </w:num>
  <w:num w:numId="31">
    <w:abstractNumId w:val="20"/>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jee Kathirgamanathan">
    <w15:presenceInfo w15:providerId="AD" w15:userId="S-1-5-21-1614895754-606747145-682003330-19799"/>
  </w15:person>
  <w15:person w15:author="ShajeeK9">
    <w15:presenceInfo w15:providerId="None" w15:userId="ShajeeK9"/>
  </w15:person>
  <w15:person w15:author="Salman Qadir">
    <w15:presenceInfo w15:providerId="AD" w15:userId="S-1-5-21-1614895754-606747145-682003330-19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5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842"/>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3E1F"/>
    <w:rsid w:val="000540D1"/>
    <w:rsid w:val="00061D37"/>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742"/>
    <w:rsid w:val="000D598B"/>
    <w:rsid w:val="000D5BE1"/>
    <w:rsid w:val="000D6066"/>
    <w:rsid w:val="000D6CFB"/>
    <w:rsid w:val="000E0180"/>
    <w:rsid w:val="000E578F"/>
    <w:rsid w:val="000E5A7A"/>
    <w:rsid w:val="000E5B95"/>
    <w:rsid w:val="000F13C1"/>
    <w:rsid w:val="000F145D"/>
    <w:rsid w:val="000F157A"/>
    <w:rsid w:val="000F2FF3"/>
    <w:rsid w:val="000F3543"/>
    <w:rsid w:val="000F4A46"/>
    <w:rsid w:val="000F54D4"/>
    <w:rsid w:val="000F6276"/>
    <w:rsid w:val="000F684C"/>
    <w:rsid w:val="000F6E2F"/>
    <w:rsid w:val="000F7BC6"/>
    <w:rsid w:val="00101570"/>
    <w:rsid w:val="0010361C"/>
    <w:rsid w:val="00106E87"/>
    <w:rsid w:val="001074AE"/>
    <w:rsid w:val="00111F5D"/>
    <w:rsid w:val="0011202B"/>
    <w:rsid w:val="0011325B"/>
    <w:rsid w:val="00115CB2"/>
    <w:rsid w:val="001160D0"/>
    <w:rsid w:val="001222EA"/>
    <w:rsid w:val="00124780"/>
    <w:rsid w:val="0013014F"/>
    <w:rsid w:val="001346C3"/>
    <w:rsid w:val="00134A8B"/>
    <w:rsid w:val="001356DD"/>
    <w:rsid w:val="001356E3"/>
    <w:rsid w:val="00136D65"/>
    <w:rsid w:val="00140D0E"/>
    <w:rsid w:val="001427CF"/>
    <w:rsid w:val="0014307A"/>
    <w:rsid w:val="0014453C"/>
    <w:rsid w:val="00146FD5"/>
    <w:rsid w:val="00150F0C"/>
    <w:rsid w:val="00152F2D"/>
    <w:rsid w:val="001530E6"/>
    <w:rsid w:val="00153403"/>
    <w:rsid w:val="00154A11"/>
    <w:rsid w:val="00155C2E"/>
    <w:rsid w:val="0016298D"/>
    <w:rsid w:val="00162AC1"/>
    <w:rsid w:val="00163E0C"/>
    <w:rsid w:val="00164113"/>
    <w:rsid w:val="00167100"/>
    <w:rsid w:val="00170BB5"/>
    <w:rsid w:val="00171633"/>
    <w:rsid w:val="00172605"/>
    <w:rsid w:val="0017384F"/>
    <w:rsid w:val="00182DB4"/>
    <w:rsid w:val="00183D01"/>
    <w:rsid w:val="00184B57"/>
    <w:rsid w:val="00184C6B"/>
    <w:rsid w:val="001850F2"/>
    <w:rsid w:val="001864AE"/>
    <w:rsid w:val="00187B82"/>
    <w:rsid w:val="00187F94"/>
    <w:rsid w:val="0019175A"/>
    <w:rsid w:val="001929EB"/>
    <w:rsid w:val="00192C4B"/>
    <w:rsid w:val="00194BFD"/>
    <w:rsid w:val="001974AA"/>
    <w:rsid w:val="00197503"/>
    <w:rsid w:val="001977B8"/>
    <w:rsid w:val="001A16DE"/>
    <w:rsid w:val="001A2A97"/>
    <w:rsid w:val="001A36C8"/>
    <w:rsid w:val="001A38BA"/>
    <w:rsid w:val="001A67F2"/>
    <w:rsid w:val="001A6FCB"/>
    <w:rsid w:val="001A7A66"/>
    <w:rsid w:val="001B23C0"/>
    <w:rsid w:val="001B23C9"/>
    <w:rsid w:val="001B2639"/>
    <w:rsid w:val="001B3189"/>
    <w:rsid w:val="001B42BB"/>
    <w:rsid w:val="001B7CA5"/>
    <w:rsid w:val="001C0A27"/>
    <w:rsid w:val="001C0E39"/>
    <w:rsid w:val="001C256F"/>
    <w:rsid w:val="001C3C27"/>
    <w:rsid w:val="001D0B60"/>
    <w:rsid w:val="001E2DF6"/>
    <w:rsid w:val="001E375F"/>
    <w:rsid w:val="001E46BB"/>
    <w:rsid w:val="001F205D"/>
    <w:rsid w:val="001F2968"/>
    <w:rsid w:val="001F3AD5"/>
    <w:rsid w:val="001F4038"/>
    <w:rsid w:val="001F4D12"/>
    <w:rsid w:val="001F52C8"/>
    <w:rsid w:val="001F5EBA"/>
    <w:rsid w:val="001F7F77"/>
    <w:rsid w:val="00200068"/>
    <w:rsid w:val="002049DA"/>
    <w:rsid w:val="00211A52"/>
    <w:rsid w:val="00213815"/>
    <w:rsid w:val="00213BE5"/>
    <w:rsid w:val="00214808"/>
    <w:rsid w:val="002148B1"/>
    <w:rsid w:val="00221733"/>
    <w:rsid w:val="00225903"/>
    <w:rsid w:val="00225FE0"/>
    <w:rsid w:val="00227DBE"/>
    <w:rsid w:val="002313AD"/>
    <w:rsid w:val="002371FE"/>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1B58"/>
    <w:rsid w:val="002623D9"/>
    <w:rsid w:val="002636CA"/>
    <w:rsid w:val="00264790"/>
    <w:rsid w:val="00265012"/>
    <w:rsid w:val="00267BB7"/>
    <w:rsid w:val="00270482"/>
    <w:rsid w:val="00270D74"/>
    <w:rsid w:val="00271611"/>
    <w:rsid w:val="002731B2"/>
    <w:rsid w:val="002754CA"/>
    <w:rsid w:val="00276317"/>
    <w:rsid w:val="00280D92"/>
    <w:rsid w:val="002821E9"/>
    <w:rsid w:val="00282EA5"/>
    <w:rsid w:val="0028316C"/>
    <w:rsid w:val="00284C95"/>
    <w:rsid w:val="002851EA"/>
    <w:rsid w:val="0028549F"/>
    <w:rsid w:val="00286946"/>
    <w:rsid w:val="00287259"/>
    <w:rsid w:val="0029205B"/>
    <w:rsid w:val="00294DC8"/>
    <w:rsid w:val="002950AB"/>
    <w:rsid w:val="002973A6"/>
    <w:rsid w:val="002A0406"/>
    <w:rsid w:val="002A3E5F"/>
    <w:rsid w:val="002A4AF7"/>
    <w:rsid w:val="002A6203"/>
    <w:rsid w:val="002A6BB0"/>
    <w:rsid w:val="002B078E"/>
    <w:rsid w:val="002B174C"/>
    <w:rsid w:val="002B1F63"/>
    <w:rsid w:val="002B1FB3"/>
    <w:rsid w:val="002B7CFB"/>
    <w:rsid w:val="002B7D11"/>
    <w:rsid w:val="002C035C"/>
    <w:rsid w:val="002C1DC6"/>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3F23"/>
    <w:rsid w:val="002F40B5"/>
    <w:rsid w:val="002F5349"/>
    <w:rsid w:val="00300489"/>
    <w:rsid w:val="00304464"/>
    <w:rsid w:val="00306160"/>
    <w:rsid w:val="0030768B"/>
    <w:rsid w:val="003077EC"/>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4251"/>
    <w:rsid w:val="0034584A"/>
    <w:rsid w:val="00351B3E"/>
    <w:rsid w:val="00352E83"/>
    <w:rsid w:val="00353843"/>
    <w:rsid w:val="00353C82"/>
    <w:rsid w:val="00360497"/>
    <w:rsid w:val="0036121E"/>
    <w:rsid w:val="00361D24"/>
    <w:rsid w:val="00364644"/>
    <w:rsid w:val="00365A27"/>
    <w:rsid w:val="00367677"/>
    <w:rsid w:val="003679AF"/>
    <w:rsid w:val="0037115B"/>
    <w:rsid w:val="00371E03"/>
    <w:rsid w:val="003726CD"/>
    <w:rsid w:val="00374C1B"/>
    <w:rsid w:val="00374C7E"/>
    <w:rsid w:val="00374FEA"/>
    <w:rsid w:val="003775CF"/>
    <w:rsid w:val="00377BBD"/>
    <w:rsid w:val="003808F2"/>
    <w:rsid w:val="00384DC6"/>
    <w:rsid w:val="00386D4F"/>
    <w:rsid w:val="00387C13"/>
    <w:rsid w:val="00387F27"/>
    <w:rsid w:val="0039043C"/>
    <w:rsid w:val="003905AA"/>
    <w:rsid w:val="00393BB1"/>
    <w:rsid w:val="00394F0C"/>
    <w:rsid w:val="00395BED"/>
    <w:rsid w:val="003971F0"/>
    <w:rsid w:val="0039785C"/>
    <w:rsid w:val="00397FC7"/>
    <w:rsid w:val="003A0D5E"/>
    <w:rsid w:val="003A414B"/>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3F4C8E"/>
    <w:rsid w:val="00400B36"/>
    <w:rsid w:val="004103D7"/>
    <w:rsid w:val="004109FD"/>
    <w:rsid w:val="00410B55"/>
    <w:rsid w:val="00417443"/>
    <w:rsid w:val="00420E92"/>
    <w:rsid w:val="00422B92"/>
    <w:rsid w:val="0042418A"/>
    <w:rsid w:val="004255E0"/>
    <w:rsid w:val="004268BB"/>
    <w:rsid w:val="00427339"/>
    <w:rsid w:val="00427762"/>
    <w:rsid w:val="004278B4"/>
    <w:rsid w:val="00433E2E"/>
    <w:rsid w:val="004374A5"/>
    <w:rsid w:val="0044107E"/>
    <w:rsid w:val="004416A1"/>
    <w:rsid w:val="00442C86"/>
    <w:rsid w:val="00443305"/>
    <w:rsid w:val="00443B42"/>
    <w:rsid w:val="00443F30"/>
    <w:rsid w:val="0044533A"/>
    <w:rsid w:val="00446164"/>
    <w:rsid w:val="00446A84"/>
    <w:rsid w:val="00446BF1"/>
    <w:rsid w:val="00447876"/>
    <w:rsid w:val="00447FB5"/>
    <w:rsid w:val="004502CA"/>
    <w:rsid w:val="00451734"/>
    <w:rsid w:val="00452B12"/>
    <w:rsid w:val="00454568"/>
    <w:rsid w:val="00462EDC"/>
    <w:rsid w:val="0046307C"/>
    <w:rsid w:val="00466075"/>
    <w:rsid w:val="004674CC"/>
    <w:rsid w:val="00467696"/>
    <w:rsid w:val="00470660"/>
    <w:rsid w:val="00476217"/>
    <w:rsid w:val="00481B0C"/>
    <w:rsid w:val="00484D31"/>
    <w:rsid w:val="0048533B"/>
    <w:rsid w:val="00485A05"/>
    <w:rsid w:val="00485FB2"/>
    <w:rsid w:val="0048754A"/>
    <w:rsid w:val="00493A91"/>
    <w:rsid w:val="00495D9C"/>
    <w:rsid w:val="00496AE6"/>
    <w:rsid w:val="004A019C"/>
    <w:rsid w:val="004A051C"/>
    <w:rsid w:val="004A499D"/>
    <w:rsid w:val="004A5D80"/>
    <w:rsid w:val="004B007B"/>
    <w:rsid w:val="004B185E"/>
    <w:rsid w:val="004B482E"/>
    <w:rsid w:val="004B4F6E"/>
    <w:rsid w:val="004B7CBD"/>
    <w:rsid w:val="004C11CF"/>
    <w:rsid w:val="004C3C9C"/>
    <w:rsid w:val="004C57E9"/>
    <w:rsid w:val="004C5DDD"/>
    <w:rsid w:val="004D1AE0"/>
    <w:rsid w:val="004D38F7"/>
    <w:rsid w:val="004D458D"/>
    <w:rsid w:val="004D4CF5"/>
    <w:rsid w:val="004D4F2E"/>
    <w:rsid w:val="004D522F"/>
    <w:rsid w:val="004D5B83"/>
    <w:rsid w:val="004D6BB6"/>
    <w:rsid w:val="004D72CA"/>
    <w:rsid w:val="004E0966"/>
    <w:rsid w:val="004E0CBE"/>
    <w:rsid w:val="004E1E67"/>
    <w:rsid w:val="004E21BA"/>
    <w:rsid w:val="004E281B"/>
    <w:rsid w:val="004E4EE4"/>
    <w:rsid w:val="004F2155"/>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1903"/>
    <w:rsid w:val="005248C1"/>
    <w:rsid w:val="0052647D"/>
    <w:rsid w:val="0053046D"/>
    <w:rsid w:val="005331C8"/>
    <w:rsid w:val="0053361D"/>
    <w:rsid w:val="00535112"/>
    <w:rsid w:val="00535A90"/>
    <w:rsid w:val="0053663D"/>
    <w:rsid w:val="00536B55"/>
    <w:rsid w:val="00537669"/>
    <w:rsid w:val="00542F42"/>
    <w:rsid w:val="0054339E"/>
    <w:rsid w:val="00545982"/>
    <w:rsid w:val="00547910"/>
    <w:rsid w:val="00551E17"/>
    <w:rsid w:val="00552FD5"/>
    <w:rsid w:val="00553A18"/>
    <w:rsid w:val="005577FC"/>
    <w:rsid w:val="00560025"/>
    <w:rsid w:val="0056123F"/>
    <w:rsid w:val="00562C49"/>
    <w:rsid w:val="00562D6E"/>
    <w:rsid w:val="005630DA"/>
    <w:rsid w:val="0056373B"/>
    <w:rsid w:val="00563C90"/>
    <w:rsid w:val="00563DA6"/>
    <w:rsid w:val="0057099F"/>
    <w:rsid w:val="00570D5E"/>
    <w:rsid w:val="00572CE5"/>
    <w:rsid w:val="00573012"/>
    <w:rsid w:val="005744AA"/>
    <w:rsid w:val="0057631D"/>
    <w:rsid w:val="00576E74"/>
    <w:rsid w:val="005811FA"/>
    <w:rsid w:val="005821C0"/>
    <w:rsid w:val="00583B54"/>
    <w:rsid w:val="00583B84"/>
    <w:rsid w:val="00584B2E"/>
    <w:rsid w:val="005866C9"/>
    <w:rsid w:val="00593D8C"/>
    <w:rsid w:val="00595236"/>
    <w:rsid w:val="005A1243"/>
    <w:rsid w:val="005A33A5"/>
    <w:rsid w:val="005B0348"/>
    <w:rsid w:val="005B463B"/>
    <w:rsid w:val="005B4B7F"/>
    <w:rsid w:val="005B57C8"/>
    <w:rsid w:val="005B7B11"/>
    <w:rsid w:val="005C099E"/>
    <w:rsid w:val="005C3C63"/>
    <w:rsid w:val="005C5658"/>
    <w:rsid w:val="005C70D6"/>
    <w:rsid w:val="005C794D"/>
    <w:rsid w:val="005D14FC"/>
    <w:rsid w:val="005D18AF"/>
    <w:rsid w:val="005D33A1"/>
    <w:rsid w:val="005D6F80"/>
    <w:rsid w:val="005D7763"/>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217"/>
    <w:rsid w:val="00631381"/>
    <w:rsid w:val="00634BF5"/>
    <w:rsid w:val="00640A46"/>
    <w:rsid w:val="00640ADC"/>
    <w:rsid w:val="00641741"/>
    <w:rsid w:val="00643457"/>
    <w:rsid w:val="0064479A"/>
    <w:rsid w:val="00645E5A"/>
    <w:rsid w:val="0065036C"/>
    <w:rsid w:val="00652B70"/>
    <w:rsid w:val="00652D5A"/>
    <w:rsid w:val="006602AD"/>
    <w:rsid w:val="0066046D"/>
    <w:rsid w:val="00660EF9"/>
    <w:rsid w:val="00661BF1"/>
    <w:rsid w:val="00662470"/>
    <w:rsid w:val="006635CB"/>
    <w:rsid w:val="006638DA"/>
    <w:rsid w:val="00664D7A"/>
    <w:rsid w:val="0066531E"/>
    <w:rsid w:val="00666226"/>
    <w:rsid w:val="00667663"/>
    <w:rsid w:val="00667833"/>
    <w:rsid w:val="00670545"/>
    <w:rsid w:val="00672BA0"/>
    <w:rsid w:val="00675B1E"/>
    <w:rsid w:val="00677B68"/>
    <w:rsid w:val="00684C95"/>
    <w:rsid w:val="00685A5F"/>
    <w:rsid w:val="0068678D"/>
    <w:rsid w:val="00693F84"/>
    <w:rsid w:val="00695855"/>
    <w:rsid w:val="0069660B"/>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4DFD"/>
    <w:rsid w:val="006D68BC"/>
    <w:rsid w:val="006D74C0"/>
    <w:rsid w:val="006E103A"/>
    <w:rsid w:val="006E190C"/>
    <w:rsid w:val="006E2702"/>
    <w:rsid w:val="006E6AFC"/>
    <w:rsid w:val="006E76E8"/>
    <w:rsid w:val="006F37B9"/>
    <w:rsid w:val="006F57C1"/>
    <w:rsid w:val="006F6494"/>
    <w:rsid w:val="006F7B47"/>
    <w:rsid w:val="006F7DFB"/>
    <w:rsid w:val="007012D5"/>
    <w:rsid w:val="00707F58"/>
    <w:rsid w:val="00707FB4"/>
    <w:rsid w:val="00711BBC"/>
    <w:rsid w:val="00712D2A"/>
    <w:rsid w:val="0071404E"/>
    <w:rsid w:val="00714AB5"/>
    <w:rsid w:val="00714ED6"/>
    <w:rsid w:val="007174D6"/>
    <w:rsid w:val="00721A43"/>
    <w:rsid w:val="00722BF1"/>
    <w:rsid w:val="0072383B"/>
    <w:rsid w:val="00725953"/>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5528"/>
    <w:rsid w:val="007B61A8"/>
    <w:rsid w:val="007C08E2"/>
    <w:rsid w:val="007C1986"/>
    <w:rsid w:val="007C5750"/>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0BAB"/>
    <w:rsid w:val="007F1318"/>
    <w:rsid w:val="007F2F25"/>
    <w:rsid w:val="007F31DF"/>
    <w:rsid w:val="007F525F"/>
    <w:rsid w:val="007F5FFA"/>
    <w:rsid w:val="00801468"/>
    <w:rsid w:val="00802F96"/>
    <w:rsid w:val="0080581C"/>
    <w:rsid w:val="0081161E"/>
    <w:rsid w:val="008131F3"/>
    <w:rsid w:val="00821526"/>
    <w:rsid w:val="00821C1C"/>
    <w:rsid w:val="00830403"/>
    <w:rsid w:val="00830D4C"/>
    <w:rsid w:val="00831152"/>
    <w:rsid w:val="008335E5"/>
    <w:rsid w:val="008360EB"/>
    <w:rsid w:val="00836D93"/>
    <w:rsid w:val="00836F80"/>
    <w:rsid w:val="00843687"/>
    <w:rsid w:val="008437C6"/>
    <w:rsid w:val="00844CF3"/>
    <w:rsid w:val="008501FC"/>
    <w:rsid w:val="0085101F"/>
    <w:rsid w:val="00853D46"/>
    <w:rsid w:val="0085686F"/>
    <w:rsid w:val="00856AD1"/>
    <w:rsid w:val="00856DD1"/>
    <w:rsid w:val="00857BC8"/>
    <w:rsid w:val="00857EB8"/>
    <w:rsid w:val="008648CD"/>
    <w:rsid w:val="00864B70"/>
    <w:rsid w:val="008675DF"/>
    <w:rsid w:val="0087051B"/>
    <w:rsid w:val="008749A9"/>
    <w:rsid w:val="008770FA"/>
    <w:rsid w:val="00877162"/>
    <w:rsid w:val="00877788"/>
    <w:rsid w:val="00877980"/>
    <w:rsid w:val="0088303A"/>
    <w:rsid w:val="008832E9"/>
    <w:rsid w:val="00886DFF"/>
    <w:rsid w:val="00886F47"/>
    <w:rsid w:val="008877EA"/>
    <w:rsid w:val="0089331B"/>
    <w:rsid w:val="008978BE"/>
    <w:rsid w:val="008A085C"/>
    <w:rsid w:val="008A0B1D"/>
    <w:rsid w:val="008A0BE4"/>
    <w:rsid w:val="008A3201"/>
    <w:rsid w:val="008A359C"/>
    <w:rsid w:val="008A4586"/>
    <w:rsid w:val="008A5FB7"/>
    <w:rsid w:val="008A61B8"/>
    <w:rsid w:val="008A65F2"/>
    <w:rsid w:val="008A6CB1"/>
    <w:rsid w:val="008A789A"/>
    <w:rsid w:val="008B0C8C"/>
    <w:rsid w:val="008B10F9"/>
    <w:rsid w:val="008B179A"/>
    <w:rsid w:val="008B2F12"/>
    <w:rsid w:val="008B5A55"/>
    <w:rsid w:val="008B6A28"/>
    <w:rsid w:val="008C25CD"/>
    <w:rsid w:val="008C2FA1"/>
    <w:rsid w:val="008C48F2"/>
    <w:rsid w:val="008C5E1B"/>
    <w:rsid w:val="008C7B49"/>
    <w:rsid w:val="008D2039"/>
    <w:rsid w:val="008D4510"/>
    <w:rsid w:val="008D4E64"/>
    <w:rsid w:val="008D52DD"/>
    <w:rsid w:val="008D6FC8"/>
    <w:rsid w:val="008D761C"/>
    <w:rsid w:val="008E1218"/>
    <w:rsid w:val="008E1F60"/>
    <w:rsid w:val="008E23D8"/>
    <w:rsid w:val="008E2B2A"/>
    <w:rsid w:val="008E4724"/>
    <w:rsid w:val="008E7440"/>
    <w:rsid w:val="008E7D62"/>
    <w:rsid w:val="008F0E9F"/>
    <w:rsid w:val="008F23F6"/>
    <w:rsid w:val="008F4F02"/>
    <w:rsid w:val="00903685"/>
    <w:rsid w:val="00904344"/>
    <w:rsid w:val="00905419"/>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46B2F"/>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212"/>
    <w:rsid w:val="00992391"/>
    <w:rsid w:val="00993DC6"/>
    <w:rsid w:val="0099518A"/>
    <w:rsid w:val="009954E5"/>
    <w:rsid w:val="00995C9B"/>
    <w:rsid w:val="00997DC9"/>
    <w:rsid w:val="009A03C0"/>
    <w:rsid w:val="009A05F2"/>
    <w:rsid w:val="009A1874"/>
    <w:rsid w:val="009A3496"/>
    <w:rsid w:val="009A60A2"/>
    <w:rsid w:val="009B1EAD"/>
    <w:rsid w:val="009B37B9"/>
    <w:rsid w:val="009B5FCB"/>
    <w:rsid w:val="009B64BF"/>
    <w:rsid w:val="009C0523"/>
    <w:rsid w:val="009C0F2C"/>
    <w:rsid w:val="009C2352"/>
    <w:rsid w:val="009C7262"/>
    <w:rsid w:val="009D101D"/>
    <w:rsid w:val="009D2660"/>
    <w:rsid w:val="009D3379"/>
    <w:rsid w:val="009D358C"/>
    <w:rsid w:val="009D3F0F"/>
    <w:rsid w:val="009D56B4"/>
    <w:rsid w:val="009D7232"/>
    <w:rsid w:val="009E4ECB"/>
    <w:rsid w:val="009E76D9"/>
    <w:rsid w:val="009F0102"/>
    <w:rsid w:val="009F153A"/>
    <w:rsid w:val="009F17DD"/>
    <w:rsid w:val="009F2DF5"/>
    <w:rsid w:val="009F3B51"/>
    <w:rsid w:val="009F5701"/>
    <w:rsid w:val="00A0106A"/>
    <w:rsid w:val="00A017FE"/>
    <w:rsid w:val="00A025E3"/>
    <w:rsid w:val="00A032DE"/>
    <w:rsid w:val="00A04B91"/>
    <w:rsid w:val="00A12B28"/>
    <w:rsid w:val="00A15AD0"/>
    <w:rsid w:val="00A175FE"/>
    <w:rsid w:val="00A21279"/>
    <w:rsid w:val="00A22769"/>
    <w:rsid w:val="00A232E1"/>
    <w:rsid w:val="00A25AC6"/>
    <w:rsid w:val="00A31E18"/>
    <w:rsid w:val="00A32080"/>
    <w:rsid w:val="00A368F0"/>
    <w:rsid w:val="00A458BF"/>
    <w:rsid w:val="00A46E91"/>
    <w:rsid w:val="00A53BF3"/>
    <w:rsid w:val="00A53C8D"/>
    <w:rsid w:val="00A61F87"/>
    <w:rsid w:val="00A624DA"/>
    <w:rsid w:val="00A64B9B"/>
    <w:rsid w:val="00A65E3C"/>
    <w:rsid w:val="00A65F7E"/>
    <w:rsid w:val="00A707E1"/>
    <w:rsid w:val="00A72EE6"/>
    <w:rsid w:val="00A774A3"/>
    <w:rsid w:val="00A77DC4"/>
    <w:rsid w:val="00A86802"/>
    <w:rsid w:val="00A901ED"/>
    <w:rsid w:val="00A93271"/>
    <w:rsid w:val="00A95122"/>
    <w:rsid w:val="00A96518"/>
    <w:rsid w:val="00A968E4"/>
    <w:rsid w:val="00A96CDD"/>
    <w:rsid w:val="00A96DF1"/>
    <w:rsid w:val="00AA1480"/>
    <w:rsid w:val="00AA2143"/>
    <w:rsid w:val="00AA3468"/>
    <w:rsid w:val="00AA4366"/>
    <w:rsid w:val="00AA5CD8"/>
    <w:rsid w:val="00AB217B"/>
    <w:rsid w:val="00AB3018"/>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4F6"/>
    <w:rsid w:val="00AD5A92"/>
    <w:rsid w:val="00AD64CB"/>
    <w:rsid w:val="00AD7C5E"/>
    <w:rsid w:val="00AE748C"/>
    <w:rsid w:val="00AE7C2D"/>
    <w:rsid w:val="00AF17B7"/>
    <w:rsid w:val="00AF4529"/>
    <w:rsid w:val="00AF5551"/>
    <w:rsid w:val="00AF7986"/>
    <w:rsid w:val="00AF7D6A"/>
    <w:rsid w:val="00B01A09"/>
    <w:rsid w:val="00B03F8B"/>
    <w:rsid w:val="00B06181"/>
    <w:rsid w:val="00B06EF5"/>
    <w:rsid w:val="00B100F3"/>
    <w:rsid w:val="00B10375"/>
    <w:rsid w:val="00B109CA"/>
    <w:rsid w:val="00B11325"/>
    <w:rsid w:val="00B1224A"/>
    <w:rsid w:val="00B12C71"/>
    <w:rsid w:val="00B145F1"/>
    <w:rsid w:val="00B150FB"/>
    <w:rsid w:val="00B2000A"/>
    <w:rsid w:val="00B21911"/>
    <w:rsid w:val="00B22DE7"/>
    <w:rsid w:val="00B23EC0"/>
    <w:rsid w:val="00B2520D"/>
    <w:rsid w:val="00B25BC0"/>
    <w:rsid w:val="00B26BD2"/>
    <w:rsid w:val="00B26E84"/>
    <w:rsid w:val="00B30CB1"/>
    <w:rsid w:val="00B32CF1"/>
    <w:rsid w:val="00B34CCF"/>
    <w:rsid w:val="00B356B1"/>
    <w:rsid w:val="00B3742B"/>
    <w:rsid w:val="00B40899"/>
    <w:rsid w:val="00B40EC4"/>
    <w:rsid w:val="00B44719"/>
    <w:rsid w:val="00B4501B"/>
    <w:rsid w:val="00B450DB"/>
    <w:rsid w:val="00B45336"/>
    <w:rsid w:val="00B540F9"/>
    <w:rsid w:val="00B5465C"/>
    <w:rsid w:val="00B55A3D"/>
    <w:rsid w:val="00B55CE3"/>
    <w:rsid w:val="00B56845"/>
    <w:rsid w:val="00B56E45"/>
    <w:rsid w:val="00B61355"/>
    <w:rsid w:val="00B61E61"/>
    <w:rsid w:val="00B641E8"/>
    <w:rsid w:val="00B6519E"/>
    <w:rsid w:val="00B667BF"/>
    <w:rsid w:val="00B66B05"/>
    <w:rsid w:val="00B66C1A"/>
    <w:rsid w:val="00B67AD2"/>
    <w:rsid w:val="00B70F6A"/>
    <w:rsid w:val="00B719BF"/>
    <w:rsid w:val="00B7315B"/>
    <w:rsid w:val="00B76A51"/>
    <w:rsid w:val="00B77473"/>
    <w:rsid w:val="00B818DD"/>
    <w:rsid w:val="00B82572"/>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38E"/>
    <w:rsid w:val="00BF27CB"/>
    <w:rsid w:val="00BF4D1D"/>
    <w:rsid w:val="00BF4D70"/>
    <w:rsid w:val="00BF55AC"/>
    <w:rsid w:val="00BF6931"/>
    <w:rsid w:val="00BF7E59"/>
    <w:rsid w:val="00C0197C"/>
    <w:rsid w:val="00C03C9A"/>
    <w:rsid w:val="00C04850"/>
    <w:rsid w:val="00C048BC"/>
    <w:rsid w:val="00C051DE"/>
    <w:rsid w:val="00C05C24"/>
    <w:rsid w:val="00C107B0"/>
    <w:rsid w:val="00C13600"/>
    <w:rsid w:val="00C15FC1"/>
    <w:rsid w:val="00C1751C"/>
    <w:rsid w:val="00C175C1"/>
    <w:rsid w:val="00C2053F"/>
    <w:rsid w:val="00C22366"/>
    <w:rsid w:val="00C23CDD"/>
    <w:rsid w:val="00C23F1E"/>
    <w:rsid w:val="00C24BD4"/>
    <w:rsid w:val="00C2668D"/>
    <w:rsid w:val="00C311C1"/>
    <w:rsid w:val="00C321CB"/>
    <w:rsid w:val="00C36A77"/>
    <w:rsid w:val="00C36E6A"/>
    <w:rsid w:val="00C37FB7"/>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2A2C"/>
    <w:rsid w:val="00C939D0"/>
    <w:rsid w:val="00C96C9A"/>
    <w:rsid w:val="00CA62B0"/>
    <w:rsid w:val="00CA6621"/>
    <w:rsid w:val="00CA6F8B"/>
    <w:rsid w:val="00CB0DAA"/>
    <w:rsid w:val="00CB1873"/>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4292"/>
    <w:rsid w:val="00CE5CD5"/>
    <w:rsid w:val="00CF1D62"/>
    <w:rsid w:val="00CF219C"/>
    <w:rsid w:val="00CF4493"/>
    <w:rsid w:val="00CF5E40"/>
    <w:rsid w:val="00CF799B"/>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2FAB"/>
    <w:rsid w:val="00D35655"/>
    <w:rsid w:val="00D3691B"/>
    <w:rsid w:val="00D36A5D"/>
    <w:rsid w:val="00D40615"/>
    <w:rsid w:val="00D408CC"/>
    <w:rsid w:val="00D42BC5"/>
    <w:rsid w:val="00D42E33"/>
    <w:rsid w:val="00D43743"/>
    <w:rsid w:val="00D44777"/>
    <w:rsid w:val="00D46807"/>
    <w:rsid w:val="00D46F7C"/>
    <w:rsid w:val="00D47E11"/>
    <w:rsid w:val="00D510E8"/>
    <w:rsid w:val="00D51101"/>
    <w:rsid w:val="00D51EFA"/>
    <w:rsid w:val="00D52678"/>
    <w:rsid w:val="00D52C0A"/>
    <w:rsid w:val="00D52FCE"/>
    <w:rsid w:val="00D535C5"/>
    <w:rsid w:val="00D550E4"/>
    <w:rsid w:val="00D56496"/>
    <w:rsid w:val="00D61A02"/>
    <w:rsid w:val="00D62AF1"/>
    <w:rsid w:val="00D63224"/>
    <w:rsid w:val="00D63F21"/>
    <w:rsid w:val="00D72583"/>
    <w:rsid w:val="00D7276F"/>
    <w:rsid w:val="00D73543"/>
    <w:rsid w:val="00D73C75"/>
    <w:rsid w:val="00D75F3C"/>
    <w:rsid w:val="00D7619A"/>
    <w:rsid w:val="00D76D3E"/>
    <w:rsid w:val="00D830EF"/>
    <w:rsid w:val="00D85C88"/>
    <w:rsid w:val="00D867A3"/>
    <w:rsid w:val="00D86ED7"/>
    <w:rsid w:val="00DA1DB5"/>
    <w:rsid w:val="00DA2D9F"/>
    <w:rsid w:val="00DA4870"/>
    <w:rsid w:val="00DA4BFC"/>
    <w:rsid w:val="00DA7FCE"/>
    <w:rsid w:val="00DB33E2"/>
    <w:rsid w:val="00DB3545"/>
    <w:rsid w:val="00DB6EA6"/>
    <w:rsid w:val="00DC240D"/>
    <w:rsid w:val="00DC2DB3"/>
    <w:rsid w:val="00DD0C98"/>
    <w:rsid w:val="00DD1101"/>
    <w:rsid w:val="00DD5132"/>
    <w:rsid w:val="00DD62D0"/>
    <w:rsid w:val="00DD6ADC"/>
    <w:rsid w:val="00DD7776"/>
    <w:rsid w:val="00DE067B"/>
    <w:rsid w:val="00DE21A3"/>
    <w:rsid w:val="00DE6C7D"/>
    <w:rsid w:val="00DF10EE"/>
    <w:rsid w:val="00DF3EB8"/>
    <w:rsid w:val="00DF445E"/>
    <w:rsid w:val="00E0014E"/>
    <w:rsid w:val="00E0027D"/>
    <w:rsid w:val="00E02B0B"/>
    <w:rsid w:val="00E02B2D"/>
    <w:rsid w:val="00E04E38"/>
    <w:rsid w:val="00E05D58"/>
    <w:rsid w:val="00E06541"/>
    <w:rsid w:val="00E074BE"/>
    <w:rsid w:val="00E10DFE"/>
    <w:rsid w:val="00E115DB"/>
    <w:rsid w:val="00E129BB"/>
    <w:rsid w:val="00E1426D"/>
    <w:rsid w:val="00E15049"/>
    <w:rsid w:val="00E23996"/>
    <w:rsid w:val="00E24A12"/>
    <w:rsid w:val="00E26DFE"/>
    <w:rsid w:val="00E30E28"/>
    <w:rsid w:val="00E320C9"/>
    <w:rsid w:val="00E327B2"/>
    <w:rsid w:val="00E36B69"/>
    <w:rsid w:val="00E44E4F"/>
    <w:rsid w:val="00E4567B"/>
    <w:rsid w:val="00E505BB"/>
    <w:rsid w:val="00E50A30"/>
    <w:rsid w:val="00E54DC3"/>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599E"/>
    <w:rsid w:val="00E86568"/>
    <w:rsid w:val="00E921BF"/>
    <w:rsid w:val="00E93320"/>
    <w:rsid w:val="00E9475A"/>
    <w:rsid w:val="00E94C86"/>
    <w:rsid w:val="00E97237"/>
    <w:rsid w:val="00E97731"/>
    <w:rsid w:val="00EA5E18"/>
    <w:rsid w:val="00EA6092"/>
    <w:rsid w:val="00EA67FD"/>
    <w:rsid w:val="00EB0C3B"/>
    <w:rsid w:val="00EB1283"/>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998"/>
    <w:rsid w:val="00F25B6F"/>
    <w:rsid w:val="00F27A63"/>
    <w:rsid w:val="00F33067"/>
    <w:rsid w:val="00F3439C"/>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67BE7"/>
    <w:rsid w:val="00F700D3"/>
    <w:rsid w:val="00F70542"/>
    <w:rsid w:val="00F7216A"/>
    <w:rsid w:val="00F7288A"/>
    <w:rsid w:val="00F73FDC"/>
    <w:rsid w:val="00F76DEB"/>
    <w:rsid w:val="00F7712F"/>
    <w:rsid w:val="00F81A32"/>
    <w:rsid w:val="00F87CD9"/>
    <w:rsid w:val="00F91FC6"/>
    <w:rsid w:val="00F92629"/>
    <w:rsid w:val="00F94592"/>
    <w:rsid w:val="00F968E1"/>
    <w:rsid w:val="00F96AB8"/>
    <w:rsid w:val="00F96F43"/>
    <w:rsid w:val="00FA0E81"/>
    <w:rsid w:val="00FA1262"/>
    <w:rsid w:val="00FA3ED8"/>
    <w:rsid w:val="00FA40B2"/>
    <w:rsid w:val="00FA6FC8"/>
    <w:rsid w:val="00FB07E8"/>
    <w:rsid w:val="00FB3D8F"/>
    <w:rsid w:val="00FB68EC"/>
    <w:rsid w:val="00FC137D"/>
    <w:rsid w:val="00FC1D55"/>
    <w:rsid w:val="00FC4CA4"/>
    <w:rsid w:val="00FC59A2"/>
    <w:rsid w:val="00FD024D"/>
    <w:rsid w:val="00FD0CB4"/>
    <w:rsid w:val="00FD1DBF"/>
    <w:rsid w:val="00FD1F3A"/>
    <w:rsid w:val="00FD3995"/>
    <w:rsid w:val="00FD4025"/>
    <w:rsid w:val="00FE0FD8"/>
    <w:rsid w:val="00FE1C4A"/>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Id w:val="0"/>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inition">
    <w:name w:val="definition"/>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aragraph">
    <w:name w:val="paragraph"/>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subpara">
    <w:name w:val="subpara"/>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GridTable4-Accent1">
    <w:name w:val="Grid Table 4 Accent 1"/>
    <w:basedOn w:val="TableNormal"/>
    <w:uiPriority w:val="49"/>
    <w:rsid w:val="0063121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356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28530636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20-%20BK16%20-%20BK17%20-%20BK27"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310656304"/>
        <c:axId val="310656696"/>
      </c:areaChart>
      <c:catAx>
        <c:axId val="310656304"/>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310656696"/>
        <c:crosses val="autoZero"/>
        <c:auto val="1"/>
        <c:lblAlgn val="ctr"/>
        <c:lblOffset val="100"/>
        <c:noMultiLvlLbl val="0"/>
      </c:catAx>
      <c:valAx>
        <c:axId val="310656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310656304"/>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310657872"/>
        <c:axId val="310658264"/>
      </c:barChart>
      <c:catAx>
        <c:axId val="310657872"/>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310658264"/>
        <c:crosses val="autoZero"/>
        <c:auto val="1"/>
        <c:lblAlgn val="ctr"/>
        <c:lblOffset val="100"/>
        <c:noMultiLvlLbl val="0"/>
      </c:catAx>
      <c:valAx>
        <c:axId val="310658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310657872"/>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C115F-9465-4033-8547-42B91956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16</Pages>
  <Words>4893</Words>
  <Characters>27895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32723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43</cp:revision>
  <cp:lastPrinted>2015-12-11T12:24:00Z</cp:lastPrinted>
  <dcterms:created xsi:type="dcterms:W3CDTF">2018-01-09T16:53:00Z</dcterms:created>
  <dcterms:modified xsi:type="dcterms:W3CDTF">2018-10-23T19:50:00Z</dcterms:modified>
</cp:coreProperties>
</file>