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51715" w:rsidRDefault="00851715" w:rsidP="00394C1B">
      <w:pPr>
        <w:jc w:val="center"/>
        <w:rPr>
          <w:rFonts w:ascii="Helvetica" w:hAnsi="Helvetica"/>
          <w:b/>
          <w:sz w:val="36"/>
          <w:szCs w:val="36"/>
        </w:rPr>
      </w:pPr>
    </w:p>
    <w:p w:rsidR="004C78EB" w:rsidRDefault="004C78EB" w:rsidP="00394C1B">
      <w:pPr>
        <w:jc w:val="center"/>
        <w:rPr>
          <w:rFonts w:ascii="Helvetica" w:hAnsi="Helvetica"/>
          <w:b/>
          <w:sz w:val="36"/>
          <w:szCs w:val="36"/>
        </w:rPr>
      </w:pPr>
    </w:p>
    <w:p w:rsidR="00851715" w:rsidRDefault="00851715" w:rsidP="00394C1B">
      <w:pPr>
        <w:jc w:val="center"/>
        <w:rPr>
          <w:rFonts w:ascii="Helvetica" w:hAnsi="Helvetica"/>
          <w:b/>
          <w:sz w:val="36"/>
          <w:szCs w:val="36"/>
        </w:rPr>
      </w:pPr>
    </w:p>
    <w:p w:rsidR="00736A9D" w:rsidRPr="00466FBD" w:rsidRDefault="00736A9D" w:rsidP="00736A9D">
      <w:pPr>
        <w:jc w:val="center"/>
        <w:rPr>
          <w:rFonts w:ascii="Helvetica" w:hAnsi="Helvetica"/>
          <w:b/>
          <w:sz w:val="36"/>
          <w:szCs w:val="36"/>
        </w:rPr>
      </w:pPr>
      <w:r w:rsidRPr="00466FBD">
        <w:rPr>
          <w:rFonts w:ascii="Helvetica" w:hAnsi="Helvetica"/>
          <w:b/>
          <w:sz w:val="36"/>
          <w:szCs w:val="36"/>
        </w:rPr>
        <w:t xml:space="preserve">MINISTRY OF </w:t>
      </w:r>
      <w:r w:rsidR="00424C6A" w:rsidRPr="00466FBD">
        <w:rPr>
          <w:rFonts w:ascii="Helvetica" w:hAnsi="Helvetica"/>
          <w:b/>
          <w:sz w:val="36"/>
          <w:szCs w:val="36"/>
        </w:rPr>
        <w:t>ENERGY</w:t>
      </w:r>
    </w:p>
    <w:p w:rsidR="00736A9D" w:rsidRPr="00466FBD" w:rsidRDefault="00736A9D" w:rsidP="00736A9D">
      <w:pPr>
        <w:rPr>
          <w:rFonts w:ascii="Helvetica" w:hAnsi="Helvetica"/>
          <w:b/>
          <w:sz w:val="36"/>
          <w:szCs w:val="36"/>
        </w:rPr>
      </w:pPr>
    </w:p>
    <w:p w:rsidR="00736A9D" w:rsidRPr="00466FBD" w:rsidRDefault="00736A9D" w:rsidP="00736A9D">
      <w:pPr>
        <w:jc w:val="center"/>
        <w:rPr>
          <w:rFonts w:ascii="Helvetica" w:hAnsi="Helvetica"/>
          <w:b/>
          <w:sz w:val="36"/>
          <w:szCs w:val="36"/>
        </w:rPr>
      </w:pPr>
      <w:r w:rsidRPr="00466FBD">
        <w:rPr>
          <w:rFonts w:ascii="Helvetica" w:hAnsi="Helvetica"/>
          <w:b/>
          <w:sz w:val="36"/>
          <w:szCs w:val="36"/>
        </w:rPr>
        <w:t>_____________________________________</w:t>
      </w:r>
    </w:p>
    <w:p w:rsidR="00736A9D" w:rsidRPr="00466FBD" w:rsidRDefault="00736A9D" w:rsidP="00736A9D">
      <w:pPr>
        <w:jc w:val="center"/>
        <w:rPr>
          <w:rFonts w:ascii="Helvetica" w:hAnsi="Helvetica"/>
          <w:b/>
          <w:sz w:val="36"/>
          <w:szCs w:val="36"/>
        </w:rPr>
      </w:pPr>
    </w:p>
    <w:p w:rsidR="00736A9D" w:rsidRPr="00466FBD" w:rsidRDefault="00736A9D" w:rsidP="00736A9D">
      <w:pPr>
        <w:jc w:val="center"/>
        <w:rPr>
          <w:rFonts w:ascii="Helvetica" w:hAnsi="Helvetica"/>
          <w:b/>
          <w:sz w:val="36"/>
          <w:szCs w:val="36"/>
        </w:rPr>
      </w:pPr>
      <w:r w:rsidRPr="00466FBD">
        <w:rPr>
          <w:rFonts w:ascii="Helvetica" w:hAnsi="Helvetica"/>
          <w:b/>
          <w:sz w:val="36"/>
          <w:szCs w:val="36"/>
        </w:rPr>
        <w:t xml:space="preserve">TREASURY BOARD / MANAGEMENT </w:t>
      </w:r>
    </w:p>
    <w:p w:rsidR="00736A9D" w:rsidRPr="00466FBD" w:rsidRDefault="00736A9D" w:rsidP="00736A9D">
      <w:pPr>
        <w:jc w:val="center"/>
        <w:rPr>
          <w:rFonts w:ascii="Helvetica" w:hAnsi="Helvetica"/>
          <w:b/>
          <w:sz w:val="36"/>
          <w:szCs w:val="36"/>
        </w:rPr>
      </w:pPr>
      <w:r w:rsidRPr="00466FBD">
        <w:rPr>
          <w:rFonts w:ascii="Helvetica" w:hAnsi="Helvetica"/>
          <w:b/>
          <w:sz w:val="36"/>
          <w:szCs w:val="36"/>
        </w:rPr>
        <w:t>BOARD of CABINET SUBMISSION</w:t>
      </w:r>
    </w:p>
    <w:p w:rsidR="00736A9D" w:rsidRPr="00466FBD" w:rsidRDefault="00736A9D" w:rsidP="00736A9D">
      <w:pPr>
        <w:rPr>
          <w:rFonts w:ascii="Helvetica" w:hAnsi="Helvetica"/>
          <w:sz w:val="36"/>
          <w:szCs w:val="36"/>
        </w:rPr>
      </w:pPr>
    </w:p>
    <w:p w:rsidR="00736A9D" w:rsidRPr="00466FBD" w:rsidRDefault="00736A9D" w:rsidP="00736A9D">
      <w:pPr>
        <w:rPr>
          <w:rFonts w:ascii="Helvetica" w:hAnsi="Helvetica"/>
          <w:sz w:val="36"/>
          <w:szCs w:val="36"/>
        </w:rPr>
      </w:pPr>
    </w:p>
    <w:p w:rsidR="00736A9D" w:rsidRPr="00466FBD" w:rsidRDefault="00736A9D" w:rsidP="00736A9D">
      <w:pPr>
        <w:rPr>
          <w:rFonts w:ascii="Helvetica" w:hAnsi="Helvetica"/>
          <w:sz w:val="36"/>
          <w:szCs w:val="36"/>
        </w:rPr>
      </w:pPr>
    </w:p>
    <w:p w:rsidR="00736A9D" w:rsidRPr="00466FBD" w:rsidRDefault="00736A9D" w:rsidP="00736A9D">
      <w:pPr>
        <w:rPr>
          <w:rFonts w:ascii="Helvetica" w:hAnsi="Helvetica"/>
          <w:sz w:val="36"/>
          <w:szCs w:val="36"/>
        </w:rPr>
      </w:pPr>
    </w:p>
    <w:p w:rsidR="00736A9D" w:rsidRPr="00466FBD" w:rsidRDefault="00736A9D" w:rsidP="00736A9D">
      <w:pPr>
        <w:rPr>
          <w:rFonts w:ascii="Helvetica" w:hAnsi="Helvetica"/>
          <w:sz w:val="36"/>
          <w:szCs w:val="36"/>
        </w:rPr>
      </w:pPr>
    </w:p>
    <w:p w:rsidR="00736A9D" w:rsidRPr="00466FBD" w:rsidRDefault="00736A9D" w:rsidP="00736A9D">
      <w:pPr>
        <w:rPr>
          <w:rFonts w:ascii="Helvetica" w:hAnsi="Helvetica"/>
          <w:sz w:val="36"/>
          <w:szCs w:val="36"/>
        </w:rPr>
      </w:pPr>
    </w:p>
    <w:p w:rsidR="00736A9D" w:rsidRPr="00466FBD" w:rsidRDefault="007151E7" w:rsidP="00736A9D">
      <w:pPr>
        <w:jc w:val="center"/>
        <w:rPr>
          <w:rFonts w:ascii="Helvetica" w:hAnsi="Helvetica"/>
          <w:sz w:val="36"/>
          <w:szCs w:val="36"/>
        </w:rPr>
      </w:pPr>
      <w:r>
        <w:rPr>
          <w:rFonts w:ascii="Helvetica" w:hAnsi="Helvetica" w:cs="Arial"/>
          <w:b/>
          <w:caps/>
          <w:sz w:val="36"/>
          <w:szCs w:val="36"/>
        </w:rPr>
        <w:t>Ontario’s fair hydro plan</w:t>
      </w:r>
      <w:r w:rsidR="001054D7">
        <w:rPr>
          <w:rFonts w:ascii="Helvetica" w:hAnsi="Helvetica" w:cs="Arial"/>
          <w:b/>
          <w:caps/>
          <w:sz w:val="36"/>
          <w:szCs w:val="36"/>
        </w:rPr>
        <w:t xml:space="preserve"> – Report Back</w:t>
      </w:r>
    </w:p>
    <w:p w:rsidR="00736A9D" w:rsidRPr="00466FBD" w:rsidRDefault="00736A9D" w:rsidP="00736A9D">
      <w:pPr>
        <w:jc w:val="center"/>
        <w:rPr>
          <w:rFonts w:ascii="Helvetica" w:hAnsi="Helvetica"/>
          <w:sz w:val="36"/>
          <w:szCs w:val="36"/>
        </w:rPr>
      </w:pPr>
    </w:p>
    <w:p w:rsidR="00736A9D" w:rsidRPr="00466FBD" w:rsidRDefault="00736A9D" w:rsidP="00736A9D">
      <w:pPr>
        <w:jc w:val="center"/>
        <w:rPr>
          <w:rFonts w:ascii="Helvetica" w:hAnsi="Helvetica"/>
          <w:sz w:val="36"/>
          <w:szCs w:val="36"/>
        </w:rPr>
      </w:pPr>
    </w:p>
    <w:p w:rsidR="00736A9D" w:rsidRPr="00466FBD" w:rsidRDefault="00736A9D" w:rsidP="00736A9D">
      <w:pPr>
        <w:jc w:val="center"/>
        <w:rPr>
          <w:rFonts w:ascii="Helvetica" w:hAnsi="Helvetica"/>
          <w:sz w:val="36"/>
          <w:szCs w:val="36"/>
        </w:rPr>
      </w:pPr>
    </w:p>
    <w:p w:rsidR="00736A9D" w:rsidRPr="00466FBD" w:rsidRDefault="00736A9D" w:rsidP="00736A9D">
      <w:pPr>
        <w:jc w:val="center"/>
        <w:rPr>
          <w:rFonts w:ascii="Helvetica" w:hAnsi="Helvetica"/>
          <w:sz w:val="36"/>
          <w:szCs w:val="36"/>
        </w:rPr>
      </w:pPr>
    </w:p>
    <w:p w:rsidR="00736A9D" w:rsidRPr="00016998" w:rsidRDefault="00061E3D" w:rsidP="00736A9D">
      <w:pPr>
        <w:jc w:val="center"/>
        <w:rPr>
          <w:rFonts w:ascii="Helvetica" w:hAnsi="Helvetica"/>
          <w:sz w:val="40"/>
          <w:szCs w:val="40"/>
        </w:rPr>
      </w:pPr>
      <w:r>
        <w:rPr>
          <w:rFonts w:ascii="Helvetica" w:hAnsi="Helvetica"/>
          <w:sz w:val="40"/>
          <w:szCs w:val="40"/>
        </w:rPr>
        <w:t>June</w:t>
      </w:r>
      <w:r w:rsidR="003A0A50">
        <w:rPr>
          <w:rFonts w:ascii="Helvetica" w:hAnsi="Helvetica"/>
          <w:sz w:val="40"/>
          <w:szCs w:val="40"/>
        </w:rPr>
        <w:t xml:space="preserve"> </w:t>
      </w:r>
      <w:r w:rsidR="005518CF">
        <w:rPr>
          <w:rFonts w:ascii="Helvetica" w:hAnsi="Helvetica"/>
          <w:sz w:val="40"/>
          <w:szCs w:val="40"/>
        </w:rPr>
        <w:t>27</w:t>
      </w:r>
      <w:r w:rsidR="00C16215">
        <w:rPr>
          <w:rFonts w:ascii="Helvetica" w:hAnsi="Helvetica"/>
          <w:sz w:val="40"/>
          <w:szCs w:val="40"/>
        </w:rPr>
        <w:t xml:space="preserve">, </w:t>
      </w:r>
      <w:r w:rsidR="00016998" w:rsidRPr="00016998">
        <w:rPr>
          <w:rFonts w:ascii="Helvetica" w:hAnsi="Helvetica"/>
          <w:sz w:val="40"/>
          <w:szCs w:val="40"/>
        </w:rPr>
        <w:t>2017</w:t>
      </w:r>
    </w:p>
    <w:p w:rsidR="00736A9D" w:rsidRPr="00466FBD" w:rsidRDefault="00736A9D" w:rsidP="00736A9D">
      <w:pPr>
        <w:jc w:val="center"/>
        <w:rPr>
          <w:rFonts w:ascii="Helvetica" w:hAnsi="Helvetica"/>
          <w:sz w:val="36"/>
          <w:szCs w:val="36"/>
        </w:rPr>
      </w:pPr>
    </w:p>
    <w:p w:rsidR="00736A9D" w:rsidRPr="00466FBD" w:rsidRDefault="00736A9D" w:rsidP="00736A9D">
      <w:pPr>
        <w:rPr>
          <w:rFonts w:ascii="Helvetica" w:hAnsi="Helvetica"/>
          <w:sz w:val="36"/>
          <w:szCs w:val="36"/>
        </w:rPr>
      </w:pPr>
    </w:p>
    <w:p w:rsidR="00736A9D" w:rsidRPr="00466FBD" w:rsidRDefault="00736A9D" w:rsidP="00736A9D">
      <w:pPr>
        <w:rPr>
          <w:rFonts w:ascii="Helvetica" w:hAnsi="Helvetica"/>
          <w:sz w:val="36"/>
          <w:szCs w:val="36"/>
        </w:rPr>
      </w:pPr>
    </w:p>
    <w:p w:rsidR="00736A9D" w:rsidRPr="00466FBD" w:rsidRDefault="00736A9D" w:rsidP="00736A9D">
      <w:pPr>
        <w:jc w:val="center"/>
        <w:rPr>
          <w:rFonts w:ascii="Helvetica" w:hAnsi="Helvetica"/>
          <w:b/>
          <w:sz w:val="36"/>
          <w:szCs w:val="36"/>
        </w:rPr>
      </w:pPr>
    </w:p>
    <w:p w:rsidR="00736A9D" w:rsidRPr="00466FBD" w:rsidRDefault="00736A9D" w:rsidP="00736A9D">
      <w:pPr>
        <w:jc w:val="center"/>
        <w:rPr>
          <w:rFonts w:ascii="Helvetica" w:hAnsi="Helvetica"/>
          <w:b/>
          <w:sz w:val="36"/>
          <w:szCs w:val="36"/>
        </w:rPr>
      </w:pPr>
      <w:r w:rsidRPr="00466FBD">
        <w:rPr>
          <w:rFonts w:ascii="Helvetica" w:hAnsi="Helvetica"/>
          <w:b/>
          <w:sz w:val="36"/>
          <w:szCs w:val="36"/>
        </w:rPr>
        <w:t>CONFIDENTIAL</w:t>
      </w:r>
    </w:p>
    <w:p w:rsidR="00736A9D" w:rsidRPr="00466FBD" w:rsidRDefault="00736A9D" w:rsidP="00736A9D">
      <w:pPr>
        <w:jc w:val="center"/>
        <w:rPr>
          <w:rFonts w:ascii="Helvetica" w:hAnsi="Helvetica" w:cs="Arial"/>
          <w:b/>
          <w:caps/>
        </w:rPr>
      </w:pPr>
      <w:r w:rsidRPr="00466FBD">
        <w:rPr>
          <w:rFonts w:ascii="Helvetica" w:hAnsi="Helvetica"/>
          <w:b/>
          <w:sz w:val="26"/>
          <w:szCs w:val="36"/>
        </w:rPr>
        <w:t xml:space="preserve">MINISTRY OF </w:t>
      </w:r>
      <w:r w:rsidR="00424C6A" w:rsidRPr="00466FBD">
        <w:rPr>
          <w:rFonts w:ascii="Helvetica" w:hAnsi="Helvetica"/>
          <w:b/>
          <w:sz w:val="26"/>
          <w:szCs w:val="36"/>
        </w:rPr>
        <w:t>ENERGY</w:t>
      </w:r>
    </w:p>
    <w:p w:rsidR="00394C1B" w:rsidRPr="00466FBD" w:rsidRDefault="00394C1B" w:rsidP="00394C1B">
      <w:pPr>
        <w:jc w:val="center"/>
        <w:rPr>
          <w:rFonts w:ascii="Helvetica" w:hAnsi="Helvetica" w:cs="Arial"/>
          <w:b/>
          <w:caps/>
        </w:rPr>
      </w:pPr>
    </w:p>
    <w:p w:rsidR="00CA7DD8" w:rsidRPr="00466FBD" w:rsidRDefault="00CA7DD8" w:rsidP="00394C1B">
      <w:pPr>
        <w:jc w:val="center"/>
        <w:rPr>
          <w:rFonts w:ascii="Helvetica" w:hAnsi="Helvetica" w:cs="Arial"/>
          <w:b/>
          <w:caps/>
        </w:rPr>
      </w:pPr>
    </w:p>
    <w:p w:rsidR="00F16CE3" w:rsidRPr="00466FBD" w:rsidRDefault="00F16CE3" w:rsidP="00394C1B">
      <w:pPr>
        <w:spacing w:before="120"/>
        <w:ind w:hanging="720"/>
        <w:rPr>
          <w:rFonts w:ascii="Helvetica" w:hAnsi="Helvetica" w:cs="Arial"/>
          <w:b/>
          <w:caps/>
        </w:rPr>
      </w:pPr>
    </w:p>
    <w:p w:rsidR="00387D78" w:rsidRDefault="00387D78" w:rsidP="00394C1B">
      <w:pPr>
        <w:spacing w:before="120"/>
        <w:ind w:hanging="720"/>
        <w:rPr>
          <w:rFonts w:ascii="Helvetica" w:hAnsi="Helvetica" w:cs="Arial"/>
          <w:b/>
          <w:caps/>
        </w:rPr>
      </w:pPr>
    </w:p>
    <w:p w:rsidR="0001523C" w:rsidRDefault="0001523C" w:rsidP="00384E1A">
      <w:pPr>
        <w:spacing w:before="120"/>
        <w:rPr>
          <w:rFonts w:ascii="Helvetica" w:hAnsi="Helvetica" w:cs="Arial"/>
          <w:b/>
          <w:caps/>
        </w:rPr>
      </w:pPr>
    </w:p>
    <w:p w:rsidR="00261893" w:rsidRDefault="00261893" w:rsidP="00261893">
      <w:pPr>
        <w:spacing w:before="120"/>
        <w:ind w:hanging="720"/>
        <w:rPr>
          <w:rFonts w:ascii="Helvetica" w:hAnsi="Helvetica" w:cs="Arial"/>
          <w:b/>
          <w:caps/>
        </w:rPr>
      </w:pPr>
    </w:p>
    <w:p w:rsidR="00394C1B" w:rsidRPr="00CE63C3" w:rsidRDefault="00394C1B" w:rsidP="00261893">
      <w:pPr>
        <w:spacing w:before="120"/>
        <w:ind w:hanging="720"/>
        <w:rPr>
          <w:rFonts w:ascii="Helvetica" w:hAnsi="Helvetica" w:cs="Arial"/>
          <w:b/>
          <w:caps/>
        </w:rPr>
      </w:pPr>
      <w:r w:rsidRPr="00466FBD">
        <w:rPr>
          <w:rFonts w:ascii="Helvetica" w:hAnsi="Helvetica" w:cs="Arial"/>
          <w:b/>
          <w:caps/>
        </w:rPr>
        <w:t>1.0</w:t>
      </w:r>
      <w:r w:rsidRPr="00466FBD">
        <w:rPr>
          <w:rFonts w:ascii="Helvetica" w:hAnsi="Helvetica" w:cs="Arial"/>
          <w:b/>
          <w:caps/>
        </w:rPr>
        <w:tab/>
      </w:r>
      <w:r w:rsidRPr="00CE63C3">
        <w:rPr>
          <w:rFonts w:ascii="Helvetica" w:hAnsi="Helvetica" w:cs="Arial"/>
          <w:b/>
          <w:caps/>
        </w:rPr>
        <w:t>Ministry Request</w:t>
      </w:r>
    </w:p>
    <w:p w:rsidR="00394C1B" w:rsidRPr="00CE63C3" w:rsidRDefault="00394C1B" w:rsidP="00394C1B">
      <w:pPr>
        <w:rPr>
          <w:rFonts w:ascii="Arial" w:hAnsi="Arial" w:cs="Arial"/>
        </w:rPr>
      </w:pPr>
    </w:p>
    <w:p w:rsidR="00D9707F" w:rsidRPr="00DE5A29" w:rsidRDefault="00D9707F" w:rsidP="00E53F1E">
      <w:pPr>
        <w:pStyle w:val="ListParagraph"/>
        <w:numPr>
          <w:ilvl w:val="0"/>
          <w:numId w:val="4"/>
        </w:numPr>
        <w:rPr>
          <w:rFonts w:ascii="Arial" w:hAnsi="Arial" w:cs="Arial"/>
        </w:rPr>
      </w:pPr>
      <w:r w:rsidRPr="00DE5A29">
        <w:rPr>
          <w:rFonts w:ascii="Arial" w:hAnsi="Arial" w:cs="Arial"/>
        </w:rPr>
        <w:t xml:space="preserve">The Ministry of Energy is </w:t>
      </w:r>
      <w:r w:rsidR="0066474E" w:rsidRPr="00DE5A29">
        <w:rPr>
          <w:rFonts w:ascii="Arial" w:hAnsi="Arial" w:cs="Arial"/>
        </w:rPr>
        <w:t>reporting back</w:t>
      </w:r>
      <w:r w:rsidR="00261893" w:rsidRPr="00DE5A29">
        <w:rPr>
          <w:rFonts w:ascii="Arial" w:hAnsi="Arial" w:cs="Arial"/>
        </w:rPr>
        <w:t xml:space="preserve"> with updates</w:t>
      </w:r>
      <w:r w:rsidR="0066474E" w:rsidRPr="00DE5A29">
        <w:rPr>
          <w:rFonts w:ascii="Arial" w:hAnsi="Arial" w:cs="Arial"/>
        </w:rPr>
        <w:t xml:space="preserve"> to the </w:t>
      </w:r>
      <w:r w:rsidRPr="00DE5A29">
        <w:rPr>
          <w:rFonts w:ascii="Arial" w:hAnsi="Arial" w:cs="Arial"/>
        </w:rPr>
        <w:t>Treasury Board/Management Board of Cabinet (TB/MBC)</w:t>
      </w:r>
      <w:r w:rsidR="0066474E" w:rsidRPr="00DE5A29">
        <w:rPr>
          <w:rFonts w:ascii="Arial" w:hAnsi="Arial" w:cs="Arial"/>
        </w:rPr>
        <w:t xml:space="preserve"> on </w:t>
      </w:r>
      <w:r w:rsidR="0077209C" w:rsidRPr="00DE5A29">
        <w:rPr>
          <w:rFonts w:ascii="Arial" w:hAnsi="Arial" w:cs="Arial"/>
        </w:rPr>
        <w:t xml:space="preserve">the </w:t>
      </w:r>
      <w:r w:rsidR="0066474E" w:rsidRPr="00DE5A29">
        <w:rPr>
          <w:rFonts w:ascii="Arial" w:hAnsi="Arial" w:cs="Arial"/>
        </w:rPr>
        <w:t>following</w:t>
      </w:r>
      <w:r w:rsidRPr="00DE5A29">
        <w:rPr>
          <w:rFonts w:ascii="Arial" w:hAnsi="Arial" w:cs="Arial"/>
        </w:rPr>
        <w:t xml:space="preserve">: </w:t>
      </w:r>
    </w:p>
    <w:p w:rsidR="00D9707F" w:rsidRPr="00DE5A29" w:rsidRDefault="00D9707F" w:rsidP="00394C1B">
      <w:pPr>
        <w:rPr>
          <w:rFonts w:ascii="Arial" w:hAnsi="Arial" w:cs="Arial"/>
        </w:rPr>
      </w:pPr>
    </w:p>
    <w:p w:rsidR="0066474E" w:rsidRPr="00DE5A29" w:rsidRDefault="00AF0A58" w:rsidP="00E53F1E">
      <w:pPr>
        <w:pStyle w:val="ListParagraph"/>
        <w:numPr>
          <w:ilvl w:val="0"/>
          <w:numId w:val="3"/>
        </w:numPr>
        <w:rPr>
          <w:rFonts w:ascii="Arial" w:hAnsi="Arial" w:cs="Arial"/>
          <w:lang w:val="en-US"/>
        </w:rPr>
      </w:pPr>
      <w:r w:rsidRPr="00DE5A29">
        <w:rPr>
          <w:rFonts w:ascii="Arial" w:hAnsi="Arial" w:cs="Arial"/>
          <w:lang w:val="en-US"/>
        </w:rPr>
        <w:t xml:space="preserve">Implementation of </w:t>
      </w:r>
      <w:r w:rsidR="0066474E" w:rsidRPr="00DE5A29">
        <w:rPr>
          <w:rFonts w:ascii="Arial" w:hAnsi="Arial" w:cs="Arial"/>
          <w:lang w:val="en-US"/>
        </w:rPr>
        <w:t>Global Adjustment (GA) Refinancing;</w:t>
      </w:r>
      <w:r w:rsidR="00C95815" w:rsidRPr="00DE5A29">
        <w:rPr>
          <w:rFonts w:ascii="Arial" w:hAnsi="Arial" w:cs="Arial"/>
          <w:lang w:val="en-US"/>
        </w:rPr>
        <w:t xml:space="preserve"> and</w:t>
      </w:r>
    </w:p>
    <w:p w:rsidR="0066474E" w:rsidRPr="00DE5A29" w:rsidRDefault="0066474E" w:rsidP="0066474E">
      <w:pPr>
        <w:pStyle w:val="ListParagraph"/>
        <w:ind w:left="1080"/>
        <w:rPr>
          <w:rFonts w:ascii="Arial" w:hAnsi="Arial" w:cs="Arial"/>
          <w:lang w:val="en-US"/>
        </w:rPr>
      </w:pPr>
    </w:p>
    <w:p w:rsidR="0066474E" w:rsidRPr="00DE5A29" w:rsidRDefault="00041BC1" w:rsidP="00E53F1E">
      <w:pPr>
        <w:pStyle w:val="ListParagraph"/>
        <w:numPr>
          <w:ilvl w:val="0"/>
          <w:numId w:val="3"/>
        </w:numPr>
        <w:rPr>
          <w:rFonts w:ascii="Arial" w:hAnsi="Arial" w:cs="Arial"/>
          <w:lang w:val="en-US"/>
        </w:rPr>
      </w:pPr>
      <w:r>
        <w:rPr>
          <w:rFonts w:ascii="Arial" w:hAnsi="Arial" w:cs="Arial"/>
          <w:lang w:val="en-US"/>
        </w:rPr>
        <w:t>Increasing social assistance clients’ enrolment into the Ontario Electricity Support Program (OESP)</w:t>
      </w:r>
      <w:r w:rsidR="00D10F6F">
        <w:rPr>
          <w:rFonts w:ascii="Arial" w:hAnsi="Arial" w:cs="Arial"/>
          <w:lang w:val="en-US"/>
        </w:rPr>
        <w:t>.</w:t>
      </w:r>
    </w:p>
    <w:p w:rsidR="00E27EEC" w:rsidRPr="00CE63C3" w:rsidRDefault="00E27EEC" w:rsidP="00187E85">
      <w:pPr>
        <w:rPr>
          <w:rFonts w:ascii="Arial" w:hAnsi="Arial" w:cs="Arial"/>
          <w:lang w:val="en-US"/>
        </w:rPr>
      </w:pPr>
    </w:p>
    <w:p w:rsidR="00E27EEC" w:rsidRPr="00CE63C3" w:rsidRDefault="00E27EEC" w:rsidP="00187E85">
      <w:pPr>
        <w:rPr>
          <w:rFonts w:ascii="Arial" w:hAnsi="Arial" w:cs="Arial"/>
          <w:lang w:val="en-US"/>
        </w:rPr>
      </w:pPr>
    </w:p>
    <w:p w:rsidR="00394C1B" w:rsidRPr="00CE63C3" w:rsidRDefault="00394C1B" w:rsidP="00CA0DEF">
      <w:pPr>
        <w:spacing w:before="120"/>
        <w:ind w:hanging="720"/>
        <w:outlineLvl w:val="0"/>
        <w:rPr>
          <w:rFonts w:ascii="Helvetica" w:hAnsi="Helvetica" w:cs="Arial"/>
          <w:b/>
          <w:caps/>
        </w:rPr>
      </w:pPr>
      <w:r w:rsidRPr="00CE63C3">
        <w:rPr>
          <w:rFonts w:ascii="Helvetica" w:hAnsi="Helvetica" w:cs="Arial"/>
          <w:b/>
          <w:caps/>
        </w:rPr>
        <w:t xml:space="preserve">2.0 </w:t>
      </w:r>
      <w:r w:rsidRPr="00CE63C3">
        <w:rPr>
          <w:rFonts w:ascii="Helvetica" w:hAnsi="Helvetica" w:cs="Arial"/>
          <w:b/>
          <w:caps/>
        </w:rPr>
        <w:tab/>
      </w:r>
      <w:r w:rsidR="00CA7DD8" w:rsidRPr="00CE63C3">
        <w:rPr>
          <w:rFonts w:ascii="Helvetica" w:hAnsi="Helvetica" w:cs="Arial"/>
          <w:b/>
          <w:caps/>
        </w:rPr>
        <w:t>purpose of request</w:t>
      </w:r>
      <w:r w:rsidR="00B760AA">
        <w:rPr>
          <w:rFonts w:ascii="Helvetica" w:hAnsi="Helvetica" w:cs="Arial"/>
          <w:b/>
          <w:caps/>
        </w:rPr>
        <w:t xml:space="preserve"> </w:t>
      </w:r>
    </w:p>
    <w:p w:rsidR="00394C1B" w:rsidRPr="00CE63C3" w:rsidRDefault="00394C1B" w:rsidP="00394C1B">
      <w:pPr>
        <w:rPr>
          <w:rFonts w:ascii="Arial" w:hAnsi="Arial" w:cs="Arial"/>
        </w:rPr>
      </w:pPr>
    </w:p>
    <w:p w:rsidR="00261893" w:rsidRDefault="00A869D0" w:rsidP="004C78EB">
      <w:pPr>
        <w:rPr>
          <w:rFonts w:ascii="Arial" w:hAnsi="Arial" w:cs="Arial"/>
          <w:szCs w:val="28"/>
          <w:lang w:val="en-US"/>
        </w:rPr>
      </w:pPr>
      <w:r w:rsidRPr="00CE63C3">
        <w:rPr>
          <w:rFonts w:ascii="Arial" w:hAnsi="Arial" w:cs="Arial"/>
          <w:szCs w:val="28"/>
          <w:lang w:val="en-US"/>
        </w:rPr>
        <w:t xml:space="preserve">On </w:t>
      </w:r>
      <w:r w:rsidR="00DE426C">
        <w:rPr>
          <w:rFonts w:ascii="Arial" w:hAnsi="Arial" w:cs="Arial"/>
          <w:szCs w:val="28"/>
          <w:lang w:val="en-US"/>
        </w:rPr>
        <w:t>May 31</w:t>
      </w:r>
      <w:r w:rsidRPr="00CE63C3">
        <w:rPr>
          <w:rFonts w:ascii="Arial" w:hAnsi="Arial" w:cs="Arial"/>
          <w:szCs w:val="28"/>
          <w:lang w:val="en-US"/>
        </w:rPr>
        <w:t xml:space="preserve">, 2017, </w:t>
      </w:r>
      <w:r w:rsidR="009A3710">
        <w:rPr>
          <w:rFonts w:ascii="Arial" w:hAnsi="Arial" w:cs="Arial"/>
          <w:szCs w:val="28"/>
          <w:lang w:val="en-US"/>
        </w:rPr>
        <w:t>Bill 132,</w:t>
      </w:r>
      <w:r w:rsidR="007316DE">
        <w:rPr>
          <w:rFonts w:ascii="Arial" w:hAnsi="Arial" w:cs="Arial"/>
          <w:szCs w:val="28"/>
          <w:lang w:val="en-US"/>
        </w:rPr>
        <w:t xml:space="preserve"> the </w:t>
      </w:r>
      <w:r w:rsidR="007316DE" w:rsidRPr="00261893">
        <w:rPr>
          <w:rFonts w:ascii="Arial" w:hAnsi="Arial" w:cs="Arial"/>
          <w:i/>
          <w:szCs w:val="28"/>
          <w:lang w:val="en-US"/>
        </w:rPr>
        <w:t>Fair Hydro Act, 2017</w:t>
      </w:r>
      <w:r w:rsidR="003A0A50">
        <w:rPr>
          <w:rFonts w:ascii="Arial" w:hAnsi="Arial" w:cs="Arial"/>
          <w:szCs w:val="28"/>
          <w:lang w:val="en-US"/>
        </w:rPr>
        <w:t xml:space="preserve"> (</w:t>
      </w:r>
      <w:r w:rsidR="003A0A50" w:rsidRPr="00261893">
        <w:rPr>
          <w:rFonts w:ascii="Arial" w:hAnsi="Arial" w:cs="Arial"/>
          <w:i/>
          <w:szCs w:val="28"/>
          <w:lang w:val="en-US"/>
        </w:rPr>
        <w:t>FHA</w:t>
      </w:r>
      <w:r w:rsidR="003A0A50">
        <w:rPr>
          <w:rFonts w:ascii="Arial" w:hAnsi="Arial" w:cs="Arial"/>
          <w:szCs w:val="28"/>
          <w:lang w:val="en-US"/>
        </w:rPr>
        <w:t>)</w:t>
      </w:r>
      <w:r w:rsidR="007316DE">
        <w:rPr>
          <w:rFonts w:ascii="Arial" w:hAnsi="Arial" w:cs="Arial"/>
          <w:szCs w:val="28"/>
          <w:lang w:val="en-US"/>
        </w:rPr>
        <w:t xml:space="preserve">, </w:t>
      </w:r>
      <w:r w:rsidR="009B2B33">
        <w:rPr>
          <w:rFonts w:ascii="Arial" w:hAnsi="Arial" w:cs="Arial"/>
          <w:szCs w:val="28"/>
          <w:lang w:val="en-US"/>
        </w:rPr>
        <w:t xml:space="preserve">which enables Ontario’s Fair Hydro Plan </w:t>
      </w:r>
      <w:r w:rsidR="009A3710">
        <w:rPr>
          <w:rFonts w:ascii="Arial" w:hAnsi="Arial" w:cs="Arial"/>
          <w:szCs w:val="28"/>
          <w:lang w:val="en-US"/>
        </w:rPr>
        <w:t xml:space="preserve">(OFHP) </w:t>
      </w:r>
      <w:r w:rsidR="009B2B33">
        <w:rPr>
          <w:rFonts w:ascii="Arial" w:hAnsi="Arial" w:cs="Arial"/>
          <w:szCs w:val="28"/>
          <w:lang w:val="en-US"/>
        </w:rPr>
        <w:t xml:space="preserve">under the </w:t>
      </w:r>
      <w:r w:rsidR="009A3710" w:rsidRPr="007316DE">
        <w:rPr>
          <w:rFonts w:ascii="Arial" w:hAnsi="Arial" w:cs="Arial"/>
          <w:i/>
          <w:szCs w:val="28"/>
          <w:lang w:val="en-US"/>
        </w:rPr>
        <w:t xml:space="preserve">Ontario </w:t>
      </w:r>
      <w:r w:rsidR="009B2B33" w:rsidRPr="007316DE">
        <w:rPr>
          <w:rFonts w:ascii="Arial" w:hAnsi="Arial" w:cs="Arial"/>
          <w:i/>
          <w:szCs w:val="28"/>
          <w:lang w:val="en-US"/>
        </w:rPr>
        <w:t xml:space="preserve">Fair Hydro </w:t>
      </w:r>
      <w:r w:rsidR="009A3710" w:rsidRPr="007316DE">
        <w:rPr>
          <w:rFonts w:ascii="Arial" w:hAnsi="Arial" w:cs="Arial"/>
          <w:i/>
          <w:szCs w:val="28"/>
          <w:lang w:val="en-US"/>
        </w:rPr>
        <w:t xml:space="preserve">Plan </w:t>
      </w:r>
      <w:r w:rsidR="009B2B33" w:rsidRPr="007316DE">
        <w:rPr>
          <w:rFonts w:ascii="Arial" w:hAnsi="Arial" w:cs="Arial"/>
          <w:i/>
          <w:szCs w:val="28"/>
          <w:lang w:val="en-US"/>
        </w:rPr>
        <w:t>Act, 2017</w:t>
      </w:r>
      <w:r w:rsidR="009B2B33">
        <w:rPr>
          <w:rFonts w:ascii="Arial" w:hAnsi="Arial" w:cs="Arial"/>
          <w:szCs w:val="28"/>
          <w:lang w:val="en-US"/>
        </w:rPr>
        <w:t>,</w:t>
      </w:r>
      <w:r w:rsidR="00DE426C">
        <w:rPr>
          <w:rFonts w:ascii="Arial" w:hAnsi="Arial" w:cs="Arial"/>
          <w:szCs w:val="28"/>
          <w:lang w:val="en-US"/>
        </w:rPr>
        <w:t xml:space="preserve"> (</w:t>
      </w:r>
      <w:r w:rsidR="009A3710" w:rsidRPr="00261893">
        <w:rPr>
          <w:rFonts w:ascii="Arial" w:hAnsi="Arial" w:cs="Arial"/>
          <w:i/>
          <w:szCs w:val="28"/>
          <w:lang w:val="en-US"/>
        </w:rPr>
        <w:t>O</w:t>
      </w:r>
      <w:r w:rsidR="00DE426C" w:rsidRPr="00261893">
        <w:rPr>
          <w:rFonts w:ascii="Arial" w:hAnsi="Arial" w:cs="Arial"/>
          <w:i/>
          <w:szCs w:val="28"/>
          <w:lang w:val="en-US"/>
        </w:rPr>
        <w:t>FH</w:t>
      </w:r>
      <w:r w:rsidR="009A3710" w:rsidRPr="00261893">
        <w:rPr>
          <w:rFonts w:ascii="Arial" w:hAnsi="Arial" w:cs="Arial"/>
          <w:i/>
          <w:szCs w:val="28"/>
          <w:lang w:val="en-US"/>
        </w:rPr>
        <w:t>P</w:t>
      </w:r>
      <w:r w:rsidR="00DE426C" w:rsidRPr="00261893">
        <w:rPr>
          <w:rFonts w:ascii="Arial" w:hAnsi="Arial" w:cs="Arial"/>
          <w:i/>
          <w:szCs w:val="28"/>
          <w:lang w:val="en-US"/>
        </w:rPr>
        <w:t>A</w:t>
      </w:r>
      <w:r w:rsidR="00DE426C">
        <w:rPr>
          <w:rFonts w:ascii="Arial" w:hAnsi="Arial" w:cs="Arial"/>
          <w:szCs w:val="28"/>
          <w:lang w:val="en-US"/>
        </w:rPr>
        <w:t>)</w:t>
      </w:r>
      <w:r w:rsidR="007316DE">
        <w:rPr>
          <w:rFonts w:ascii="Arial" w:hAnsi="Arial" w:cs="Arial"/>
          <w:szCs w:val="28"/>
          <w:lang w:val="en-US"/>
        </w:rPr>
        <w:t xml:space="preserve"> and the implementation of electricity social program-related amendments to the </w:t>
      </w:r>
      <w:r w:rsidR="007316DE" w:rsidRPr="007316DE">
        <w:rPr>
          <w:rFonts w:ascii="Arial" w:hAnsi="Arial" w:cs="Arial"/>
          <w:i/>
          <w:szCs w:val="28"/>
          <w:lang w:val="en-US"/>
        </w:rPr>
        <w:t>Ontario Energy Board Act, 1998</w:t>
      </w:r>
      <w:r w:rsidR="009B2B33">
        <w:rPr>
          <w:rFonts w:ascii="Arial" w:hAnsi="Arial" w:cs="Arial"/>
          <w:szCs w:val="28"/>
          <w:lang w:val="en-US"/>
        </w:rPr>
        <w:t xml:space="preserve">, </w:t>
      </w:r>
      <w:r w:rsidR="00BE0E80">
        <w:rPr>
          <w:rFonts w:ascii="Arial" w:hAnsi="Arial" w:cs="Arial"/>
          <w:szCs w:val="28"/>
          <w:lang w:val="en-US"/>
        </w:rPr>
        <w:t xml:space="preserve">was passed by the legislature. </w:t>
      </w:r>
      <w:r w:rsidR="00F97E3C">
        <w:rPr>
          <w:rFonts w:ascii="Arial" w:hAnsi="Arial" w:cs="Arial"/>
          <w:szCs w:val="28"/>
          <w:lang w:val="en-US"/>
        </w:rPr>
        <w:t>T</w:t>
      </w:r>
      <w:r w:rsidR="00F97E3C" w:rsidRPr="009D0CFE">
        <w:rPr>
          <w:rFonts w:ascii="Arial" w:hAnsi="Arial" w:cs="Arial"/>
          <w:lang w:val="en-US" w:eastAsia="en-US"/>
        </w:rPr>
        <w:t>he Bill received Royal Assent on June 1, 2017.</w:t>
      </w:r>
    </w:p>
    <w:p w:rsidR="00760E40" w:rsidRPr="00CE63C3" w:rsidRDefault="00760E40" w:rsidP="004C78EB">
      <w:pPr>
        <w:rPr>
          <w:rFonts w:ascii="Arial" w:hAnsi="Arial" w:cs="Arial"/>
          <w:szCs w:val="28"/>
          <w:lang w:val="en-US"/>
        </w:rPr>
      </w:pPr>
    </w:p>
    <w:p w:rsidR="00F50C06" w:rsidRDefault="00F97E3C" w:rsidP="00F50C06">
      <w:pPr>
        <w:ind w:right="14"/>
        <w:rPr>
          <w:rFonts w:ascii="Arial" w:hAnsi="Arial" w:cs="Arial"/>
          <w:lang w:val="en-US"/>
        </w:rPr>
      </w:pPr>
      <w:r>
        <w:rPr>
          <w:rFonts w:ascii="Arial" w:hAnsi="Arial" w:cs="Arial"/>
        </w:rPr>
        <w:t>The</w:t>
      </w:r>
      <w:r w:rsidR="00F50C06">
        <w:rPr>
          <w:rFonts w:ascii="Arial" w:hAnsi="Arial" w:cs="Arial"/>
          <w:i/>
        </w:rPr>
        <w:t xml:space="preserve"> </w:t>
      </w:r>
      <w:r w:rsidR="00F50C06" w:rsidRPr="00261893">
        <w:rPr>
          <w:rFonts w:ascii="Arial" w:hAnsi="Arial" w:cs="Arial"/>
          <w:lang w:val="en-US"/>
        </w:rPr>
        <w:t xml:space="preserve">FHA is comprised of two Schedules:  </w:t>
      </w:r>
    </w:p>
    <w:p w:rsidR="00F50C06" w:rsidRDefault="00F50C06" w:rsidP="00F50C06">
      <w:pPr>
        <w:ind w:right="14"/>
        <w:rPr>
          <w:rFonts w:ascii="Arial" w:hAnsi="Arial" w:cs="Arial"/>
          <w:lang w:val="en-US"/>
        </w:rPr>
      </w:pPr>
    </w:p>
    <w:p w:rsidR="00F50C06" w:rsidRDefault="00F50C06" w:rsidP="00B517C1">
      <w:pPr>
        <w:pStyle w:val="ListParagraph"/>
        <w:numPr>
          <w:ilvl w:val="0"/>
          <w:numId w:val="33"/>
        </w:numPr>
        <w:spacing w:after="120"/>
        <w:rPr>
          <w:rFonts w:ascii="Arial" w:hAnsi="Arial" w:cs="Arial"/>
          <w:lang w:val="en-US" w:eastAsia="en-US"/>
        </w:rPr>
      </w:pPr>
      <w:r w:rsidRPr="00261893">
        <w:rPr>
          <w:rFonts w:ascii="Arial" w:hAnsi="Arial" w:cs="Arial"/>
          <w:lang w:val="en-US" w:eastAsia="en-US"/>
        </w:rPr>
        <w:t xml:space="preserve">Schedule 1 </w:t>
      </w:r>
      <w:r>
        <w:rPr>
          <w:rFonts w:ascii="Arial" w:hAnsi="Arial" w:cs="Arial"/>
          <w:lang w:val="en-US" w:eastAsia="en-US"/>
        </w:rPr>
        <w:t xml:space="preserve">– </w:t>
      </w:r>
      <w:r w:rsidRPr="00261893">
        <w:rPr>
          <w:rFonts w:ascii="Arial" w:hAnsi="Arial" w:cs="Arial"/>
          <w:lang w:val="en-US" w:eastAsia="en-US"/>
        </w:rPr>
        <w:t xml:space="preserve">is the </w:t>
      </w:r>
      <w:r w:rsidRPr="009D0CFE">
        <w:rPr>
          <w:rFonts w:ascii="Arial" w:hAnsi="Arial" w:cs="Arial"/>
          <w:i/>
          <w:lang w:val="en-US" w:eastAsia="en-US"/>
        </w:rPr>
        <w:t>Ontario Fair Hydro Plan Act, 2017</w:t>
      </w:r>
      <w:r w:rsidRPr="009D0CFE">
        <w:rPr>
          <w:rFonts w:ascii="Arial" w:hAnsi="Arial" w:cs="Arial"/>
          <w:lang w:val="en-US" w:eastAsia="en-US"/>
        </w:rPr>
        <w:t xml:space="preserve"> </w:t>
      </w:r>
      <w:r w:rsidRPr="00261893">
        <w:rPr>
          <w:rFonts w:ascii="Arial" w:hAnsi="Arial" w:cs="Arial"/>
          <w:lang w:val="en-US" w:eastAsia="en-US"/>
        </w:rPr>
        <w:t>(</w:t>
      </w:r>
      <w:r w:rsidRPr="009D0CFE">
        <w:rPr>
          <w:rFonts w:ascii="Arial" w:hAnsi="Arial" w:cs="Arial"/>
          <w:lang w:val="en-US" w:eastAsia="en-US"/>
        </w:rPr>
        <w:t>OFHPA</w:t>
      </w:r>
      <w:r w:rsidRPr="00261893">
        <w:rPr>
          <w:rFonts w:ascii="Arial" w:hAnsi="Arial" w:cs="Arial"/>
          <w:lang w:val="en-US" w:eastAsia="en-US"/>
        </w:rPr>
        <w:t xml:space="preserve">) and related amendments to the </w:t>
      </w:r>
      <w:r w:rsidRPr="009D0CFE">
        <w:rPr>
          <w:rFonts w:ascii="Arial" w:hAnsi="Arial" w:cs="Arial"/>
          <w:i/>
          <w:lang w:val="en-US" w:eastAsia="en-US"/>
        </w:rPr>
        <w:t>Electricity Act, 1998</w:t>
      </w:r>
      <w:r w:rsidRPr="009D0CFE">
        <w:rPr>
          <w:rFonts w:ascii="Arial" w:hAnsi="Arial" w:cs="Arial"/>
          <w:lang w:val="en-US" w:eastAsia="en-US"/>
        </w:rPr>
        <w:t xml:space="preserve"> </w:t>
      </w:r>
      <w:r w:rsidRPr="00261893">
        <w:rPr>
          <w:rFonts w:ascii="Arial" w:hAnsi="Arial" w:cs="Arial"/>
          <w:lang w:val="en-US" w:eastAsia="en-US"/>
        </w:rPr>
        <w:t xml:space="preserve">and the </w:t>
      </w:r>
      <w:r w:rsidRPr="009D0CFE">
        <w:rPr>
          <w:rFonts w:ascii="Arial" w:hAnsi="Arial" w:cs="Arial"/>
          <w:i/>
          <w:lang w:val="en-US" w:eastAsia="en-US"/>
        </w:rPr>
        <w:t>Ontario Energy Board Act, 1998</w:t>
      </w:r>
      <w:r w:rsidRPr="00261893">
        <w:rPr>
          <w:rFonts w:ascii="Arial" w:hAnsi="Arial" w:cs="Arial"/>
          <w:lang w:val="en-US" w:eastAsia="en-US"/>
        </w:rPr>
        <w:t xml:space="preserve"> (</w:t>
      </w:r>
      <w:r w:rsidRPr="006A5108">
        <w:rPr>
          <w:rFonts w:ascii="Arial" w:hAnsi="Arial" w:cs="Arial"/>
          <w:i/>
          <w:lang w:val="en-US" w:eastAsia="en-US"/>
        </w:rPr>
        <w:t>OEBA</w:t>
      </w:r>
      <w:r w:rsidRPr="00261893">
        <w:rPr>
          <w:rFonts w:ascii="Arial" w:hAnsi="Arial" w:cs="Arial"/>
          <w:lang w:val="en-US" w:eastAsia="en-US"/>
        </w:rPr>
        <w:t xml:space="preserve">); </w:t>
      </w:r>
      <w:r>
        <w:rPr>
          <w:rFonts w:ascii="Arial" w:hAnsi="Arial" w:cs="Arial"/>
          <w:lang w:val="en-US" w:eastAsia="en-US"/>
        </w:rPr>
        <w:t>and</w:t>
      </w:r>
    </w:p>
    <w:p w:rsidR="00F50C06" w:rsidRDefault="00F50C06" w:rsidP="00F50C06">
      <w:pPr>
        <w:pStyle w:val="ListParagraph"/>
        <w:spacing w:after="120"/>
        <w:ind w:left="360"/>
        <w:rPr>
          <w:rFonts w:ascii="Arial" w:hAnsi="Arial" w:cs="Arial"/>
          <w:lang w:val="en-US" w:eastAsia="en-US"/>
        </w:rPr>
      </w:pPr>
    </w:p>
    <w:p w:rsidR="00F50C06" w:rsidRDefault="00F50C06" w:rsidP="00B517C1">
      <w:pPr>
        <w:pStyle w:val="ListParagraph"/>
        <w:numPr>
          <w:ilvl w:val="0"/>
          <w:numId w:val="33"/>
        </w:numPr>
        <w:spacing w:after="120"/>
        <w:rPr>
          <w:rFonts w:ascii="Arial" w:hAnsi="Arial" w:cs="Arial"/>
          <w:lang w:val="en-US" w:eastAsia="en-US"/>
        </w:rPr>
      </w:pPr>
      <w:r w:rsidRPr="00261893">
        <w:rPr>
          <w:rFonts w:ascii="Arial" w:hAnsi="Arial" w:cs="Arial"/>
          <w:lang w:val="en-US" w:eastAsia="en-US"/>
        </w:rPr>
        <w:t xml:space="preserve">Schedule 2 </w:t>
      </w:r>
      <w:r>
        <w:rPr>
          <w:rFonts w:ascii="Arial" w:hAnsi="Arial" w:cs="Arial"/>
          <w:lang w:val="en-US" w:eastAsia="en-US"/>
        </w:rPr>
        <w:t xml:space="preserve">– </w:t>
      </w:r>
      <w:r w:rsidRPr="00261893">
        <w:rPr>
          <w:rFonts w:ascii="Arial" w:hAnsi="Arial" w:cs="Arial"/>
          <w:lang w:val="en-US" w:eastAsia="en-US"/>
        </w:rPr>
        <w:t xml:space="preserve">includes the electricity social program-related amendments to the </w:t>
      </w:r>
      <w:r w:rsidR="00854D1E" w:rsidRPr="006A5108">
        <w:rPr>
          <w:rFonts w:ascii="Arial" w:hAnsi="Arial" w:cs="Arial"/>
          <w:i/>
          <w:lang w:val="en-US" w:eastAsia="en-US"/>
        </w:rPr>
        <w:t>OEBA</w:t>
      </w:r>
      <w:r w:rsidRPr="009D0CFE">
        <w:rPr>
          <w:rFonts w:ascii="Arial" w:hAnsi="Arial" w:cs="Arial"/>
          <w:i/>
          <w:lang w:val="en-US" w:eastAsia="en-US"/>
        </w:rPr>
        <w:t>.</w:t>
      </w:r>
      <w:r w:rsidRPr="009D0CFE">
        <w:rPr>
          <w:rFonts w:ascii="Arial" w:hAnsi="Arial" w:cs="Arial"/>
          <w:lang w:val="en-US" w:eastAsia="en-US"/>
        </w:rPr>
        <w:t xml:space="preserve"> </w:t>
      </w:r>
    </w:p>
    <w:p w:rsidR="00F50C06" w:rsidRDefault="00F50C06" w:rsidP="00A20B5D">
      <w:pPr>
        <w:rPr>
          <w:rFonts w:ascii="Arial" w:hAnsi="Arial" w:cs="Arial"/>
          <w:szCs w:val="28"/>
          <w:lang w:val="en-US"/>
        </w:rPr>
      </w:pPr>
    </w:p>
    <w:p w:rsidR="00254625" w:rsidRPr="00C05B4C" w:rsidRDefault="00954044" w:rsidP="00A20B5D">
      <w:pPr>
        <w:rPr>
          <w:rFonts w:ascii="Arial" w:hAnsi="Arial" w:cs="Arial"/>
          <w:szCs w:val="28"/>
          <w:lang w:val="en-US"/>
        </w:rPr>
      </w:pPr>
      <w:r w:rsidRPr="00C05B4C">
        <w:rPr>
          <w:rFonts w:ascii="Arial" w:hAnsi="Arial" w:cs="Arial"/>
          <w:szCs w:val="28"/>
          <w:lang w:val="en-US"/>
        </w:rPr>
        <w:t>On May 9, 2017</w:t>
      </w:r>
      <w:r w:rsidR="004A137F" w:rsidRPr="00C05B4C">
        <w:rPr>
          <w:rFonts w:ascii="Arial" w:hAnsi="Arial" w:cs="Arial"/>
          <w:szCs w:val="28"/>
          <w:lang w:val="en-US"/>
        </w:rPr>
        <w:t>, a</w:t>
      </w:r>
      <w:r w:rsidR="00CA2DB9" w:rsidRPr="00C05B4C">
        <w:rPr>
          <w:rFonts w:ascii="Arial" w:hAnsi="Arial" w:cs="Arial"/>
          <w:szCs w:val="28"/>
          <w:lang w:val="en-US"/>
        </w:rPr>
        <w:t>s part of</w:t>
      </w:r>
      <w:r w:rsidRPr="00C05B4C">
        <w:rPr>
          <w:rFonts w:ascii="Arial" w:hAnsi="Arial" w:cs="Arial"/>
          <w:szCs w:val="28"/>
          <w:lang w:val="en-US"/>
        </w:rPr>
        <w:t xml:space="preserve"> </w:t>
      </w:r>
      <w:r w:rsidR="00C95815" w:rsidRPr="00C05B4C">
        <w:rPr>
          <w:rFonts w:ascii="Arial" w:hAnsi="Arial" w:cs="Arial"/>
          <w:szCs w:val="28"/>
          <w:lang w:val="en-US"/>
        </w:rPr>
        <w:t xml:space="preserve">its </w:t>
      </w:r>
      <w:r w:rsidR="00C95815" w:rsidRPr="00C05B4C">
        <w:rPr>
          <w:rFonts w:ascii="Arial" w:hAnsi="Arial" w:cs="Arial"/>
          <w:i/>
          <w:szCs w:val="28"/>
          <w:lang w:val="en-US"/>
        </w:rPr>
        <w:t>FHA</w:t>
      </w:r>
      <w:r w:rsidRPr="00C05B4C">
        <w:rPr>
          <w:rFonts w:ascii="Arial" w:hAnsi="Arial" w:cs="Arial"/>
          <w:i/>
          <w:szCs w:val="28"/>
          <w:lang w:val="en-US"/>
        </w:rPr>
        <w:t xml:space="preserve"> </w:t>
      </w:r>
      <w:r w:rsidRPr="00C05B4C">
        <w:rPr>
          <w:rFonts w:ascii="Arial" w:hAnsi="Arial" w:cs="Arial"/>
          <w:szCs w:val="28"/>
          <w:lang w:val="en-US"/>
        </w:rPr>
        <w:t>review</w:t>
      </w:r>
      <w:r w:rsidR="009A40ED" w:rsidRPr="00C05B4C">
        <w:rPr>
          <w:rFonts w:ascii="Arial" w:hAnsi="Arial" w:cs="Arial"/>
          <w:lang w:val="en-US"/>
        </w:rPr>
        <w:t>, TB/MBC</w:t>
      </w:r>
      <w:r w:rsidR="00CA2DB9" w:rsidRPr="00C05B4C">
        <w:rPr>
          <w:rFonts w:ascii="Arial" w:hAnsi="Arial" w:cs="Arial"/>
          <w:lang w:val="en-US"/>
        </w:rPr>
        <w:t xml:space="preserve"> requested that </w:t>
      </w:r>
      <w:r w:rsidR="00690F01" w:rsidRPr="00C05B4C">
        <w:rPr>
          <w:rFonts w:ascii="Arial" w:hAnsi="Arial" w:cs="Arial"/>
          <w:lang w:val="en-US"/>
        </w:rPr>
        <w:t xml:space="preserve">the Ministry </w:t>
      </w:r>
      <w:r w:rsidR="00F97E3C">
        <w:rPr>
          <w:rFonts w:ascii="Arial" w:hAnsi="Arial" w:cs="Arial"/>
          <w:lang w:val="en-US"/>
        </w:rPr>
        <w:t xml:space="preserve">of Energy </w:t>
      </w:r>
      <w:r w:rsidR="00690F01" w:rsidRPr="00C05B4C">
        <w:rPr>
          <w:rFonts w:ascii="Arial" w:hAnsi="Arial" w:cs="Arial"/>
          <w:lang w:val="en-US"/>
        </w:rPr>
        <w:t xml:space="preserve">report back </w:t>
      </w:r>
      <w:r w:rsidR="004A137F" w:rsidRPr="00C05B4C">
        <w:rPr>
          <w:rFonts w:ascii="Arial" w:hAnsi="Arial" w:cs="Arial"/>
          <w:lang w:val="en-US"/>
        </w:rPr>
        <w:t xml:space="preserve">on </w:t>
      </w:r>
      <w:r w:rsidR="00261893" w:rsidRPr="00C05B4C">
        <w:rPr>
          <w:rFonts w:ascii="Arial" w:hAnsi="Arial" w:cs="Arial"/>
          <w:lang w:val="en-US"/>
        </w:rPr>
        <w:t xml:space="preserve">key updates and </w:t>
      </w:r>
      <w:r w:rsidR="004A137F" w:rsidRPr="00C05B4C">
        <w:rPr>
          <w:rFonts w:ascii="Arial" w:hAnsi="Arial" w:cs="Arial"/>
          <w:lang w:val="en-US"/>
        </w:rPr>
        <w:t xml:space="preserve">the details of proposed </w:t>
      </w:r>
      <w:r w:rsidR="00254625" w:rsidRPr="00C05B4C">
        <w:rPr>
          <w:rFonts w:ascii="Arial" w:hAnsi="Arial" w:cs="Arial"/>
          <w:lang w:val="en-US"/>
        </w:rPr>
        <w:t>regulations</w:t>
      </w:r>
      <w:r w:rsidR="004A137F" w:rsidRPr="00C05B4C">
        <w:rPr>
          <w:rFonts w:ascii="Arial" w:hAnsi="Arial" w:cs="Arial"/>
          <w:lang w:val="en-US"/>
        </w:rPr>
        <w:t xml:space="preserve"> that would sup</w:t>
      </w:r>
      <w:r w:rsidRPr="00C05B4C">
        <w:rPr>
          <w:rFonts w:ascii="Arial" w:hAnsi="Arial" w:cs="Arial"/>
          <w:lang w:val="en-US"/>
        </w:rPr>
        <w:t xml:space="preserve">port </w:t>
      </w:r>
      <w:r w:rsidR="00F97E3C">
        <w:rPr>
          <w:rFonts w:ascii="Arial" w:hAnsi="Arial" w:cs="Arial"/>
          <w:lang w:val="en-US"/>
        </w:rPr>
        <w:t>Ontario’s Fair Hydro Plan (OFHP)</w:t>
      </w:r>
      <w:r w:rsidR="004A137F" w:rsidRPr="00C05B4C">
        <w:rPr>
          <w:rFonts w:ascii="Arial" w:hAnsi="Arial" w:cs="Arial"/>
          <w:lang w:val="en-US"/>
        </w:rPr>
        <w:t xml:space="preserve">. </w:t>
      </w:r>
    </w:p>
    <w:p w:rsidR="004A068C" w:rsidRPr="00C05B4C" w:rsidRDefault="004A068C" w:rsidP="004A137F">
      <w:pPr>
        <w:rPr>
          <w:rFonts w:ascii="Arial" w:hAnsi="Arial" w:cs="Arial"/>
          <w:lang w:val="en-US"/>
        </w:rPr>
      </w:pPr>
    </w:p>
    <w:p w:rsidR="00DE6426" w:rsidRDefault="00505656" w:rsidP="00505656">
      <w:pPr>
        <w:rPr>
          <w:rFonts w:ascii="Arial" w:hAnsi="Arial"/>
        </w:rPr>
      </w:pPr>
      <w:r w:rsidRPr="00C05B4C">
        <w:rPr>
          <w:rFonts w:ascii="Arial" w:hAnsi="Arial"/>
        </w:rPr>
        <w:t xml:space="preserve">On June 14, 2017, to support implementation of OFHP, LRC / Cabinet </w:t>
      </w:r>
      <w:r w:rsidR="00DE6426">
        <w:rPr>
          <w:rFonts w:ascii="Arial" w:hAnsi="Arial"/>
        </w:rPr>
        <w:t xml:space="preserve">approved </w:t>
      </w:r>
      <w:r w:rsidRPr="00C05B4C">
        <w:rPr>
          <w:rFonts w:ascii="Arial" w:hAnsi="Arial"/>
        </w:rPr>
        <w:t xml:space="preserve"> a first package of proposed regulation</w:t>
      </w:r>
      <w:r w:rsidR="00ED67B5">
        <w:rPr>
          <w:rFonts w:ascii="Arial" w:hAnsi="Arial"/>
        </w:rPr>
        <w:t>s</w:t>
      </w:r>
      <w:r w:rsidR="00DE6426">
        <w:rPr>
          <w:rFonts w:ascii="Arial" w:hAnsi="Arial"/>
        </w:rPr>
        <w:t xml:space="preserve"> – these regulations are now in effect.</w:t>
      </w:r>
    </w:p>
    <w:p w:rsidR="00DE6426" w:rsidRDefault="00DE6426" w:rsidP="00AD1460">
      <w:pPr>
        <w:ind w:left="360"/>
        <w:rPr>
          <w:rFonts w:ascii="Arial" w:hAnsi="Arial"/>
        </w:rPr>
      </w:pPr>
    </w:p>
    <w:p w:rsidR="008A7675" w:rsidRDefault="00DE6426" w:rsidP="00505656">
      <w:pPr>
        <w:rPr>
          <w:rFonts w:ascii="Arial" w:hAnsi="Arial"/>
        </w:rPr>
      </w:pPr>
      <w:r>
        <w:rPr>
          <w:rFonts w:ascii="Arial" w:hAnsi="Arial"/>
        </w:rPr>
        <w:t>On June 27, 2017, LRC/Cabinet will review the second package</w:t>
      </w:r>
      <w:r w:rsidR="00985752">
        <w:rPr>
          <w:rFonts w:ascii="Arial" w:hAnsi="Arial"/>
        </w:rPr>
        <w:t xml:space="preserve">, including a new general regulation under </w:t>
      </w:r>
      <w:r w:rsidR="00F97E3C">
        <w:rPr>
          <w:rFonts w:ascii="Arial" w:hAnsi="Arial"/>
        </w:rPr>
        <w:t>S</w:t>
      </w:r>
      <w:r w:rsidR="00985752">
        <w:rPr>
          <w:rFonts w:ascii="Arial" w:hAnsi="Arial"/>
        </w:rPr>
        <w:t xml:space="preserve">chedule </w:t>
      </w:r>
      <w:r w:rsidR="00F97E3C">
        <w:rPr>
          <w:rFonts w:ascii="Arial" w:hAnsi="Arial"/>
        </w:rPr>
        <w:t>1</w:t>
      </w:r>
      <w:r w:rsidR="00985752">
        <w:rPr>
          <w:rFonts w:ascii="Arial" w:hAnsi="Arial"/>
        </w:rPr>
        <w:t xml:space="preserve"> of the FHA and two regulatory amendments related to the social programs.</w:t>
      </w:r>
      <w:r>
        <w:rPr>
          <w:rFonts w:ascii="Arial" w:hAnsi="Arial"/>
        </w:rPr>
        <w:t xml:space="preserve"> </w:t>
      </w:r>
    </w:p>
    <w:p w:rsidR="008A7675" w:rsidRDefault="008A7675" w:rsidP="00505656">
      <w:pPr>
        <w:rPr>
          <w:rFonts w:ascii="Arial" w:hAnsi="Arial"/>
        </w:rPr>
      </w:pPr>
    </w:p>
    <w:p w:rsidR="008A7675" w:rsidRDefault="00505656" w:rsidP="00505656">
      <w:pPr>
        <w:rPr>
          <w:rFonts w:ascii="Arial" w:hAnsi="Arial"/>
        </w:rPr>
      </w:pPr>
      <w:r w:rsidRPr="00C05B4C">
        <w:rPr>
          <w:rFonts w:ascii="Arial" w:hAnsi="Arial"/>
        </w:rPr>
        <w:t>The</w:t>
      </w:r>
      <w:r w:rsidR="00985752">
        <w:rPr>
          <w:rFonts w:ascii="Arial" w:hAnsi="Arial"/>
        </w:rPr>
        <w:t xml:space="preserve"> general regulation is</w:t>
      </w:r>
      <w:r w:rsidRPr="00C05B4C">
        <w:rPr>
          <w:rFonts w:ascii="Arial" w:hAnsi="Arial"/>
        </w:rPr>
        <w:t xml:space="preserve"> necessary to ensure that the </w:t>
      </w:r>
      <w:r w:rsidR="00DA6E62">
        <w:rPr>
          <w:rFonts w:ascii="Arial" w:hAnsi="Arial"/>
        </w:rPr>
        <w:t xml:space="preserve">mechanisms for refinancing of </w:t>
      </w:r>
      <w:r w:rsidR="00DE6426">
        <w:rPr>
          <w:rFonts w:ascii="Arial" w:hAnsi="Arial"/>
        </w:rPr>
        <w:t xml:space="preserve">GA as set out under the </w:t>
      </w:r>
      <w:r w:rsidR="00DE6426" w:rsidRPr="00DE6426">
        <w:rPr>
          <w:rFonts w:ascii="Arial" w:hAnsi="Arial"/>
          <w:i/>
        </w:rPr>
        <w:t>OFHPA</w:t>
      </w:r>
      <w:r w:rsidR="00DE6426">
        <w:rPr>
          <w:rFonts w:ascii="Arial" w:hAnsi="Arial"/>
        </w:rPr>
        <w:t xml:space="preserve"> </w:t>
      </w:r>
      <w:r w:rsidR="00DA6E62">
        <w:rPr>
          <w:rFonts w:ascii="Arial" w:hAnsi="Arial"/>
        </w:rPr>
        <w:t xml:space="preserve"> are in place in time for the first </w:t>
      </w:r>
      <w:r w:rsidR="001E6563">
        <w:rPr>
          <w:rFonts w:ascii="Arial" w:hAnsi="Arial"/>
        </w:rPr>
        <w:t xml:space="preserve">debt offering in fall 2017. </w:t>
      </w:r>
    </w:p>
    <w:p w:rsidR="001E6563" w:rsidRDefault="001E6563" w:rsidP="00505656">
      <w:pPr>
        <w:rPr>
          <w:rFonts w:ascii="Arial" w:hAnsi="Arial"/>
        </w:rPr>
      </w:pPr>
    </w:p>
    <w:p w:rsidR="00534B22" w:rsidRPr="00534B22" w:rsidRDefault="00534B22" w:rsidP="00534B22">
      <w:pPr>
        <w:ind w:right="108"/>
        <w:rPr>
          <w:rFonts w:ascii="Arial" w:hAnsi="Arial" w:cs="Arial"/>
          <w:lang w:val="en-US"/>
        </w:rPr>
      </w:pPr>
      <w:r w:rsidRPr="00534B22">
        <w:rPr>
          <w:rFonts w:ascii="Arial" w:hAnsi="Arial" w:cs="Arial"/>
          <w:lang w:val="en-US"/>
        </w:rPr>
        <w:t xml:space="preserve">The Ministry of Finance (MOF) is also seeking an OIC under CIPA to authorize the Minister of Finance to provide loan(s) to the Ontario Financing Authority (OFA) in an amount of up to $2 billion.  This change will allow the OFA to enhance </w:t>
      </w:r>
      <w:r w:rsidR="00F97E3C">
        <w:rPr>
          <w:rFonts w:ascii="Arial" w:hAnsi="Arial" w:cs="Arial"/>
          <w:lang w:val="en-US"/>
        </w:rPr>
        <w:t xml:space="preserve">the </w:t>
      </w:r>
      <w:r w:rsidRPr="00534B22">
        <w:rPr>
          <w:rFonts w:ascii="Arial" w:hAnsi="Arial" w:cs="Arial"/>
          <w:lang w:val="en-US"/>
        </w:rPr>
        <w:t xml:space="preserve">IESO credit facility as necessary to assist with the timely and successful implementation of the OFHP.    </w:t>
      </w:r>
    </w:p>
    <w:p w:rsidR="00505656" w:rsidRPr="00C05B4C" w:rsidRDefault="00505656" w:rsidP="0022118E">
      <w:pPr>
        <w:rPr>
          <w:rFonts w:ascii="Arial" w:hAnsi="Arial" w:cs="Arial"/>
          <w:szCs w:val="28"/>
        </w:rPr>
      </w:pPr>
    </w:p>
    <w:p w:rsidR="0022118E" w:rsidRDefault="00261893" w:rsidP="0022118E">
      <w:pPr>
        <w:rPr>
          <w:rFonts w:ascii="Arial" w:hAnsi="Arial" w:cs="Arial"/>
          <w:szCs w:val="28"/>
        </w:rPr>
      </w:pPr>
      <w:r w:rsidRPr="00C05B4C">
        <w:rPr>
          <w:rFonts w:ascii="Arial" w:hAnsi="Arial" w:cs="Arial"/>
          <w:szCs w:val="28"/>
          <w:lang w:val="en-US"/>
        </w:rPr>
        <w:t xml:space="preserve">The new </w:t>
      </w:r>
      <w:r w:rsidRPr="00C05B4C">
        <w:rPr>
          <w:rFonts w:ascii="Arial" w:hAnsi="Arial" w:cs="Arial"/>
          <w:i/>
          <w:szCs w:val="28"/>
          <w:lang w:val="en-US"/>
        </w:rPr>
        <w:t xml:space="preserve">OFHPA </w:t>
      </w:r>
      <w:r w:rsidR="00954044" w:rsidRPr="00C05B4C">
        <w:rPr>
          <w:rFonts w:ascii="Arial" w:hAnsi="Arial" w:cs="Arial"/>
          <w:szCs w:val="28"/>
          <w:lang w:val="en-US"/>
        </w:rPr>
        <w:t xml:space="preserve">and </w:t>
      </w:r>
      <w:r w:rsidRPr="00C05B4C">
        <w:rPr>
          <w:rFonts w:ascii="Arial" w:hAnsi="Arial" w:cs="Arial"/>
          <w:szCs w:val="28"/>
          <w:lang w:val="en-US"/>
        </w:rPr>
        <w:t xml:space="preserve">the </w:t>
      </w:r>
      <w:r w:rsidR="00954044" w:rsidRPr="00C05B4C">
        <w:rPr>
          <w:rFonts w:ascii="Arial" w:hAnsi="Arial" w:cs="Arial"/>
          <w:szCs w:val="28"/>
          <w:lang w:val="en-US"/>
        </w:rPr>
        <w:t xml:space="preserve">proposed regulation, along with the </w:t>
      </w:r>
      <w:r w:rsidRPr="00C05B4C">
        <w:rPr>
          <w:rFonts w:ascii="Arial" w:hAnsi="Arial" w:cs="Arial"/>
          <w:szCs w:val="28"/>
          <w:lang w:val="en-US"/>
        </w:rPr>
        <w:t xml:space="preserve">independent </w:t>
      </w:r>
      <w:r w:rsidR="00954044" w:rsidRPr="00C05B4C">
        <w:rPr>
          <w:rFonts w:ascii="Arial" w:hAnsi="Arial" w:cs="Arial"/>
          <w:szCs w:val="28"/>
          <w:lang w:val="en-US"/>
        </w:rPr>
        <w:t xml:space="preserve">accounting </w:t>
      </w:r>
      <w:r w:rsidRPr="00C05B4C">
        <w:rPr>
          <w:rFonts w:ascii="Arial" w:hAnsi="Arial" w:cs="Arial"/>
          <w:szCs w:val="28"/>
          <w:lang w:val="en-US"/>
        </w:rPr>
        <w:t>analysis,</w:t>
      </w:r>
      <w:r w:rsidR="00954044" w:rsidRPr="00C05B4C">
        <w:rPr>
          <w:rFonts w:ascii="Arial" w:hAnsi="Arial" w:cs="Arial"/>
          <w:szCs w:val="28"/>
          <w:lang w:val="en-US"/>
        </w:rPr>
        <w:t xml:space="preserve"> legal </w:t>
      </w:r>
      <w:r w:rsidRPr="00C05B4C">
        <w:rPr>
          <w:rFonts w:ascii="Arial" w:hAnsi="Arial" w:cs="Arial"/>
          <w:szCs w:val="28"/>
          <w:lang w:val="en-US"/>
        </w:rPr>
        <w:t>support</w:t>
      </w:r>
      <w:r w:rsidR="00F50C06" w:rsidRPr="00C05B4C">
        <w:rPr>
          <w:rFonts w:ascii="Arial" w:hAnsi="Arial" w:cs="Arial"/>
          <w:szCs w:val="28"/>
          <w:lang w:val="en-US"/>
        </w:rPr>
        <w:t xml:space="preserve"> and technical analysis </w:t>
      </w:r>
      <w:r w:rsidRPr="00C05B4C">
        <w:rPr>
          <w:rFonts w:ascii="Arial" w:hAnsi="Arial" w:cs="Arial"/>
          <w:szCs w:val="28"/>
          <w:lang w:val="en-US"/>
        </w:rPr>
        <w:t xml:space="preserve">and future </w:t>
      </w:r>
      <w:r w:rsidR="00954044" w:rsidRPr="00C05B4C">
        <w:rPr>
          <w:rFonts w:ascii="Arial" w:hAnsi="Arial" w:cs="Arial"/>
          <w:szCs w:val="28"/>
          <w:lang w:val="en-US"/>
        </w:rPr>
        <w:t>financial agreements (</w:t>
      </w:r>
      <w:r w:rsidRPr="00C05B4C">
        <w:rPr>
          <w:rFonts w:ascii="Arial" w:hAnsi="Arial" w:cs="Arial"/>
          <w:szCs w:val="28"/>
          <w:lang w:val="en-US"/>
        </w:rPr>
        <w:t xml:space="preserve">i.e., </w:t>
      </w:r>
      <w:r w:rsidR="00954044" w:rsidRPr="00C05B4C">
        <w:rPr>
          <w:rFonts w:ascii="Arial" w:hAnsi="Arial" w:cs="Arial"/>
          <w:szCs w:val="28"/>
          <w:lang w:val="en-US"/>
        </w:rPr>
        <w:t xml:space="preserve">expected to be reached and signed in fall 2017) together </w:t>
      </w:r>
      <w:r w:rsidR="0048387C">
        <w:rPr>
          <w:rFonts w:ascii="Arial" w:hAnsi="Arial" w:cs="Arial"/>
          <w:szCs w:val="28"/>
          <w:lang w:val="en-US"/>
        </w:rPr>
        <w:t>mitigate</w:t>
      </w:r>
      <w:r w:rsidR="00954044" w:rsidRPr="00C05B4C">
        <w:rPr>
          <w:rFonts w:ascii="Arial" w:hAnsi="Arial" w:cs="Arial"/>
          <w:szCs w:val="28"/>
          <w:lang w:val="en-US"/>
        </w:rPr>
        <w:t xml:space="preserve"> the</w:t>
      </w:r>
      <w:r w:rsidR="007F2AB9" w:rsidRPr="00C05B4C">
        <w:rPr>
          <w:rFonts w:ascii="Arial" w:hAnsi="Arial" w:cs="Arial"/>
          <w:szCs w:val="28"/>
          <w:lang w:val="en-US"/>
        </w:rPr>
        <w:t xml:space="preserve"> financing, accounting and legal issues raised in the March 1, 2017 Cabinet Submission</w:t>
      </w:r>
      <w:r w:rsidR="00954044" w:rsidRPr="00C05B4C">
        <w:rPr>
          <w:rFonts w:ascii="Arial" w:hAnsi="Arial" w:cs="Arial"/>
          <w:szCs w:val="28"/>
          <w:lang w:val="en-US"/>
        </w:rPr>
        <w:t xml:space="preserve"> and </w:t>
      </w:r>
      <w:r w:rsidR="00254625" w:rsidRPr="00C05B4C">
        <w:rPr>
          <w:rFonts w:ascii="Arial" w:hAnsi="Arial" w:cs="Arial"/>
          <w:szCs w:val="28"/>
          <w:lang w:val="en-US"/>
        </w:rPr>
        <w:t>the May 9, 2017 TB submission</w:t>
      </w:r>
      <w:r w:rsidR="00690F01" w:rsidRPr="00C05B4C">
        <w:rPr>
          <w:rFonts w:ascii="Arial" w:hAnsi="Arial" w:cs="Arial"/>
          <w:szCs w:val="28"/>
          <w:lang w:val="en-US"/>
        </w:rPr>
        <w:t>.</w:t>
      </w:r>
      <w:r w:rsidR="00B32FD4" w:rsidRPr="00CE63C3">
        <w:rPr>
          <w:rFonts w:ascii="Arial" w:hAnsi="Arial" w:cs="Arial"/>
          <w:szCs w:val="28"/>
          <w:lang w:val="en-US"/>
        </w:rPr>
        <w:t xml:space="preserve"> </w:t>
      </w:r>
    </w:p>
    <w:p w:rsidR="00F50C06" w:rsidRPr="00A26758" w:rsidRDefault="00F50C06" w:rsidP="00BA0C1A">
      <w:pPr>
        <w:rPr>
          <w:rFonts w:ascii="Arial" w:hAnsi="Arial" w:cs="Arial"/>
        </w:rPr>
      </w:pPr>
    </w:p>
    <w:p w:rsidR="00041BC1" w:rsidRDefault="00482E8F" w:rsidP="00BA0C1A">
      <w:pPr>
        <w:rPr>
          <w:rFonts w:ascii="Arial" w:hAnsi="Arial" w:cs="Arial"/>
        </w:rPr>
      </w:pPr>
      <w:r w:rsidRPr="00482E8F">
        <w:rPr>
          <w:rFonts w:ascii="Arial" w:hAnsi="Arial" w:cs="Arial"/>
        </w:rPr>
        <w:t xml:space="preserve">The proposed amendments in this package are needed to implement the changes to the Ontario Electricity Support Program (OESP), under (OFHP, as enacted under the </w:t>
      </w:r>
      <w:r w:rsidRPr="00AD1460">
        <w:rPr>
          <w:rFonts w:ascii="Arial" w:hAnsi="Arial" w:cs="Arial"/>
          <w:i/>
        </w:rPr>
        <w:t>OFHPA</w:t>
      </w:r>
      <w:r w:rsidRPr="00482E8F">
        <w:rPr>
          <w:rFonts w:ascii="Arial" w:hAnsi="Arial" w:cs="Arial"/>
        </w:rPr>
        <w:t>. The proposed amendments support the implementation strategy to increase enrolment of social assistance clients’ into the OESP.</w:t>
      </w:r>
    </w:p>
    <w:p w:rsidR="00041BC1" w:rsidRPr="00A26758" w:rsidRDefault="00041BC1" w:rsidP="00BA0C1A">
      <w:pPr>
        <w:rPr>
          <w:rFonts w:ascii="Arial" w:hAnsi="Arial" w:cs="Arial"/>
        </w:rPr>
      </w:pPr>
    </w:p>
    <w:p w:rsidR="00BA0C1A" w:rsidRPr="00CE63C3" w:rsidRDefault="000B73C0" w:rsidP="00B517C1">
      <w:pPr>
        <w:pStyle w:val="ListParagraph"/>
        <w:numPr>
          <w:ilvl w:val="0"/>
          <w:numId w:val="24"/>
        </w:numPr>
        <w:rPr>
          <w:rFonts w:ascii="Arial" w:hAnsi="Arial" w:cs="Arial"/>
          <w:b/>
          <w:lang w:val="en-US"/>
        </w:rPr>
      </w:pPr>
      <w:r>
        <w:rPr>
          <w:rFonts w:ascii="Arial" w:hAnsi="Arial" w:cs="Arial"/>
          <w:b/>
          <w:lang w:val="en-US"/>
        </w:rPr>
        <w:t xml:space="preserve">Implementation of </w:t>
      </w:r>
      <w:r w:rsidR="00BA0C1A" w:rsidRPr="00CE63C3">
        <w:rPr>
          <w:rFonts w:ascii="Arial" w:hAnsi="Arial" w:cs="Arial"/>
          <w:b/>
          <w:lang w:val="en-US"/>
        </w:rPr>
        <w:t>GA Refinancing:</w:t>
      </w:r>
      <w:r w:rsidR="00F41524">
        <w:rPr>
          <w:rFonts w:ascii="Arial" w:hAnsi="Arial" w:cs="Arial"/>
          <w:b/>
          <w:lang w:val="en-US"/>
        </w:rPr>
        <w:t xml:space="preserve"> </w:t>
      </w:r>
    </w:p>
    <w:p w:rsidR="00BA0C1A" w:rsidRPr="00CE63C3" w:rsidRDefault="00BA0C1A" w:rsidP="00BA0C1A">
      <w:pPr>
        <w:pStyle w:val="ListParagraph"/>
        <w:ind w:left="360"/>
        <w:rPr>
          <w:rFonts w:ascii="Arial" w:hAnsi="Arial" w:cs="Arial"/>
          <w:lang w:val="en-US"/>
        </w:rPr>
      </w:pPr>
    </w:p>
    <w:p w:rsidR="00CD0EF5" w:rsidRPr="00332DCD" w:rsidRDefault="00CD0EF5" w:rsidP="00760E40">
      <w:pPr>
        <w:ind w:left="360"/>
        <w:rPr>
          <w:rFonts w:ascii="Arial" w:hAnsi="Arial" w:cs="Arial"/>
          <w:szCs w:val="28"/>
          <w:lang w:val="en-US"/>
        </w:rPr>
      </w:pPr>
      <w:r w:rsidRPr="00E94245">
        <w:rPr>
          <w:rFonts w:ascii="Arial" w:hAnsi="Arial"/>
          <w:lang w:val="en-US"/>
        </w:rPr>
        <w:t xml:space="preserve">Ontario’s energy system is being transformed – more than $50 billion has been invested to decarbonize and modernize the electricity system, </w:t>
      </w:r>
      <w:r w:rsidRPr="00332DCD">
        <w:rPr>
          <w:rFonts w:ascii="Arial" w:hAnsi="Arial" w:cs="Arial"/>
          <w:szCs w:val="28"/>
          <w:lang w:val="en-US"/>
        </w:rPr>
        <w:t xml:space="preserve">including an investment of over $35 billion in clean and renewable generation.  </w:t>
      </w:r>
    </w:p>
    <w:p w:rsidR="00CD0EF5" w:rsidRPr="00332DCD" w:rsidRDefault="00CD0EF5" w:rsidP="00A20B5D">
      <w:pPr>
        <w:rPr>
          <w:rFonts w:ascii="Arial" w:hAnsi="Arial" w:cs="Arial"/>
          <w:szCs w:val="28"/>
          <w:lang w:val="en-US"/>
        </w:rPr>
      </w:pPr>
    </w:p>
    <w:p w:rsidR="00CD0EF5" w:rsidRPr="00332DCD" w:rsidRDefault="00CD0EF5" w:rsidP="00760E40">
      <w:pPr>
        <w:ind w:left="360"/>
        <w:rPr>
          <w:rFonts w:ascii="Arial" w:hAnsi="Arial" w:cs="Arial"/>
          <w:szCs w:val="28"/>
          <w:lang w:val="en-US"/>
        </w:rPr>
      </w:pPr>
      <w:r w:rsidRPr="00E94245">
        <w:rPr>
          <w:rFonts w:ascii="Arial" w:hAnsi="Arial"/>
          <w:lang w:val="en-US"/>
        </w:rPr>
        <w:t>Over the last decade the governmen</w:t>
      </w:r>
      <w:r w:rsidRPr="00A20B5D">
        <w:rPr>
          <w:rFonts w:ascii="Arial" w:hAnsi="Arial"/>
          <w:lang w:val="en-US"/>
        </w:rPr>
        <w:t xml:space="preserve">t has </w:t>
      </w:r>
      <w:r w:rsidR="004D6F2A" w:rsidRPr="00A20B5D">
        <w:rPr>
          <w:rFonts w:ascii="Arial" w:hAnsi="Arial"/>
          <w:lang w:val="en-US"/>
        </w:rPr>
        <w:t xml:space="preserve">invested in </w:t>
      </w:r>
      <w:r w:rsidRPr="00A20B5D">
        <w:rPr>
          <w:rFonts w:ascii="Arial" w:hAnsi="Arial"/>
          <w:lang w:val="en-US"/>
        </w:rPr>
        <w:t>Ontario’s transmission and distribution infrastructure (i.e., the grid)</w:t>
      </w:r>
      <w:r w:rsidR="00F97E3C">
        <w:rPr>
          <w:rFonts w:ascii="Arial" w:hAnsi="Arial"/>
          <w:lang w:val="en-US"/>
        </w:rPr>
        <w:t xml:space="preserve"> and</w:t>
      </w:r>
      <w:r w:rsidRPr="00A20B5D">
        <w:rPr>
          <w:rFonts w:ascii="Arial" w:hAnsi="Arial"/>
          <w:lang w:val="en-US"/>
        </w:rPr>
        <w:t xml:space="preserve"> clean generation</w:t>
      </w:r>
      <w:r w:rsidR="00F97E3C">
        <w:rPr>
          <w:rFonts w:ascii="Arial" w:hAnsi="Arial"/>
          <w:lang w:val="en-US"/>
        </w:rPr>
        <w:t>,</w:t>
      </w:r>
      <w:r w:rsidRPr="00A20B5D">
        <w:rPr>
          <w:rFonts w:ascii="Arial" w:hAnsi="Arial"/>
          <w:lang w:val="en-US"/>
        </w:rPr>
        <w:t xml:space="preserve"> and phased out the use of coal-fired generation</w:t>
      </w:r>
      <w:r w:rsidR="00F97E3C">
        <w:rPr>
          <w:rFonts w:ascii="Arial" w:hAnsi="Arial"/>
          <w:lang w:val="en-US"/>
        </w:rPr>
        <w:t>. These initiatives have</w:t>
      </w:r>
      <w:r w:rsidRPr="00A20B5D">
        <w:rPr>
          <w:rFonts w:ascii="Arial" w:hAnsi="Arial"/>
          <w:lang w:val="en-US"/>
        </w:rPr>
        <w:t xml:space="preserve"> resulted in electricity prices increasing. </w:t>
      </w:r>
    </w:p>
    <w:p w:rsidR="00F50C06" w:rsidRPr="00CE63C3" w:rsidRDefault="00F50C06" w:rsidP="00CD0EF5">
      <w:pPr>
        <w:rPr>
          <w:rFonts w:ascii="Arial" w:hAnsi="Arial" w:cs="Arial"/>
          <w:lang w:val="en-US"/>
        </w:rPr>
      </w:pPr>
    </w:p>
    <w:p w:rsidR="00F50C06" w:rsidRPr="00CE63C3" w:rsidRDefault="00F50C06" w:rsidP="00760E40">
      <w:pPr>
        <w:ind w:left="360" w:right="14"/>
        <w:rPr>
          <w:rFonts w:ascii="Arial" w:hAnsi="Arial" w:cs="Arial"/>
          <w:lang w:val="en-US"/>
        </w:rPr>
      </w:pPr>
      <w:r w:rsidRPr="00CE63C3">
        <w:rPr>
          <w:rFonts w:ascii="Arial" w:hAnsi="Arial" w:cs="Arial"/>
          <w:lang w:val="en-US"/>
        </w:rPr>
        <w:t xml:space="preserve">On March 2, 2017, as part of OFHP, it was announced that a portion of the </w:t>
      </w:r>
      <w:r>
        <w:rPr>
          <w:rFonts w:ascii="Arial" w:hAnsi="Arial" w:cs="Arial"/>
          <w:lang w:val="en-US"/>
        </w:rPr>
        <w:t>Global Adjustment (</w:t>
      </w:r>
      <w:r w:rsidRPr="00CE63C3">
        <w:rPr>
          <w:rFonts w:ascii="Arial" w:hAnsi="Arial" w:cs="Arial"/>
          <w:lang w:val="en-US"/>
        </w:rPr>
        <w:t>GA</w:t>
      </w:r>
      <w:r>
        <w:rPr>
          <w:rFonts w:ascii="Arial" w:hAnsi="Arial" w:cs="Arial"/>
          <w:lang w:val="en-US"/>
        </w:rPr>
        <w:t>)</w:t>
      </w:r>
      <w:r w:rsidRPr="00CE63C3">
        <w:rPr>
          <w:rFonts w:ascii="Arial" w:hAnsi="Arial" w:cs="Arial"/>
          <w:lang w:val="en-US"/>
        </w:rPr>
        <w:t xml:space="preserve"> would be refinanced in order to fairly allocate costs across present and future generations of electricity consumers with respect to </w:t>
      </w:r>
      <w:r w:rsidRPr="00CE63C3">
        <w:rPr>
          <w:rFonts w:ascii="Arial" w:eastAsia="+mn-ea" w:hAnsi="Arial" w:cs="Arial"/>
          <w:spacing w:val="-1"/>
          <w:kern w:val="24"/>
        </w:rPr>
        <w:t xml:space="preserve">investments made to decarbonize (i.e., phase-out coal) and modernize Ontario’s electricity system (i.e., build and maintain a reliable electricity system). </w:t>
      </w:r>
    </w:p>
    <w:p w:rsidR="00F50C06" w:rsidRDefault="00F50C06" w:rsidP="00F50C06">
      <w:pPr>
        <w:pStyle w:val="NoSpacing"/>
        <w:rPr>
          <w:lang w:val="en-US" w:eastAsia="en-US"/>
        </w:rPr>
      </w:pPr>
    </w:p>
    <w:p w:rsidR="00F50C06" w:rsidRDefault="00F50C06" w:rsidP="00760E40">
      <w:pPr>
        <w:ind w:left="360"/>
        <w:rPr>
          <w:rFonts w:ascii="Arial" w:hAnsi="Arial" w:cs="Arial"/>
          <w:u w:val="single"/>
          <w:lang w:val="en-US"/>
        </w:rPr>
      </w:pPr>
      <w:r w:rsidRPr="00CE63C3">
        <w:rPr>
          <w:rFonts w:ascii="Arial" w:hAnsi="Arial" w:cs="Arial"/>
        </w:rPr>
        <w:t xml:space="preserve">Under </w:t>
      </w:r>
      <w:r>
        <w:rPr>
          <w:rFonts w:ascii="Arial" w:hAnsi="Arial" w:cs="Arial"/>
        </w:rPr>
        <w:t xml:space="preserve">the </w:t>
      </w:r>
      <w:r w:rsidRPr="00261893">
        <w:rPr>
          <w:rFonts w:ascii="Arial" w:hAnsi="Arial" w:cs="Arial"/>
          <w:i/>
        </w:rPr>
        <w:t>OFHPA</w:t>
      </w:r>
      <w:r>
        <w:rPr>
          <w:rFonts w:ascii="Arial" w:hAnsi="Arial" w:cs="Arial"/>
        </w:rPr>
        <w:t xml:space="preserve"> which enables GA Refinancing, </w:t>
      </w:r>
      <w:r w:rsidRPr="00CE63C3">
        <w:rPr>
          <w:rFonts w:ascii="Arial" w:hAnsi="Arial" w:cs="Arial"/>
        </w:rPr>
        <w:t xml:space="preserve">electricity bills of </w:t>
      </w:r>
      <w:r>
        <w:rPr>
          <w:rFonts w:ascii="Arial" w:hAnsi="Arial" w:cs="Arial"/>
        </w:rPr>
        <w:t>typical</w:t>
      </w:r>
      <w:r w:rsidRPr="00CE63C3">
        <w:rPr>
          <w:rFonts w:ascii="Arial" w:hAnsi="Arial" w:cs="Arial"/>
        </w:rPr>
        <w:t xml:space="preserve"> residential consumers would be reduced by 25 per cent starting </w:t>
      </w:r>
      <w:r w:rsidR="00F97E3C">
        <w:rPr>
          <w:rFonts w:ascii="Arial" w:hAnsi="Arial" w:cs="Arial"/>
        </w:rPr>
        <w:t>on</w:t>
      </w:r>
      <w:r w:rsidR="00F97E3C" w:rsidRPr="00CE63C3">
        <w:rPr>
          <w:rFonts w:ascii="Arial" w:hAnsi="Arial" w:cs="Arial"/>
        </w:rPr>
        <w:t xml:space="preserve"> </w:t>
      </w:r>
      <w:r>
        <w:rPr>
          <w:rFonts w:ascii="Arial" w:hAnsi="Arial" w:cs="Arial"/>
        </w:rPr>
        <w:t>July 1,</w:t>
      </w:r>
      <w:r w:rsidRPr="00CE63C3">
        <w:rPr>
          <w:rFonts w:ascii="Arial" w:hAnsi="Arial" w:cs="Arial"/>
        </w:rPr>
        <w:t xml:space="preserve"> 2017. In addition, </w:t>
      </w:r>
      <w:r w:rsidR="0099137B">
        <w:rPr>
          <w:rFonts w:ascii="Arial" w:hAnsi="Arial" w:cs="Arial"/>
        </w:rPr>
        <w:t xml:space="preserve">the government has committed to hold </w:t>
      </w:r>
      <w:r w:rsidRPr="00CE63C3">
        <w:rPr>
          <w:rFonts w:ascii="Arial" w:hAnsi="Arial" w:cs="Arial"/>
        </w:rPr>
        <w:t>increases to electricity bill</w:t>
      </w:r>
      <w:r>
        <w:rPr>
          <w:rFonts w:ascii="Arial" w:hAnsi="Arial" w:cs="Arial"/>
        </w:rPr>
        <w:t>s</w:t>
      </w:r>
      <w:r w:rsidRPr="00CE63C3">
        <w:rPr>
          <w:rFonts w:ascii="Arial" w:hAnsi="Arial" w:cs="Arial"/>
        </w:rPr>
        <w:t xml:space="preserve"> to the rate of inflation for four years. Up to 500,000 small businesses and farms would also benefit</w:t>
      </w:r>
      <w:r>
        <w:rPr>
          <w:rFonts w:ascii="Arial" w:hAnsi="Arial" w:cs="Arial"/>
        </w:rPr>
        <w:t>.</w:t>
      </w:r>
    </w:p>
    <w:p w:rsidR="00F50C06" w:rsidRDefault="00F50C06" w:rsidP="00A20B5D">
      <w:pPr>
        <w:rPr>
          <w:rFonts w:ascii="Arial" w:hAnsi="Arial" w:cs="Arial"/>
          <w:u w:val="single"/>
          <w:lang w:val="en-US"/>
        </w:rPr>
      </w:pPr>
    </w:p>
    <w:p w:rsidR="00C05B4C" w:rsidRDefault="00C05B4C" w:rsidP="00A20B5D">
      <w:pPr>
        <w:rPr>
          <w:rFonts w:ascii="Arial" w:hAnsi="Arial" w:cs="Arial"/>
          <w:u w:val="single"/>
          <w:lang w:val="en-US"/>
        </w:rPr>
      </w:pPr>
    </w:p>
    <w:p w:rsidR="00D10F6F" w:rsidRDefault="00D10F6F" w:rsidP="00A20B5D">
      <w:pPr>
        <w:rPr>
          <w:rFonts w:ascii="Arial" w:hAnsi="Arial" w:cs="Arial"/>
          <w:u w:val="single"/>
          <w:lang w:val="en-US"/>
        </w:rPr>
      </w:pPr>
    </w:p>
    <w:p w:rsidR="00D10F6F" w:rsidRDefault="00D10F6F" w:rsidP="00A20B5D">
      <w:pPr>
        <w:rPr>
          <w:rFonts w:ascii="Arial" w:hAnsi="Arial" w:cs="Arial"/>
          <w:u w:val="single"/>
          <w:lang w:val="en-US"/>
        </w:rPr>
      </w:pPr>
    </w:p>
    <w:p w:rsidR="00D10F6F" w:rsidRDefault="00D10F6F" w:rsidP="00A20B5D">
      <w:pPr>
        <w:rPr>
          <w:rFonts w:ascii="Arial" w:hAnsi="Arial" w:cs="Arial"/>
          <w:u w:val="single"/>
          <w:lang w:val="en-US"/>
        </w:rPr>
      </w:pPr>
    </w:p>
    <w:p w:rsidR="00C05B4C" w:rsidRDefault="00C05B4C" w:rsidP="00A20B5D">
      <w:pPr>
        <w:rPr>
          <w:rFonts w:ascii="Arial" w:hAnsi="Arial" w:cs="Arial"/>
          <w:u w:val="single"/>
          <w:lang w:val="en-US"/>
        </w:rPr>
      </w:pPr>
    </w:p>
    <w:p w:rsidR="009D0CFE" w:rsidRPr="00C05B4C" w:rsidRDefault="00BA0C1A" w:rsidP="00760E40">
      <w:pPr>
        <w:ind w:left="360"/>
        <w:rPr>
          <w:rFonts w:ascii="Arial" w:hAnsi="Arial" w:cs="Arial"/>
          <w:u w:val="single"/>
          <w:lang w:val="en-US"/>
        </w:rPr>
      </w:pPr>
      <w:r w:rsidRPr="00C05B4C">
        <w:rPr>
          <w:rFonts w:ascii="Arial" w:hAnsi="Arial" w:cs="Arial"/>
          <w:u w:val="single"/>
          <w:lang w:val="en-US"/>
        </w:rPr>
        <w:t>Proposal</w:t>
      </w:r>
    </w:p>
    <w:p w:rsidR="00760E40" w:rsidRPr="008B0BC1" w:rsidRDefault="00760E40" w:rsidP="00760E40">
      <w:pPr>
        <w:pStyle w:val="NoSpacing"/>
        <w:rPr>
          <w:lang w:val="en-US"/>
        </w:rPr>
      </w:pPr>
    </w:p>
    <w:p w:rsidR="00432A23" w:rsidRPr="00F50C06" w:rsidRDefault="009D0CFE" w:rsidP="00760E40">
      <w:pPr>
        <w:ind w:left="360"/>
        <w:rPr>
          <w:rFonts w:ascii="Arial" w:hAnsi="Arial"/>
        </w:rPr>
      </w:pPr>
      <w:r w:rsidRPr="00C05B4C">
        <w:rPr>
          <w:rFonts w:ascii="Arial" w:hAnsi="Arial"/>
        </w:rPr>
        <w:t xml:space="preserve">On June 27, 2017, </w:t>
      </w:r>
      <w:r w:rsidR="00F50C06" w:rsidRPr="00C05B4C">
        <w:rPr>
          <w:rFonts w:ascii="Arial" w:hAnsi="Arial"/>
        </w:rPr>
        <w:t xml:space="preserve">to support implementation of OFHP, LRC / Cabinet </w:t>
      </w:r>
      <w:r w:rsidR="007C6F4B" w:rsidRPr="00C05B4C">
        <w:rPr>
          <w:rFonts w:ascii="Arial" w:hAnsi="Arial"/>
        </w:rPr>
        <w:t xml:space="preserve">will </w:t>
      </w:r>
      <w:r w:rsidR="00F50C06" w:rsidRPr="00C05B4C">
        <w:rPr>
          <w:rFonts w:ascii="Arial" w:hAnsi="Arial"/>
        </w:rPr>
        <w:t>review the following proposed regulation</w:t>
      </w:r>
      <w:r w:rsidR="00432A23" w:rsidRPr="00C05B4C">
        <w:rPr>
          <w:rFonts w:ascii="Arial" w:hAnsi="Arial" w:cs="Arial"/>
          <w:lang w:val="en-US"/>
        </w:rPr>
        <w:t>:</w:t>
      </w:r>
    </w:p>
    <w:p w:rsidR="00432A23" w:rsidRPr="00F50C06" w:rsidRDefault="00432A23" w:rsidP="00432A23">
      <w:pPr>
        <w:pStyle w:val="ListParagraph"/>
        <w:ind w:left="360"/>
        <w:rPr>
          <w:rFonts w:ascii="Arial" w:hAnsi="Arial" w:cs="Arial"/>
        </w:rPr>
      </w:pPr>
    </w:p>
    <w:p w:rsidR="00432A23" w:rsidRPr="00760E40" w:rsidRDefault="0001510A" w:rsidP="00B517C1">
      <w:pPr>
        <w:pStyle w:val="ListParagraph"/>
        <w:numPr>
          <w:ilvl w:val="0"/>
          <w:numId w:val="38"/>
        </w:numPr>
        <w:rPr>
          <w:rFonts w:ascii="Arial" w:hAnsi="Arial" w:cs="Arial"/>
          <w:lang w:val="en-US"/>
        </w:rPr>
      </w:pPr>
      <w:r w:rsidRPr="00760E40">
        <w:rPr>
          <w:rFonts w:ascii="Arial" w:hAnsi="Arial" w:cs="Arial"/>
          <w:lang w:val="en-US"/>
        </w:rPr>
        <w:t>Creating a new Regulation (“General Regulation”)</w:t>
      </w:r>
      <w:r w:rsidR="00432A23" w:rsidRPr="00760E40">
        <w:rPr>
          <w:rFonts w:ascii="Arial" w:hAnsi="Arial" w:cs="Arial"/>
          <w:lang w:val="en-US"/>
        </w:rPr>
        <w:t xml:space="preserve"> to be made under the </w:t>
      </w:r>
      <w:r w:rsidRPr="00760E40">
        <w:rPr>
          <w:rFonts w:ascii="Arial" w:hAnsi="Arial" w:cs="Arial"/>
          <w:i/>
          <w:lang w:val="en-US"/>
        </w:rPr>
        <w:t xml:space="preserve">Ontario </w:t>
      </w:r>
      <w:r w:rsidR="00432A23" w:rsidRPr="00760E40">
        <w:rPr>
          <w:rFonts w:ascii="Arial" w:hAnsi="Arial" w:cs="Arial"/>
          <w:i/>
          <w:lang w:val="en-US"/>
        </w:rPr>
        <w:t xml:space="preserve">Fair Hydro </w:t>
      </w:r>
      <w:r w:rsidR="005518CF">
        <w:rPr>
          <w:rFonts w:ascii="Arial" w:hAnsi="Arial" w:cs="Arial"/>
          <w:i/>
          <w:lang w:val="en-US"/>
        </w:rPr>
        <w:t xml:space="preserve">Plan </w:t>
      </w:r>
      <w:r w:rsidR="00432A23" w:rsidRPr="00760E40">
        <w:rPr>
          <w:rFonts w:ascii="Arial" w:hAnsi="Arial" w:cs="Arial"/>
          <w:i/>
          <w:lang w:val="en-US"/>
        </w:rPr>
        <w:t>Act, 2017</w:t>
      </w:r>
      <w:r w:rsidR="00BE6AE7">
        <w:rPr>
          <w:rFonts w:ascii="Arial" w:hAnsi="Arial" w:cs="Arial"/>
          <w:lang w:val="en-US"/>
        </w:rPr>
        <w:t>(</w:t>
      </w:r>
      <w:r w:rsidR="00BE6AE7" w:rsidRPr="00AD1460">
        <w:rPr>
          <w:rFonts w:ascii="Arial" w:hAnsi="Arial" w:cs="Arial"/>
          <w:i/>
          <w:lang w:val="en-US"/>
        </w:rPr>
        <w:t>OFHPA</w:t>
      </w:r>
      <w:r w:rsidR="00BE6AE7">
        <w:rPr>
          <w:rFonts w:ascii="Arial" w:hAnsi="Arial" w:cs="Arial"/>
          <w:lang w:val="en-US"/>
        </w:rPr>
        <w:t>),</w:t>
      </w:r>
      <w:r w:rsidR="005518CF">
        <w:rPr>
          <w:rFonts w:ascii="Arial" w:hAnsi="Arial" w:cs="Arial"/>
          <w:lang w:val="en-US"/>
        </w:rPr>
        <w:t xml:space="preserve"> which is Schedule 1 of the </w:t>
      </w:r>
      <w:r w:rsidR="005518CF" w:rsidRPr="00B17FF1">
        <w:rPr>
          <w:rFonts w:ascii="Arial" w:hAnsi="Arial"/>
          <w:i/>
          <w:lang w:val="en-US"/>
        </w:rPr>
        <w:t>Fair Hydro Act, 2017</w:t>
      </w:r>
      <w:r w:rsidRPr="00760E40">
        <w:rPr>
          <w:rFonts w:ascii="Arial" w:hAnsi="Arial" w:cs="Arial"/>
          <w:lang w:val="en-US"/>
        </w:rPr>
        <w:t>.</w:t>
      </w:r>
    </w:p>
    <w:p w:rsidR="00B66FEA" w:rsidRPr="008A7675" w:rsidRDefault="00B66FEA" w:rsidP="003677C5">
      <w:pPr>
        <w:ind w:left="360"/>
        <w:rPr>
          <w:rFonts w:ascii="Arial" w:hAnsi="Arial" w:cs="Arial"/>
          <w:lang w:val="en-US"/>
        </w:rPr>
      </w:pPr>
    </w:p>
    <w:p w:rsidR="008A7675" w:rsidRDefault="00A40482" w:rsidP="003677C5">
      <w:pPr>
        <w:ind w:left="360" w:right="108"/>
        <w:rPr>
          <w:rFonts w:ascii="Arial" w:hAnsi="Arial" w:cs="Arial"/>
        </w:rPr>
      </w:pPr>
      <w:r>
        <w:rPr>
          <w:rFonts w:ascii="Arial" w:hAnsi="Arial" w:cs="Arial"/>
        </w:rPr>
        <w:t>The</w:t>
      </w:r>
      <w:r w:rsidR="008A7675" w:rsidRPr="003677C5">
        <w:rPr>
          <w:rFonts w:ascii="Arial" w:hAnsi="Arial" w:cs="Arial"/>
        </w:rPr>
        <w:t xml:space="preserve"> new regulation would</w:t>
      </w:r>
      <w:r w:rsidR="00BE6AE7">
        <w:rPr>
          <w:rFonts w:ascii="Arial" w:hAnsi="Arial" w:cs="Arial"/>
        </w:rPr>
        <w:t>, if approved,</w:t>
      </w:r>
      <w:r w:rsidR="008A7675" w:rsidRPr="003677C5">
        <w:rPr>
          <w:rFonts w:ascii="Arial" w:hAnsi="Arial" w:cs="Arial"/>
        </w:rPr>
        <w:t xml:space="preserve"> provide further detail on the roles and responsibilities of the Financial Services Manager (FSM, i.e., Ontario Power Generation (OPG)), the Independent Electricity System Operator (IESO) and Ontario Energy Board (OEB) under the OFHPA. </w:t>
      </w:r>
    </w:p>
    <w:p w:rsidR="008A7675" w:rsidRPr="003677C5" w:rsidRDefault="008A7675" w:rsidP="00AD1460">
      <w:pPr>
        <w:ind w:left="360" w:right="108"/>
        <w:rPr>
          <w:rFonts w:ascii="Arial" w:hAnsi="Arial" w:cs="Arial"/>
        </w:rPr>
      </w:pPr>
    </w:p>
    <w:p w:rsidR="008A7675" w:rsidRPr="003677C5" w:rsidRDefault="008A7675" w:rsidP="003677C5">
      <w:pPr>
        <w:ind w:left="360" w:right="108"/>
        <w:rPr>
          <w:rFonts w:ascii="Arial" w:hAnsi="Arial" w:cs="Arial"/>
        </w:rPr>
      </w:pPr>
      <w:r w:rsidRPr="003677C5">
        <w:rPr>
          <w:rFonts w:ascii="Arial" w:hAnsi="Arial" w:cs="Arial"/>
        </w:rPr>
        <w:t>The proposed regulation would</w:t>
      </w:r>
      <w:r w:rsidR="00BE6AE7">
        <w:rPr>
          <w:rFonts w:ascii="Arial" w:hAnsi="Arial" w:cs="Arial"/>
        </w:rPr>
        <w:t>, if approved,</w:t>
      </w:r>
      <w:r w:rsidRPr="003677C5">
        <w:rPr>
          <w:rFonts w:ascii="Arial" w:hAnsi="Arial" w:cs="Arial"/>
        </w:rPr>
        <w:t xml:space="preserve"> also provide further criteria related to the development and implementation of the Financing Plan by the FSM, , the setting of the Fair Allocation Amount by the Minister of Energy and the recovery of the Clean Energy Adjustment from electricity consumers, as required under the OFHPA.</w:t>
      </w:r>
    </w:p>
    <w:p w:rsidR="008A7675" w:rsidRPr="00AD1460" w:rsidRDefault="008A7675" w:rsidP="00F50C06">
      <w:pPr>
        <w:rPr>
          <w:rFonts w:ascii="Arial" w:hAnsi="Arial"/>
        </w:rPr>
      </w:pPr>
    </w:p>
    <w:p w:rsidR="00BA0C1A" w:rsidRPr="00332DCD" w:rsidRDefault="00BA0C1A" w:rsidP="00760E40">
      <w:pPr>
        <w:ind w:left="360"/>
        <w:rPr>
          <w:rFonts w:ascii="Arial" w:hAnsi="Arial" w:cs="Arial"/>
          <w:u w:val="single"/>
          <w:lang w:val="en-US"/>
        </w:rPr>
      </w:pPr>
      <w:r w:rsidRPr="00332DCD">
        <w:rPr>
          <w:rFonts w:ascii="Arial" w:hAnsi="Arial" w:cs="Arial"/>
          <w:u w:val="single"/>
          <w:lang w:val="en-US"/>
        </w:rPr>
        <w:t xml:space="preserve">Implementation </w:t>
      </w:r>
    </w:p>
    <w:p w:rsidR="00BA0C1A" w:rsidRPr="00CE63C3" w:rsidRDefault="00BA0C1A" w:rsidP="00BA0C1A">
      <w:pPr>
        <w:pStyle w:val="ListParagraph"/>
        <w:ind w:left="360"/>
        <w:rPr>
          <w:rFonts w:ascii="Arial" w:hAnsi="Arial" w:cs="Arial"/>
          <w:lang w:val="en-US"/>
        </w:rPr>
      </w:pPr>
    </w:p>
    <w:p w:rsidR="00CD0EF5" w:rsidRPr="00CE63C3" w:rsidRDefault="00CD0EF5" w:rsidP="00760E40">
      <w:pPr>
        <w:ind w:left="360" w:right="14"/>
        <w:rPr>
          <w:rFonts w:ascii="Arial" w:hAnsi="Arial" w:cs="Arial"/>
        </w:rPr>
      </w:pPr>
      <w:r w:rsidRPr="00CE63C3">
        <w:rPr>
          <w:rFonts w:ascii="Arial" w:hAnsi="Arial" w:cs="Arial"/>
        </w:rPr>
        <w:t xml:space="preserve">To implement GA refinancing and mitigate financing, accounting and legal risks, the Ministry has:  </w:t>
      </w:r>
    </w:p>
    <w:p w:rsidR="00CD0EF5" w:rsidRPr="00CE63C3" w:rsidRDefault="00CD0EF5" w:rsidP="00CD0EF5">
      <w:pPr>
        <w:pStyle w:val="ListParagraph"/>
        <w:ind w:left="1080" w:right="14"/>
        <w:rPr>
          <w:rFonts w:ascii="Arial" w:hAnsi="Arial" w:cs="Arial"/>
        </w:rPr>
      </w:pPr>
    </w:p>
    <w:p w:rsidR="00CD0EF5" w:rsidRPr="00CE63C3" w:rsidRDefault="00CD0EF5" w:rsidP="00B517C1">
      <w:pPr>
        <w:pStyle w:val="ListParagraph"/>
        <w:numPr>
          <w:ilvl w:val="0"/>
          <w:numId w:val="37"/>
        </w:numPr>
        <w:ind w:left="720" w:right="14"/>
        <w:rPr>
          <w:rFonts w:ascii="Arial" w:eastAsia="+mn-ea" w:hAnsi="Arial" w:cs="Arial"/>
          <w:spacing w:val="-1"/>
          <w:kern w:val="24"/>
        </w:rPr>
      </w:pPr>
      <w:r w:rsidRPr="00CE63C3">
        <w:rPr>
          <w:rFonts w:ascii="Arial" w:eastAsia="+mn-ea" w:hAnsi="Arial" w:cs="Arial"/>
          <w:spacing w:val="-1"/>
          <w:kern w:val="24"/>
        </w:rPr>
        <w:t xml:space="preserve">Worked closely with key ministries (i.e., TBS-OPCD, MOF-OFA/IGS, MAG, CO), OEB, IESO, OPG and their independent advisors and third party financing (i.e., dealers); </w:t>
      </w:r>
    </w:p>
    <w:p w:rsidR="00CD0EF5" w:rsidRPr="00CE63C3" w:rsidRDefault="00CD0EF5" w:rsidP="00760E40">
      <w:pPr>
        <w:pStyle w:val="ListParagraph"/>
        <w:ind w:left="0" w:right="14"/>
        <w:rPr>
          <w:rFonts w:ascii="Arial" w:hAnsi="Arial" w:cs="Arial"/>
        </w:rPr>
      </w:pPr>
    </w:p>
    <w:p w:rsidR="00CD0EF5" w:rsidRPr="00C05B4C" w:rsidRDefault="00323877" w:rsidP="00B517C1">
      <w:pPr>
        <w:pStyle w:val="ListParagraph"/>
        <w:numPr>
          <w:ilvl w:val="0"/>
          <w:numId w:val="37"/>
        </w:numPr>
        <w:ind w:left="720" w:right="14"/>
        <w:rPr>
          <w:rFonts w:ascii="Arial" w:eastAsia="+mn-ea" w:hAnsi="Arial" w:cs="Arial"/>
          <w:spacing w:val="-1"/>
          <w:kern w:val="24"/>
        </w:rPr>
      </w:pPr>
      <w:r w:rsidRPr="00C05B4C">
        <w:rPr>
          <w:rFonts w:ascii="Arial" w:hAnsi="Arial" w:cs="Arial"/>
        </w:rPr>
        <w:t xml:space="preserve">On June 1, 2017, the </w:t>
      </w:r>
      <w:r w:rsidR="00C05B4C" w:rsidRPr="00C05B4C">
        <w:rPr>
          <w:rFonts w:ascii="Arial" w:hAnsi="Arial" w:cs="Arial"/>
          <w:i/>
        </w:rPr>
        <w:t>OFHPA</w:t>
      </w:r>
      <w:r w:rsidR="00C05B4C" w:rsidRPr="00C05B4C">
        <w:rPr>
          <w:rFonts w:ascii="Arial" w:hAnsi="Arial" w:cs="Arial"/>
        </w:rPr>
        <w:t>,</w:t>
      </w:r>
      <w:r w:rsidR="009D0C1B" w:rsidRPr="00C05B4C">
        <w:rPr>
          <w:rFonts w:ascii="Arial" w:eastAsia="+mn-ea" w:hAnsi="Arial" w:cs="Arial"/>
          <w:spacing w:val="-1"/>
          <w:kern w:val="24"/>
        </w:rPr>
        <w:t xml:space="preserve"> </w:t>
      </w:r>
      <w:r w:rsidR="00F50C06" w:rsidRPr="00C05B4C">
        <w:rPr>
          <w:rFonts w:ascii="Arial" w:eastAsia="+mn-ea" w:hAnsi="Arial" w:cs="Arial"/>
          <w:spacing w:val="-1"/>
          <w:kern w:val="24"/>
        </w:rPr>
        <w:t xml:space="preserve">which </w:t>
      </w:r>
      <w:r w:rsidR="009D0C1B" w:rsidRPr="00C05B4C">
        <w:rPr>
          <w:rFonts w:ascii="Arial" w:eastAsia="+mn-ea" w:hAnsi="Arial" w:cs="Arial"/>
          <w:spacing w:val="-1"/>
          <w:kern w:val="24"/>
        </w:rPr>
        <w:t>enables GA refinancing</w:t>
      </w:r>
      <w:r w:rsidR="00CD0EF5" w:rsidRPr="00C05B4C">
        <w:rPr>
          <w:rFonts w:ascii="Arial" w:eastAsia="+mn-ea" w:hAnsi="Arial" w:cs="Arial"/>
          <w:spacing w:val="-1"/>
          <w:kern w:val="24"/>
        </w:rPr>
        <w:t xml:space="preserve"> </w:t>
      </w:r>
      <w:r w:rsidR="009D0C1B" w:rsidRPr="00C05B4C">
        <w:rPr>
          <w:rFonts w:ascii="Arial" w:eastAsia="+mn-ea" w:hAnsi="Arial" w:cs="Arial"/>
          <w:spacing w:val="-1"/>
          <w:kern w:val="24"/>
        </w:rPr>
        <w:t xml:space="preserve">and </w:t>
      </w:r>
      <w:r w:rsidR="00CD0EF5" w:rsidRPr="00C05B4C">
        <w:rPr>
          <w:rFonts w:ascii="Arial" w:eastAsia="+mn-ea" w:hAnsi="Arial" w:cs="Arial"/>
          <w:spacing w:val="-1"/>
          <w:kern w:val="24"/>
        </w:rPr>
        <w:t>respond</w:t>
      </w:r>
      <w:r w:rsidR="009D0C1B" w:rsidRPr="00C05B4C">
        <w:rPr>
          <w:rFonts w:ascii="Arial" w:eastAsia="+mn-ea" w:hAnsi="Arial" w:cs="Arial"/>
          <w:spacing w:val="-1"/>
          <w:kern w:val="24"/>
        </w:rPr>
        <w:t>s</w:t>
      </w:r>
      <w:r w:rsidR="00CD0EF5" w:rsidRPr="00C05B4C">
        <w:rPr>
          <w:rFonts w:ascii="Arial" w:eastAsia="+mn-ea" w:hAnsi="Arial" w:cs="Arial"/>
          <w:spacing w:val="-1"/>
          <w:kern w:val="24"/>
        </w:rPr>
        <w:t xml:space="preserve"> to the financing, accounting and legal </w:t>
      </w:r>
      <w:r w:rsidR="007F2AB9" w:rsidRPr="00C05B4C">
        <w:rPr>
          <w:rFonts w:ascii="Arial" w:eastAsia="+mn-ea" w:hAnsi="Arial" w:cs="Arial"/>
          <w:spacing w:val="-1"/>
          <w:kern w:val="24"/>
        </w:rPr>
        <w:t xml:space="preserve">issues </w:t>
      </w:r>
      <w:r w:rsidR="00C70619" w:rsidRPr="00C05B4C">
        <w:rPr>
          <w:rFonts w:ascii="Arial" w:eastAsia="+mn-ea" w:hAnsi="Arial" w:cs="Arial"/>
          <w:spacing w:val="-1"/>
          <w:kern w:val="24"/>
        </w:rPr>
        <w:t>outlined in the March 1</w:t>
      </w:r>
      <w:r w:rsidR="00CD0EF5" w:rsidRPr="00C05B4C">
        <w:rPr>
          <w:rFonts w:ascii="Arial" w:eastAsia="+mn-ea" w:hAnsi="Arial" w:cs="Arial"/>
          <w:spacing w:val="-1"/>
          <w:kern w:val="24"/>
        </w:rPr>
        <w:t xml:space="preserve">, 2017 </w:t>
      </w:r>
      <w:r w:rsidR="007F2AB9" w:rsidRPr="00C05B4C">
        <w:rPr>
          <w:rFonts w:ascii="Arial" w:eastAsia="+mn-ea" w:hAnsi="Arial" w:cs="Arial"/>
          <w:spacing w:val="-1"/>
          <w:kern w:val="24"/>
        </w:rPr>
        <w:t>Cabinet Submission</w:t>
      </w:r>
      <w:r w:rsidRPr="00C05B4C">
        <w:rPr>
          <w:rFonts w:ascii="Arial" w:eastAsia="+mn-ea" w:hAnsi="Arial" w:cs="Arial"/>
          <w:spacing w:val="-1"/>
          <w:kern w:val="24"/>
        </w:rPr>
        <w:t xml:space="preserve">, received Royal </w:t>
      </w:r>
      <w:r w:rsidR="00C05B4C" w:rsidRPr="00C05B4C">
        <w:rPr>
          <w:rFonts w:ascii="Arial" w:eastAsia="+mn-ea" w:hAnsi="Arial" w:cs="Arial"/>
          <w:spacing w:val="-1"/>
          <w:kern w:val="24"/>
        </w:rPr>
        <w:t>assent.</w:t>
      </w:r>
      <w:r w:rsidR="00CD0EF5" w:rsidRPr="00C05B4C">
        <w:rPr>
          <w:rFonts w:ascii="Arial" w:eastAsia="+mn-ea" w:hAnsi="Arial" w:cs="Arial"/>
          <w:spacing w:val="-1"/>
          <w:kern w:val="24"/>
        </w:rPr>
        <w:t xml:space="preserve">  Note:  The Ministry </w:t>
      </w:r>
      <w:r w:rsidR="009D0C1B" w:rsidRPr="00C05B4C">
        <w:rPr>
          <w:rFonts w:ascii="Arial" w:eastAsia="+mn-ea" w:hAnsi="Arial" w:cs="Arial"/>
          <w:spacing w:val="-1"/>
          <w:kern w:val="24"/>
        </w:rPr>
        <w:t>has</w:t>
      </w:r>
      <w:r w:rsidR="00CD0EF5" w:rsidRPr="00C05B4C">
        <w:rPr>
          <w:rFonts w:ascii="Arial" w:eastAsia="+mn-ea" w:hAnsi="Arial" w:cs="Arial"/>
          <w:spacing w:val="-1"/>
          <w:kern w:val="24"/>
        </w:rPr>
        <w:t xml:space="preserve"> also prepar</w:t>
      </w:r>
      <w:r w:rsidR="009D0C1B" w:rsidRPr="00C05B4C">
        <w:rPr>
          <w:rFonts w:ascii="Arial" w:eastAsia="+mn-ea" w:hAnsi="Arial" w:cs="Arial"/>
          <w:spacing w:val="-1"/>
          <w:kern w:val="24"/>
        </w:rPr>
        <w:t>ed</w:t>
      </w:r>
      <w:r w:rsidR="00CD0EF5" w:rsidRPr="00C05B4C">
        <w:rPr>
          <w:rFonts w:ascii="Arial" w:eastAsia="+mn-ea" w:hAnsi="Arial" w:cs="Arial"/>
          <w:spacing w:val="-1"/>
          <w:kern w:val="24"/>
        </w:rPr>
        <w:t xml:space="preserve"> regulations</w:t>
      </w:r>
      <w:r w:rsidR="00432A23" w:rsidRPr="00C05B4C">
        <w:rPr>
          <w:rFonts w:ascii="Arial" w:eastAsia="+mn-ea" w:hAnsi="Arial" w:cs="Arial"/>
          <w:spacing w:val="-1"/>
          <w:kern w:val="24"/>
        </w:rPr>
        <w:t xml:space="preserve"> to support implementation</w:t>
      </w:r>
      <w:r w:rsidR="00F50C06" w:rsidRPr="00C05B4C">
        <w:rPr>
          <w:rFonts w:ascii="Arial" w:eastAsia="+mn-ea" w:hAnsi="Arial" w:cs="Arial"/>
          <w:spacing w:val="-1"/>
          <w:kern w:val="24"/>
        </w:rPr>
        <w:t xml:space="preserve"> (as noted above)</w:t>
      </w:r>
      <w:r w:rsidR="00CD0EF5" w:rsidRPr="00C05B4C">
        <w:rPr>
          <w:rFonts w:ascii="Arial" w:eastAsia="+mn-ea" w:hAnsi="Arial" w:cs="Arial"/>
          <w:spacing w:val="-1"/>
          <w:kern w:val="24"/>
        </w:rPr>
        <w:t xml:space="preserve">; </w:t>
      </w:r>
    </w:p>
    <w:p w:rsidR="00BC51D7" w:rsidRPr="00CE63C3" w:rsidRDefault="00BC51D7" w:rsidP="00760E40">
      <w:pPr>
        <w:ind w:right="14"/>
        <w:rPr>
          <w:rFonts w:ascii="Arial" w:hAnsi="Arial" w:cs="Arial"/>
        </w:rPr>
      </w:pPr>
    </w:p>
    <w:p w:rsidR="00DF73D9" w:rsidRDefault="00DF73D9" w:rsidP="00B517C1">
      <w:pPr>
        <w:pStyle w:val="ListParagraph"/>
        <w:numPr>
          <w:ilvl w:val="0"/>
          <w:numId w:val="37"/>
        </w:numPr>
        <w:ind w:left="720" w:right="14"/>
        <w:rPr>
          <w:rFonts w:ascii="Arial" w:eastAsia="+mn-ea" w:hAnsi="Arial" w:cs="Arial"/>
          <w:spacing w:val="-1"/>
          <w:kern w:val="24"/>
        </w:rPr>
      </w:pPr>
      <w:r>
        <w:rPr>
          <w:rFonts w:ascii="Arial" w:eastAsia="+mn-ea" w:hAnsi="Arial" w:cs="Arial"/>
          <w:spacing w:val="-1"/>
          <w:kern w:val="24"/>
        </w:rPr>
        <w:t xml:space="preserve">Received accounting opinions from </w:t>
      </w:r>
      <w:r w:rsidR="00BC51D7" w:rsidRPr="00CE63C3">
        <w:rPr>
          <w:rFonts w:ascii="Arial" w:eastAsia="+mn-ea" w:hAnsi="Arial" w:cs="Arial"/>
          <w:spacing w:val="-1"/>
          <w:kern w:val="24"/>
        </w:rPr>
        <w:t xml:space="preserve">E&amp;Y (OPG) </w:t>
      </w:r>
      <w:r>
        <w:rPr>
          <w:rFonts w:ascii="Arial" w:eastAsia="+mn-ea" w:hAnsi="Arial" w:cs="Arial"/>
          <w:spacing w:val="-1"/>
          <w:kern w:val="24"/>
        </w:rPr>
        <w:t xml:space="preserve">and </w:t>
      </w:r>
      <w:r w:rsidR="00BC51D7" w:rsidRPr="00CE63C3">
        <w:rPr>
          <w:rFonts w:ascii="Arial" w:eastAsia="+mn-ea" w:hAnsi="Arial" w:cs="Arial"/>
          <w:spacing w:val="-1"/>
          <w:kern w:val="24"/>
        </w:rPr>
        <w:t>KPMG (IESO)</w:t>
      </w:r>
      <w:r>
        <w:rPr>
          <w:rFonts w:ascii="Arial" w:eastAsia="+mn-ea" w:hAnsi="Arial" w:cs="Arial"/>
          <w:spacing w:val="-1"/>
          <w:kern w:val="24"/>
        </w:rPr>
        <w:t>;</w:t>
      </w:r>
    </w:p>
    <w:p w:rsidR="00DF73D9" w:rsidRPr="001B216C" w:rsidRDefault="00DF73D9" w:rsidP="001B216C">
      <w:pPr>
        <w:pStyle w:val="ListParagraph"/>
        <w:rPr>
          <w:rFonts w:ascii="Arial" w:eastAsia="+mn-ea" w:hAnsi="Arial" w:cs="Arial"/>
          <w:spacing w:val="-1"/>
          <w:kern w:val="24"/>
        </w:rPr>
      </w:pPr>
    </w:p>
    <w:p w:rsidR="00BC51D7" w:rsidRPr="00CE63C3" w:rsidRDefault="00DF73D9" w:rsidP="00B517C1">
      <w:pPr>
        <w:pStyle w:val="ListParagraph"/>
        <w:numPr>
          <w:ilvl w:val="0"/>
          <w:numId w:val="37"/>
        </w:numPr>
        <w:ind w:left="720" w:right="14"/>
        <w:rPr>
          <w:rFonts w:ascii="Arial" w:eastAsia="+mn-ea" w:hAnsi="Arial" w:cs="Arial"/>
          <w:spacing w:val="-1"/>
          <w:kern w:val="24"/>
        </w:rPr>
      </w:pPr>
      <w:r>
        <w:rPr>
          <w:rFonts w:ascii="Arial" w:eastAsia="+mn-ea" w:hAnsi="Arial" w:cs="Arial"/>
          <w:spacing w:val="-1"/>
          <w:kern w:val="24"/>
        </w:rPr>
        <w:t>Received</w:t>
      </w:r>
      <w:r w:rsidRPr="00CE63C3">
        <w:rPr>
          <w:rFonts w:ascii="Arial" w:eastAsia="+mn-ea" w:hAnsi="Arial" w:cs="Arial"/>
          <w:spacing w:val="-1"/>
          <w:kern w:val="24"/>
        </w:rPr>
        <w:t xml:space="preserve"> independent advice regarding fin</w:t>
      </w:r>
      <w:r>
        <w:rPr>
          <w:rFonts w:ascii="Arial" w:eastAsia="+mn-ea" w:hAnsi="Arial" w:cs="Arial"/>
          <w:spacing w:val="-1"/>
          <w:kern w:val="24"/>
        </w:rPr>
        <w:t>ancing</w:t>
      </w:r>
      <w:r w:rsidRPr="00CE63C3">
        <w:rPr>
          <w:rFonts w:ascii="Arial" w:eastAsia="+mn-ea" w:hAnsi="Arial" w:cs="Arial"/>
          <w:spacing w:val="-1"/>
          <w:kern w:val="24"/>
        </w:rPr>
        <w:t xml:space="preserve"> and legal requirements from </w:t>
      </w:r>
      <w:r w:rsidR="00BC51D7" w:rsidRPr="00CE63C3">
        <w:rPr>
          <w:rFonts w:ascii="Arial" w:eastAsia="+mn-ea" w:hAnsi="Arial" w:cs="Arial"/>
          <w:spacing w:val="-1"/>
          <w:kern w:val="24"/>
        </w:rPr>
        <w:t xml:space="preserve">TD </w:t>
      </w:r>
      <w:r w:rsidR="00E32C78" w:rsidRPr="00CE63C3">
        <w:rPr>
          <w:rFonts w:ascii="Arial" w:eastAsia="+mn-ea" w:hAnsi="Arial" w:cs="Arial"/>
          <w:spacing w:val="-1"/>
          <w:kern w:val="24"/>
        </w:rPr>
        <w:t xml:space="preserve">Securities </w:t>
      </w:r>
      <w:r w:rsidR="00BC51D7" w:rsidRPr="00CE63C3">
        <w:rPr>
          <w:rFonts w:ascii="Arial" w:eastAsia="+mn-ea" w:hAnsi="Arial" w:cs="Arial"/>
          <w:spacing w:val="-1"/>
          <w:kern w:val="24"/>
        </w:rPr>
        <w:t xml:space="preserve">(OFA) and Blakes (ENERGY); </w:t>
      </w:r>
      <w:r w:rsidR="00837CDF">
        <w:rPr>
          <w:rFonts w:ascii="Arial" w:eastAsia="+mn-ea" w:hAnsi="Arial" w:cs="Arial"/>
          <w:spacing w:val="-1"/>
          <w:kern w:val="24"/>
        </w:rPr>
        <w:t>and</w:t>
      </w:r>
    </w:p>
    <w:p w:rsidR="00D665BE" w:rsidRPr="00CE63C3" w:rsidRDefault="00D665BE" w:rsidP="00760E40">
      <w:pPr>
        <w:ind w:right="14"/>
        <w:rPr>
          <w:rFonts w:ascii="Arial" w:eastAsia="+mn-ea" w:hAnsi="Arial" w:cs="Arial"/>
          <w:spacing w:val="-1"/>
          <w:kern w:val="24"/>
        </w:rPr>
      </w:pPr>
    </w:p>
    <w:p w:rsidR="00CD0EF5" w:rsidRDefault="00CD0EF5" w:rsidP="00B517C1">
      <w:pPr>
        <w:pStyle w:val="ListParagraph"/>
        <w:numPr>
          <w:ilvl w:val="0"/>
          <w:numId w:val="37"/>
        </w:numPr>
        <w:ind w:left="720" w:right="14"/>
        <w:rPr>
          <w:rFonts w:ascii="Arial" w:eastAsia="+mn-ea" w:hAnsi="Arial" w:cs="Arial"/>
          <w:spacing w:val="-1"/>
          <w:kern w:val="24"/>
        </w:rPr>
      </w:pPr>
      <w:r w:rsidRPr="00CE63C3">
        <w:rPr>
          <w:rFonts w:ascii="Arial" w:eastAsia="+mn-ea" w:hAnsi="Arial" w:cs="Arial"/>
          <w:spacing w:val="-1"/>
          <w:kern w:val="24"/>
        </w:rPr>
        <w:t xml:space="preserve">Launched third party </w:t>
      </w:r>
      <w:r w:rsidR="0077209C">
        <w:rPr>
          <w:rFonts w:ascii="Arial" w:eastAsia="+mn-ea" w:hAnsi="Arial" w:cs="Arial"/>
          <w:spacing w:val="-1"/>
          <w:kern w:val="24"/>
        </w:rPr>
        <w:t>technical analysis</w:t>
      </w:r>
      <w:r w:rsidRPr="00CE63C3">
        <w:rPr>
          <w:rFonts w:ascii="Arial" w:eastAsia="+mn-ea" w:hAnsi="Arial" w:cs="Arial"/>
          <w:spacing w:val="-1"/>
          <w:kern w:val="24"/>
        </w:rPr>
        <w:t xml:space="preserve"> to assist with implementation of GA refinancing</w:t>
      </w:r>
      <w:r w:rsidR="00837CDF">
        <w:rPr>
          <w:rFonts w:ascii="Arial" w:eastAsia="+mn-ea" w:hAnsi="Arial" w:cs="Arial"/>
          <w:spacing w:val="-1"/>
          <w:kern w:val="24"/>
        </w:rPr>
        <w:t>.</w:t>
      </w:r>
    </w:p>
    <w:p w:rsidR="00FB0EE7" w:rsidRPr="004544BC" w:rsidRDefault="00FB0EE7" w:rsidP="004544BC">
      <w:pPr>
        <w:pStyle w:val="ListParagraph"/>
        <w:ind w:left="360"/>
        <w:rPr>
          <w:rFonts w:ascii="Arial" w:eastAsia="+mn-ea" w:hAnsi="Arial"/>
          <w:spacing w:val="-1"/>
          <w:kern w:val="24"/>
        </w:rPr>
      </w:pPr>
    </w:p>
    <w:p w:rsidR="00FB0EE7" w:rsidRPr="004544BC" w:rsidRDefault="00FB0EE7" w:rsidP="004544BC">
      <w:pPr>
        <w:ind w:right="14"/>
        <w:rPr>
          <w:rFonts w:ascii="Arial" w:eastAsia="+mn-ea" w:hAnsi="Arial"/>
          <w:spacing w:val="-1"/>
          <w:kern w:val="24"/>
        </w:rPr>
      </w:pPr>
    </w:p>
    <w:p w:rsidR="00254625" w:rsidRPr="004544BC" w:rsidRDefault="00041BC1" w:rsidP="004544BC">
      <w:pPr>
        <w:pStyle w:val="ListParagraph"/>
        <w:numPr>
          <w:ilvl w:val="0"/>
          <w:numId w:val="24"/>
        </w:numPr>
        <w:rPr>
          <w:rFonts w:ascii="Arial" w:hAnsi="Arial"/>
          <w:b/>
          <w:lang w:val="en-US"/>
        </w:rPr>
      </w:pPr>
      <w:r w:rsidRPr="004544BC">
        <w:rPr>
          <w:rFonts w:ascii="Arial" w:hAnsi="Arial" w:cs="Arial"/>
          <w:b/>
          <w:lang w:val="en-US"/>
        </w:rPr>
        <w:t>Increasing social assistance clients’ enrolment into the Ontario Electricity Support Program (OESP)</w:t>
      </w:r>
    </w:p>
    <w:p w:rsidR="00770687" w:rsidRPr="00CE63C3" w:rsidRDefault="00770687" w:rsidP="00770687">
      <w:pPr>
        <w:rPr>
          <w:rFonts w:ascii="Arial" w:hAnsi="Arial" w:cs="Arial"/>
        </w:rPr>
      </w:pPr>
    </w:p>
    <w:p w:rsidR="00FF6C25" w:rsidRPr="00AD1460" w:rsidRDefault="00FF6C25" w:rsidP="00FF6C25">
      <w:pPr>
        <w:numPr>
          <w:ilvl w:val="0"/>
          <w:numId w:val="57"/>
        </w:numPr>
        <w:rPr>
          <w:rFonts w:ascii="Arial" w:hAnsi="Arial" w:cs="Arial"/>
          <w:lang w:val="en-US"/>
        </w:rPr>
      </w:pPr>
      <w:r w:rsidRPr="00AD1460">
        <w:rPr>
          <w:rFonts w:ascii="Arial" w:hAnsi="Arial" w:cs="Arial"/>
          <w:lang w:val="en-US"/>
        </w:rPr>
        <w:t>The proposed amendments to O. Reg. 314/15 will facilitate the processing of OESP applications by MCSS on behalf of SA clients pursuant to an agreement with the Minister or the OEB,   and help meet the government’s goal of substantially increasing uptake in the OESP.  Proposed amendments include:</w:t>
      </w:r>
    </w:p>
    <w:p w:rsidR="00FF6C25" w:rsidRPr="00AD1460" w:rsidRDefault="00FF6C25" w:rsidP="00FF6C25">
      <w:pPr>
        <w:ind w:left="1440"/>
        <w:rPr>
          <w:rFonts w:ascii="Arial" w:hAnsi="Arial" w:cs="Arial"/>
          <w:lang w:val="en-US"/>
        </w:rPr>
      </w:pPr>
    </w:p>
    <w:p w:rsidR="00FF6C25" w:rsidRPr="00AD1460" w:rsidRDefault="00FF6C25" w:rsidP="00FF6C25">
      <w:pPr>
        <w:numPr>
          <w:ilvl w:val="1"/>
          <w:numId w:val="57"/>
        </w:numPr>
        <w:spacing w:after="120"/>
        <w:rPr>
          <w:rFonts w:ascii="Arial" w:hAnsi="Arial" w:cs="Arial"/>
          <w:lang w:val="en-US"/>
        </w:rPr>
      </w:pPr>
      <w:r w:rsidRPr="00AD1460">
        <w:rPr>
          <w:rFonts w:ascii="Arial" w:hAnsi="Arial" w:cs="Arial"/>
          <w:lang w:val="en-US"/>
        </w:rPr>
        <w:t>Changes to the OESP eligibility definitions when MCSS is processing applications on behalf of SA clients that would make household size and household income – the two main criteria for determining OESP eligibility –consistent with the criteria that MCSS uses to determine financial eligibility for social assistance.  These changes are needed because there are minor differences in how eligibility is determined between SA programs and the OESP.</w:t>
      </w:r>
    </w:p>
    <w:p w:rsidR="00FF6C25" w:rsidRPr="00AD1460" w:rsidRDefault="00FF6C25" w:rsidP="00FF6C25">
      <w:pPr>
        <w:numPr>
          <w:ilvl w:val="1"/>
          <w:numId w:val="57"/>
        </w:numPr>
        <w:spacing w:after="120"/>
        <w:rPr>
          <w:rFonts w:ascii="Arial" w:hAnsi="Arial" w:cs="Arial"/>
          <w:lang w:val="en-US"/>
        </w:rPr>
      </w:pPr>
      <w:r w:rsidRPr="00AD1460">
        <w:rPr>
          <w:rFonts w:ascii="Arial" w:hAnsi="Arial" w:cs="Arial"/>
          <w:lang w:val="en-US"/>
        </w:rPr>
        <w:t>Recognizing the “benefit unit” as eligible for OESP, such that a current or new SA client who is not the utility account holder, but is part of an account holder’s benefit unit, can still receive support from MCSS to apply to the OESP.</w:t>
      </w:r>
    </w:p>
    <w:p w:rsidR="00FF6C25" w:rsidRPr="00AD1460" w:rsidRDefault="00FF6C25" w:rsidP="00FF6C25">
      <w:pPr>
        <w:numPr>
          <w:ilvl w:val="1"/>
          <w:numId w:val="57"/>
        </w:numPr>
        <w:spacing w:after="120"/>
        <w:rPr>
          <w:rFonts w:ascii="Arial" w:hAnsi="Arial" w:cs="Arial"/>
          <w:lang w:val="en-US"/>
        </w:rPr>
      </w:pPr>
      <w:r w:rsidRPr="00AD1460">
        <w:rPr>
          <w:rFonts w:ascii="Arial" w:hAnsi="Arial" w:cs="Arial"/>
          <w:lang w:val="en-US"/>
        </w:rPr>
        <w:t>Addressing current and future scenarios where those deemed financially eligible for SA fall outside of the current OESP eligibility categories.  Proposed amendments to Schedule 1 would ensure that anyone deemed financially eligible for social assistance (and is part of a benefit unit that is billed directly for electricity) would also be eligible for OESP.</w:t>
      </w:r>
    </w:p>
    <w:p w:rsidR="00041BC1" w:rsidRPr="00AD1460" w:rsidRDefault="00041BC1" w:rsidP="00041BC1">
      <w:pPr>
        <w:numPr>
          <w:ilvl w:val="0"/>
          <w:numId w:val="57"/>
        </w:numPr>
        <w:spacing w:after="120"/>
        <w:rPr>
          <w:rFonts w:ascii="Arial" w:hAnsi="Arial" w:cs="Arial"/>
        </w:rPr>
      </w:pPr>
      <w:r w:rsidRPr="00AD1460">
        <w:rPr>
          <w:rFonts w:ascii="Arial" w:hAnsi="Arial" w:cs="Arial"/>
        </w:rPr>
        <w:t>The proposed amendments O. Reg. 314/15 (Ontario Electricity Support Program) made under the OEBA are needed to implement the changes to the Ontario Electricity Support Program (OESP), under Ontario’s Fair Hydro Plan (OFHP), as enacted under the FHA. The proposed amendments support the implementation strategy to increase enrolment of social assistance clients’ into the OESP.</w:t>
      </w:r>
    </w:p>
    <w:p w:rsidR="00770687" w:rsidRPr="00CE63C3" w:rsidRDefault="00770687" w:rsidP="00770687">
      <w:pPr>
        <w:ind w:left="360"/>
        <w:rPr>
          <w:rFonts w:ascii="Arial" w:hAnsi="Arial" w:cs="Arial"/>
          <w:i/>
          <w:lang w:val="en-US"/>
        </w:rPr>
      </w:pPr>
      <w:r w:rsidRPr="00CE63C3">
        <w:rPr>
          <w:rFonts w:ascii="Arial" w:hAnsi="Arial" w:cs="Arial"/>
          <w:i/>
          <w:lang w:val="en-US"/>
        </w:rPr>
        <w:t xml:space="preserve">Rural or Remote Rate Protection </w:t>
      </w:r>
    </w:p>
    <w:p w:rsidR="00770687" w:rsidRPr="00CE63C3" w:rsidRDefault="00770687" w:rsidP="00770687">
      <w:pPr>
        <w:rPr>
          <w:rFonts w:ascii="Arial" w:hAnsi="Arial" w:cs="Arial"/>
          <w:lang w:val="en-US"/>
        </w:rPr>
      </w:pPr>
    </w:p>
    <w:p w:rsidR="00770687" w:rsidRPr="00CE63C3" w:rsidRDefault="00770687" w:rsidP="00770687">
      <w:pPr>
        <w:ind w:left="360"/>
        <w:rPr>
          <w:rFonts w:ascii="Arial" w:hAnsi="Arial" w:cs="Arial"/>
        </w:rPr>
      </w:pPr>
      <w:r w:rsidRPr="00CE63C3">
        <w:rPr>
          <w:rFonts w:ascii="Arial" w:hAnsi="Arial" w:cs="Arial"/>
        </w:rPr>
        <w:t>Rural or Remote Rate Protection (RRRP) mitigates some of the high costs of electricity distribution in rural or remote areas of the Province. It is a legacy program of the old Ontario Hydro and has existed in its current form since 2001.</w:t>
      </w:r>
    </w:p>
    <w:p w:rsidR="00770687" w:rsidRPr="00CE63C3" w:rsidRDefault="00770687" w:rsidP="00770687">
      <w:pPr>
        <w:rPr>
          <w:rFonts w:ascii="Arial" w:hAnsi="Arial" w:cs="Arial"/>
        </w:rPr>
      </w:pPr>
    </w:p>
    <w:p w:rsidR="00770687" w:rsidRPr="00CE63C3" w:rsidRDefault="00770687" w:rsidP="00760E40">
      <w:pPr>
        <w:ind w:left="360"/>
        <w:rPr>
          <w:rFonts w:ascii="Arial" w:hAnsi="Arial" w:cs="Arial"/>
        </w:rPr>
      </w:pPr>
      <w:r w:rsidRPr="00CE63C3">
        <w:rPr>
          <w:rFonts w:ascii="Arial" w:hAnsi="Arial" w:cs="Arial"/>
        </w:rPr>
        <w:t xml:space="preserve">The </w:t>
      </w:r>
      <w:r w:rsidR="00C61424">
        <w:rPr>
          <w:rFonts w:ascii="Arial" w:hAnsi="Arial" w:cs="Arial"/>
        </w:rPr>
        <w:t xml:space="preserve">new </w:t>
      </w:r>
      <w:r w:rsidRPr="00CE63C3">
        <w:rPr>
          <w:rFonts w:ascii="Arial" w:hAnsi="Arial" w:cs="Arial"/>
        </w:rPr>
        <w:t>legislat</w:t>
      </w:r>
      <w:r w:rsidR="00C61424">
        <w:rPr>
          <w:rFonts w:ascii="Arial" w:hAnsi="Arial" w:cs="Arial"/>
        </w:rPr>
        <w:t>ion</w:t>
      </w:r>
      <w:r w:rsidRPr="00CE63C3">
        <w:rPr>
          <w:rFonts w:ascii="Arial" w:hAnsi="Arial" w:cs="Arial"/>
        </w:rPr>
        <w:t xml:space="preserve"> enables, through regulation, the transfer of the costs of funding the program for Hydro One’s R2 customers from the rate-base to the tax-base for prescribed customers.  </w:t>
      </w:r>
      <w:r w:rsidR="00AD3D9B">
        <w:rPr>
          <w:rFonts w:ascii="Arial" w:hAnsi="Arial" w:cs="Arial"/>
        </w:rPr>
        <w:t xml:space="preserve">The regulation will also prescribe the monthly amount of rate protection available to Hydro One R2 customers through RRRP.  </w:t>
      </w:r>
      <w:r w:rsidR="00BE6AE7">
        <w:rPr>
          <w:rFonts w:ascii="Arial" w:hAnsi="Arial" w:cs="Arial"/>
        </w:rPr>
        <w:br/>
      </w:r>
    </w:p>
    <w:p w:rsidR="00770687" w:rsidRPr="00CE63C3" w:rsidRDefault="00770687" w:rsidP="00B517C1">
      <w:pPr>
        <w:pStyle w:val="ListParagraph"/>
        <w:numPr>
          <w:ilvl w:val="0"/>
          <w:numId w:val="22"/>
        </w:numPr>
        <w:rPr>
          <w:rFonts w:ascii="Arial" w:hAnsi="Arial" w:cs="Arial"/>
        </w:rPr>
      </w:pPr>
      <w:r w:rsidRPr="00CE63C3">
        <w:rPr>
          <w:rFonts w:ascii="Arial" w:hAnsi="Arial" w:cs="Arial"/>
        </w:rPr>
        <w:t>R2 customers are those customers of Hydro One classified as living in the lowest density areas of the Province.</w:t>
      </w:r>
    </w:p>
    <w:p w:rsidR="00E32C78" w:rsidRPr="00F50C06" w:rsidRDefault="00770687" w:rsidP="00F50C06">
      <w:pPr>
        <w:rPr>
          <w:rFonts w:ascii="Arial" w:hAnsi="Arial" w:cs="Arial"/>
        </w:rPr>
      </w:pPr>
      <w:r w:rsidRPr="00CE63C3">
        <w:rPr>
          <w:rFonts w:ascii="Arial" w:hAnsi="Arial" w:cs="Arial"/>
        </w:rPr>
        <w:tab/>
      </w:r>
    </w:p>
    <w:p w:rsidR="00770687" w:rsidRPr="00CE63C3" w:rsidRDefault="00770687" w:rsidP="00770687">
      <w:pPr>
        <w:ind w:left="360"/>
        <w:rPr>
          <w:rFonts w:ascii="Arial" w:hAnsi="Arial" w:cs="Arial"/>
          <w:i/>
          <w:lang w:val="en-US"/>
        </w:rPr>
      </w:pPr>
      <w:r w:rsidRPr="00CE63C3">
        <w:rPr>
          <w:rFonts w:ascii="Arial" w:hAnsi="Arial" w:cs="Arial"/>
          <w:i/>
          <w:lang w:val="en-US"/>
        </w:rPr>
        <w:t xml:space="preserve">Distribution Rate Protection </w:t>
      </w:r>
    </w:p>
    <w:p w:rsidR="00770687" w:rsidRPr="00CE63C3" w:rsidRDefault="00770687" w:rsidP="00770687">
      <w:pPr>
        <w:rPr>
          <w:rFonts w:ascii="Arial" w:hAnsi="Arial" w:cs="Arial"/>
          <w:lang w:val="en-US"/>
        </w:rPr>
      </w:pPr>
    </w:p>
    <w:p w:rsidR="00770687" w:rsidRPr="00CE63C3" w:rsidRDefault="00770687" w:rsidP="00770687">
      <w:pPr>
        <w:ind w:left="360"/>
        <w:rPr>
          <w:rFonts w:ascii="Arial" w:hAnsi="Arial" w:cs="Arial"/>
        </w:rPr>
      </w:pPr>
      <w:r w:rsidRPr="00CE63C3">
        <w:rPr>
          <w:rFonts w:ascii="Arial" w:hAnsi="Arial" w:cs="Arial"/>
        </w:rPr>
        <w:t xml:space="preserve">While the RRRP program helps mitigate some of the higher distribution costs for Hydro One R2 customers, as well as certain customers served by Algoma Power, Hydro One Remote Communities and James Bay First Nation LDCs, there is an opportunity to provide further relief to consumers served by higher distribution cost LDCs. </w:t>
      </w:r>
    </w:p>
    <w:p w:rsidR="00770687" w:rsidRPr="00CE63C3" w:rsidRDefault="00770687" w:rsidP="00770687">
      <w:pPr>
        <w:rPr>
          <w:rFonts w:ascii="Arial" w:hAnsi="Arial" w:cs="Arial"/>
        </w:rPr>
      </w:pPr>
    </w:p>
    <w:p w:rsidR="00770687" w:rsidRPr="00CE63C3" w:rsidRDefault="005B48DD" w:rsidP="00770687">
      <w:pPr>
        <w:ind w:left="360"/>
        <w:rPr>
          <w:rFonts w:ascii="Arial" w:hAnsi="Arial" w:cs="Arial"/>
        </w:rPr>
      </w:pPr>
      <w:r>
        <w:rPr>
          <w:rFonts w:ascii="Arial" w:hAnsi="Arial" w:cs="Arial"/>
        </w:rPr>
        <w:t xml:space="preserve">The new </w:t>
      </w:r>
      <w:r w:rsidR="00770687" w:rsidRPr="00CE63C3">
        <w:rPr>
          <w:rFonts w:ascii="Arial" w:hAnsi="Arial" w:cs="Arial"/>
        </w:rPr>
        <w:t>legislation enable</w:t>
      </w:r>
      <w:r>
        <w:rPr>
          <w:rFonts w:ascii="Arial" w:hAnsi="Arial" w:cs="Arial"/>
        </w:rPr>
        <w:t>s</w:t>
      </w:r>
      <w:r w:rsidR="00770687" w:rsidRPr="00CE63C3">
        <w:rPr>
          <w:rFonts w:ascii="Arial" w:hAnsi="Arial" w:cs="Arial"/>
        </w:rPr>
        <w:t xml:space="preserve"> tax-based funding to support distribution rate protection for prescribed residential customers of LDCs with high-cost distribution rates.  </w:t>
      </w:r>
      <w:r w:rsidR="00BB0208">
        <w:rPr>
          <w:rFonts w:ascii="Arial" w:hAnsi="Arial" w:cs="Arial"/>
        </w:rPr>
        <w:t>E</w:t>
      </w:r>
      <w:r w:rsidR="00770687" w:rsidRPr="00CE63C3">
        <w:rPr>
          <w:rFonts w:ascii="Arial" w:hAnsi="Arial" w:cs="Arial"/>
        </w:rPr>
        <w:t xml:space="preserve">ight high-distribution cost LDCs whose customers are eligible customers will be prescribed in regulation. Residential customers of Algoma Power and Hydro One R2 customers would be eligible for additional relief as these LDCs are the highest cost distributors in the province (as well as six additional higher-distribution cost LDCs).   </w:t>
      </w:r>
    </w:p>
    <w:p w:rsidR="00770687" w:rsidRPr="00CE63C3" w:rsidRDefault="00770687" w:rsidP="00B517C1">
      <w:pPr>
        <w:numPr>
          <w:ilvl w:val="1"/>
          <w:numId w:val="20"/>
        </w:numPr>
        <w:rPr>
          <w:rFonts w:ascii="Arial" w:hAnsi="Arial" w:cs="Arial"/>
        </w:rPr>
      </w:pPr>
    </w:p>
    <w:p w:rsidR="00770687" w:rsidRPr="00CE63C3" w:rsidRDefault="005B48DD" w:rsidP="00770687">
      <w:pPr>
        <w:ind w:left="360"/>
        <w:rPr>
          <w:rFonts w:ascii="Arial" w:hAnsi="Arial" w:cs="Arial"/>
        </w:rPr>
      </w:pPr>
      <w:r>
        <w:rPr>
          <w:rFonts w:ascii="Arial" w:hAnsi="Arial" w:cs="Arial"/>
        </w:rPr>
        <w:t xml:space="preserve">The regulation </w:t>
      </w:r>
      <w:r w:rsidR="00BB0208">
        <w:rPr>
          <w:rFonts w:ascii="Arial" w:hAnsi="Arial" w:cs="Arial"/>
        </w:rPr>
        <w:t xml:space="preserve">will </w:t>
      </w:r>
      <w:r>
        <w:rPr>
          <w:rFonts w:ascii="Arial" w:hAnsi="Arial" w:cs="Arial"/>
        </w:rPr>
        <w:t xml:space="preserve">set out </w:t>
      </w:r>
      <w:r w:rsidR="00BB0208">
        <w:rPr>
          <w:rFonts w:ascii="Arial" w:hAnsi="Arial" w:cs="Arial"/>
        </w:rPr>
        <w:t>a</w:t>
      </w:r>
      <w:r>
        <w:rPr>
          <w:rFonts w:ascii="Arial" w:hAnsi="Arial" w:cs="Arial"/>
        </w:rPr>
        <w:t xml:space="preserve"> pr</w:t>
      </w:r>
      <w:r w:rsidR="00606354">
        <w:rPr>
          <w:rFonts w:ascii="Arial" w:hAnsi="Arial" w:cs="Arial"/>
        </w:rPr>
        <w:t>ocess that the OEB will utilize</w:t>
      </w:r>
      <w:r>
        <w:rPr>
          <w:rFonts w:ascii="Arial" w:hAnsi="Arial" w:cs="Arial"/>
        </w:rPr>
        <w:t xml:space="preserve"> </w:t>
      </w:r>
      <w:r w:rsidR="00BB0208">
        <w:rPr>
          <w:rFonts w:ascii="Arial" w:hAnsi="Arial" w:cs="Arial"/>
        </w:rPr>
        <w:t>to determine</w:t>
      </w:r>
      <w:r>
        <w:rPr>
          <w:rFonts w:ascii="Arial" w:hAnsi="Arial" w:cs="Arial"/>
        </w:rPr>
        <w:t xml:space="preserve"> the maximum monthly distribution charge</w:t>
      </w:r>
      <w:r w:rsidR="00BB0208">
        <w:rPr>
          <w:rFonts w:ascii="Arial" w:hAnsi="Arial" w:cs="Arial"/>
        </w:rPr>
        <w:t xml:space="preserve"> that all prescribed high-cost distributors will charge their customers</w:t>
      </w:r>
      <w:r>
        <w:rPr>
          <w:rFonts w:ascii="Arial" w:hAnsi="Arial" w:cs="Arial"/>
        </w:rPr>
        <w:t xml:space="preserve">.  </w:t>
      </w:r>
      <w:r w:rsidR="00BB0208">
        <w:rPr>
          <w:rFonts w:ascii="Arial" w:hAnsi="Arial" w:cs="Arial"/>
        </w:rPr>
        <w:t>In future years, t</w:t>
      </w:r>
      <w:r>
        <w:rPr>
          <w:rFonts w:ascii="Arial" w:hAnsi="Arial" w:cs="Arial"/>
        </w:rPr>
        <w:t xml:space="preserve">his harmonized monthly charge, by design, cannot decrease as it adjusts to reflect the </w:t>
      </w:r>
      <w:r w:rsidR="00E163E7">
        <w:rPr>
          <w:rFonts w:ascii="Arial" w:hAnsi="Arial" w:cs="Arial"/>
        </w:rPr>
        <w:t>highe</w:t>
      </w:r>
      <w:r w:rsidR="00813A65">
        <w:rPr>
          <w:rFonts w:ascii="Arial" w:hAnsi="Arial" w:cs="Arial"/>
        </w:rPr>
        <w:t xml:space="preserve">r </w:t>
      </w:r>
      <w:r w:rsidR="00BB0208">
        <w:rPr>
          <w:rFonts w:ascii="Arial" w:hAnsi="Arial" w:cs="Arial"/>
        </w:rPr>
        <w:t xml:space="preserve">of </w:t>
      </w:r>
      <w:r w:rsidR="00813A65">
        <w:rPr>
          <w:rFonts w:ascii="Arial" w:hAnsi="Arial" w:cs="Arial"/>
        </w:rPr>
        <w:t xml:space="preserve">either the </w:t>
      </w:r>
      <w:r>
        <w:rPr>
          <w:rFonts w:ascii="Arial" w:hAnsi="Arial" w:cs="Arial"/>
        </w:rPr>
        <w:t xml:space="preserve">lowest rate LDC in the program, </w:t>
      </w:r>
      <w:r w:rsidR="00813A65">
        <w:rPr>
          <w:rFonts w:ascii="Arial" w:hAnsi="Arial" w:cs="Arial"/>
        </w:rPr>
        <w:t xml:space="preserve">or </w:t>
      </w:r>
      <w:r w:rsidR="00BB0208">
        <w:rPr>
          <w:rFonts w:ascii="Arial" w:hAnsi="Arial" w:cs="Arial"/>
        </w:rPr>
        <w:t xml:space="preserve">the maximum monthly charge of the previous year, </w:t>
      </w:r>
      <w:r>
        <w:rPr>
          <w:rFonts w:ascii="Arial" w:hAnsi="Arial" w:cs="Arial"/>
        </w:rPr>
        <w:t xml:space="preserve">as </w:t>
      </w:r>
      <w:r w:rsidR="00BB0208">
        <w:rPr>
          <w:rFonts w:ascii="Arial" w:hAnsi="Arial" w:cs="Arial"/>
        </w:rPr>
        <w:t>determined</w:t>
      </w:r>
      <w:r>
        <w:rPr>
          <w:rFonts w:ascii="Arial" w:hAnsi="Arial" w:cs="Arial"/>
        </w:rPr>
        <w:t xml:space="preserve"> by the OEB. </w:t>
      </w:r>
    </w:p>
    <w:p w:rsidR="0046123B" w:rsidRDefault="0046123B" w:rsidP="00AD1460">
      <w:pPr>
        <w:numPr>
          <w:ilvl w:val="1"/>
          <w:numId w:val="20"/>
        </w:numPr>
        <w:ind w:left="360"/>
        <w:rPr>
          <w:rFonts w:ascii="Arial" w:hAnsi="Arial" w:cs="Arial"/>
          <w:bCs/>
        </w:rPr>
      </w:pPr>
    </w:p>
    <w:p w:rsidR="0046123B" w:rsidRDefault="0046123B" w:rsidP="0046123B">
      <w:pPr>
        <w:ind w:left="360"/>
        <w:rPr>
          <w:rFonts w:ascii="Arial" w:hAnsi="Arial"/>
          <w:i/>
        </w:rPr>
      </w:pPr>
      <w:r w:rsidRPr="00AD1460">
        <w:rPr>
          <w:rFonts w:ascii="Arial" w:hAnsi="Arial"/>
          <w:i/>
        </w:rPr>
        <w:t>Ontario Electricity Support Program (OESP)</w:t>
      </w:r>
    </w:p>
    <w:p w:rsidR="00707D7A" w:rsidRPr="00AD1460" w:rsidRDefault="00707D7A" w:rsidP="0046123B">
      <w:pPr>
        <w:ind w:left="360"/>
        <w:rPr>
          <w:rFonts w:ascii="Arial" w:hAnsi="Arial"/>
          <w:i/>
        </w:rPr>
      </w:pPr>
    </w:p>
    <w:p w:rsidR="0046123B" w:rsidRPr="0046123B" w:rsidRDefault="0046123B" w:rsidP="0046123B">
      <w:pPr>
        <w:ind w:left="360"/>
        <w:rPr>
          <w:rFonts w:ascii="Arial" w:hAnsi="Arial"/>
        </w:rPr>
      </w:pPr>
      <w:r w:rsidRPr="0046123B">
        <w:rPr>
          <w:rFonts w:ascii="Arial" w:hAnsi="Arial"/>
        </w:rPr>
        <w:t>OESP began on January 1, 2016 as a rate-payer funded program to provide relief to low income Ontarians who are struggling to afford their electricity bills.  The OEB administers the program.</w:t>
      </w:r>
    </w:p>
    <w:p w:rsidR="0046123B" w:rsidRPr="0046123B" w:rsidRDefault="0046123B" w:rsidP="0046123B">
      <w:pPr>
        <w:ind w:left="360"/>
        <w:rPr>
          <w:rFonts w:ascii="Arial" w:hAnsi="Arial"/>
        </w:rPr>
      </w:pPr>
    </w:p>
    <w:p w:rsidR="0046123B" w:rsidRPr="0046123B" w:rsidRDefault="0046123B" w:rsidP="0046123B">
      <w:pPr>
        <w:ind w:left="360"/>
        <w:rPr>
          <w:rFonts w:ascii="Arial" w:hAnsi="Arial"/>
        </w:rPr>
      </w:pPr>
      <w:r w:rsidRPr="0046123B">
        <w:rPr>
          <w:rFonts w:ascii="Arial" w:hAnsi="Arial"/>
        </w:rPr>
        <w:t>The Fair Hydro Plan committed to move the program from the rate base to the tax base, and to expand the OESP by increasing the credit amounts by 50 per cent, making more Ontarians eligible for the program, and aligning the OESP with other social assistance programs to increase uptake.</w:t>
      </w:r>
    </w:p>
    <w:p w:rsidR="0046123B" w:rsidRPr="0046123B" w:rsidRDefault="0046123B" w:rsidP="0046123B">
      <w:pPr>
        <w:ind w:left="360"/>
        <w:rPr>
          <w:rFonts w:ascii="Arial" w:hAnsi="Arial"/>
        </w:rPr>
      </w:pPr>
      <w:r w:rsidRPr="0046123B">
        <w:rPr>
          <w:rFonts w:ascii="Arial" w:hAnsi="Arial"/>
        </w:rPr>
        <w:t>March 23, 2017, the OEB issued a Decision and Order to end the OESP volumetric charge paid by all Ontario consumers on May 1, 2017 ($0.0011 per kilowatt-hour of power consumed).  On April 10, 2017, Cabinet approved amendments to the OESP regulation (O.Reg. 314/15) to increase credit amounts by 50% and introduce new eligibility categories so more Ontarians can access the progra</w:t>
      </w:r>
      <w:r>
        <w:rPr>
          <w:rFonts w:ascii="Arial" w:hAnsi="Arial"/>
        </w:rPr>
        <w:t xml:space="preserve">m.  These changes </w:t>
      </w:r>
      <w:r w:rsidRPr="0046123B">
        <w:rPr>
          <w:rFonts w:ascii="Arial" w:hAnsi="Arial"/>
        </w:rPr>
        <w:t>came into effect on May 1, 2017.</w:t>
      </w:r>
    </w:p>
    <w:p w:rsidR="0046123B" w:rsidRPr="0046123B" w:rsidRDefault="0046123B" w:rsidP="0046123B">
      <w:pPr>
        <w:ind w:left="360"/>
        <w:rPr>
          <w:rFonts w:ascii="Arial" w:hAnsi="Arial"/>
        </w:rPr>
      </w:pPr>
    </w:p>
    <w:p w:rsidR="008B445D" w:rsidRDefault="008B445D" w:rsidP="008B445D">
      <w:pPr>
        <w:ind w:left="360"/>
        <w:rPr>
          <w:rFonts w:ascii="Arial" w:hAnsi="Arial"/>
        </w:rPr>
      </w:pPr>
      <w:r w:rsidRPr="008B445D">
        <w:rPr>
          <w:rFonts w:ascii="Arial" w:hAnsi="Arial"/>
        </w:rPr>
        <w:t>As part of the OFHP, ENERGY has already completed the following legislative and regulatory changes on OESP:</w:t>
      </w:r>
    </w:p>
    <w:p w:rsidR="00D10F6F" w:rsidRPr="008B445D" w:rsidRDefault="00D10F6F" w:rsidP="00D10F6F">
      <w:pPr>
        <w:rPr>
          <w:rFonts w:ascii="Arial" w:hAnsi="Arial"/>
        </w:rPr>
      </w:pPr>
    </w:p>
    <w:p w:rsidR="008B445D" w:rsidRPr="00AD1460" w:rsidRDefault="008B445D" w:rsidP="006C63AE">
      <w:pPr>
        <w:pStyle w:val="ListParagraph"/>
        <w:numPr>
          <w:ilvl w:val="0"/>
          <w:numId w:val="61"/>
        </w:numPr>
        <w:rPr>
          <w:rFonts w:ascii="Arial" w:hAnsi="Arial"/>
        </w:rPr>
      </w:pPr>
      <w:r w:rsidRPr="00AD1460">
        <w:rPr>
          <w:rFonts w:ascii="Arial" w:hAnsi="Arial"/>
        </w:rPr>
        <w:t>Effective May 1, 2017, ENERGY completed a regulatory amendment to O. Reg. 314/15 to increase OESP credit amounts by 50% and expand eligibility criteria.</w:t>
      </w:r>
    </w:p>
    <w:p w:rsidR="008B445D" w:rsidRDefault="008B445D" w:rsidP="00707D7A">
      <w:pPr>
        <w:pStyle w:val="ListParagraph"/>
        <w:rPr>
          <w:rFonts w:ascii="Arial" w:hAnsi="Arial"/>
        </w:rPr>
      </w:pPr>
    </w:p>
    <w:p w:rsidR="008B445D" w:rsidRDefault="008B445D" w:rsidP="006C63AE">
      <w:pPr>
        <w:pStyle w:val="ListParagraph"/>
        <w:numPr>
          <w:ilvl w:val="0"/>
          <w:numId w:val="61"/>
        </w:numPr>
        <w:rPr>
          <w:rFonts w:ascii="Arial" w:hAnsi="Arial"/>
        </w:rPr>
      </w:pPr>
      <w:r w:rsidRPr="00707D7A">
        <w:rPr>
          <w:rFonts w:ascii="Arial" w:hAnsi="Arial"/>
        </w:rPr>
        <w:t xml:space="preserve">Corresponding legislative amendments to section 79.2 of the OEBA were made to enable the program to shift from the rate-base to the tax-base once the rate-base pooled funding has been depleted. The intended approach involves proclaiming s.79.2 of the OEBA into force on a future date to be named by proclamation. </w:t>
      </w:r>
    </w:p>
    <w:p w:rsidR="008B445D" w:rsidRDefault="008B445D" w:rsidP="00707D7A">
      <w:pPr>
        <w:pStyle w:val="ListParagraph"/>
        <w:rPr>
          <w:rFonts w:ascii="Arial" w:hAnsi="Arial"/>
        </w:rPr>
      </w:pPr>
    </w:p>
    <w:p w:rsidR="00770687" w:rsidRPr="004472EC" w:rsidRDefault="008B445D" w:rsidP="006C63AE">
      <w:pPr>
        <w:pStyle w:val="ListParagraph"/>
        <w:numPr>
          <w:ilvl w:val="0"/>
          <w:numId w:val="61"/>
        </w:numPr>
        <w:rPr>
          <w:rFonts w:cs="Arial"/>
        </w:rPr>
      </w:pPr>
      <w:r w:rsidRPr="00707D7A">
        <w:rPr>
          <w:rFonts w:ascii="Arial" w:hAnsi="Arial"/>
        </w:rPr>
        <w:t>These legislative amendments also provided authority for the Minister or the OEB to enter into an agreement with MCSS to provide services related to the administration of the OESP on behalf of SA clients, including data-sharing and information-sharing required to deliver OESP to SA clients. Along with ss. amendments to s. 79, the new sections 79.3 and 79.4, came into force on Royal Assent on June 1, 2017.</w:t>
      </w:r>
    </w:p>
    <w:p w:rsidR="00770687" w:rsidRPr="00707D7A" w:rsidRDefault="00770687" w:rsidP="00707D7A">
      <w:pPr>
        <w:ind w:left="360"/>
        <w:rPr>
          <w:rFonts w:ascii="Arial" w:hAnsi="Arial"/>
          <w:u w:val="single"/>
        </w:rPr>
      </w:pPr>
    </w:p>
    <w:p w:rsidR="00770687" w:rsidRPr="0099137B" w:rsidRDefault="00770687" w:rsidP="00770687">
      <w:pPr>
        <w:rPr>
          <w:rFonts w:ascii="Arial" w:hAnsi="Arial"/>
        </w:rPr>
      </w:pPr>
      <w:r w:rsidRPr="0099137B">
        <w:rPr>
          <w:rFonts w:ascii="Arial" w:hAnsi="Arial"/>
          <w:u w:val="single"/>
        </w:rPr>
        <w:t>Implementation</w:t>
      </w:r>
    </w:p>
    <w:p w:rsidR="00770687" w:rsidRPr="0099137B" w:rsidRDefault="00770687" w:rsidP="00F50C06">
      <w:pPr>
        <w:pStyle w:val="NoSpacing"/>
      </w:pPr>
    </w:p>
    <w:p w:rsidR="003140CD" w:rsidRDefault="001D7481" w:rsidP="00AD1460">
      <w:pPr>
        <w:rPr>
          <w:rFonts w:ascii="Arial" w:hAnsi="Arial" w:cs="Arial"/>
        </w:rPr>
      </w:pPr>
      <w:r w:rsidRPr="00AD1460">
        <w:rPr>
          <w:rFonts w:ascii="Arial" w:hAnsi="Arial" w:cs="Arial"/>
        </w:rPr>
        <w:t xml:space="preserve">MCSS will be responsible for implementing the proposed regulatory changes once an agreement has been entered into between the Minister and/or the OEB and MCSS, which were designed to support a strategy jointly developed by ENERGY, the OEB, and MCSS to meet the government’s objective of substantially increasing OESP uptake by aligning it with SA program delivery.  </w:t>
      </w:r>
    </w:p>
    <w:p w:rsidR="003140CD" w:rsidRDefault="003140CD" w:rsidP="00AD1460">
      <w:pPr>
        <w:rPr>
          <w:rFonts w:ascii="Arial" w:hAnsi="Arial" w:cs="Arial"/>
        </w:rPr>
      </w:pPr>
    </w:p>
    <w:p w:rsidR="0046123B" w:rsidRDefault="001D7481" w:rsidP="00AD1460">
      <w:pPr>
        <w:rPr>
          <w:rFonts w:ascii="Arial" w:hAnsi="Arial" w:cs="Arial"/>
          <w:szCs w:val="22"/>
          <w:lang w:val="en-US"/>
        </w:rPr>
      </w:pPr>
      <w:r w:rsidRPr="001D7481">
        <w:rPr>
          <w:rFonts w:ascii="Arial" w:hAnsi="Arial" w:cs="Arial"/>
          <w:lang w:val="en-US"/>
        </w:rPr>
        <w:t>MCSS will be seeking Treasury Board approval for resources to implement these proposed changes</w:t>
      </w:r>
      <w:r w:rsidR="00666E21">
        <w:rPr>
          <w:rFonts w:ascii="Arial" w:hAnsi="Arial" w:cs="Arial"/>
          <w:lang w:val="en-US"/>
        </w:rPr>
        <w:t xml:space="preserve"> in a separate request</w:t>
      </w:r>
      <w:r w:rsidRPr="001D7481">
        <w:rPr>
          <w:rFonts w:ascii="Arial" w:hAnsi="Arial" w:cs="Arial"/>
          <w:lang w:val="en-US"/>
        </w:rPr>
        <w:t>.</w:t>
      </w:r>
    </w:p>
    <w:p w:rsidR="00B16C03" w:rsidRPr="00CE63C3" w:rsidRDefault="00B16C03" w:rsidP="00CD0EF5">
      <w:pPr>
        <w:rPr>
          <w:rFonts w:ascii="Arial" w:hAnsi="Arial" w:cs="Arial"/>
          <w:lang w:val="en-US"/>
        </w:rPr>
      </w:pPr>
    </w:p>
    <w:p w:rsidR="00CA7DD8" w:rsidRPr="00CE63C3" w:rsidRDefault="001D35D0" w:rsidP="003027E3">
      <w:pPr>
        <w:spacing w:before="120"/>
        <w:ind w:hanging="720"/>
        <w:rPr>
          <w:rFonts w:ascii="Helvetica" w:hAnsi="Helvetica" w:cs="Arial"/>
          <w:b/>
          <w:caps/>
        </w:rPr>
      </w:pPr>
      <w:r w:rsidRPr="00CE63C3">
        <w:rPr>
          <w:rFonts w:ascii="Helvetica" w:hAnsi="Helvetica" w:cs="Arial"/>
          <w:b/>
          <w:caps/>
        </w:rPr>
        <w:t xml:space="preserve">3.0 </w:t>
      </w:r>
      <w:r w:rsidRPr="00CE63C3">
        <w:rPr>
          <w:rFonts w:ascii="Helvetica" w:hAnsi="Helvetica" w:cs="Arial"/>
          <w:b/>
          <w:caps/>
        </w:rPr>
        <w:tab/>
      </w:r>
      <w:r w:rsidR="00CA7DD8" w:rsidRPr="00CE63C3">
        <w:rPr>
          <w:rFonts w:ascii="Helvetica" w:hAnsi="Helvetica" w:cs="Arial"/>
          <w:b/>
          <w:caps/>
        </w:rPr>
        <w:t>key context</w:t>
      </w:r>
    </w:p>
    <w:p w:rsidR="0077209C" w:rsidRPr="00CE63C3" w:rsidRDefault="0077209C" w:rsidP="00E14760">
      <w:pPr>
        <w:rPr>
          <w:rFonts w:ascii="Arial" w:hAnsi="Arial" w:cs="Arial"/>
        </w:rPr>
      </w:pPr>
    </w:p>
    <w:p w:rsidR="007F2AB9" w:rsidRPr="00CE63C3" w:rsidRDefault="00E14760" w:rsidP="007F2AB9">
      <w:pPr>
        <w:rPr>
          <w:rFonts w:ascii="Arial" w:hAnsi="Arial" w:cs="Arial"/>
        </w:rPr>
      </w:pPr>
      <w:r w:rsidRPr="00CE63C3">
        <w:rPr>
          <w:rFonts w:ascii="Arial" w:hAnsi="Arial" w:cs="Arial"/>
        </w:rPr>
        <w:t xml:space="preserve">On </w:t>
      </w:r>
      <w:r w:rsidR="00E27B15">
        <w:rPr>
          <w:rFonts w:ascii="Arial" w:hAnsi="Arial" w:cs="Arial"/>
        </w:rPr>
        <w:t>June 1</w:t>
      </w:r>
      <w:r w:rsidRPr="00CE63C3">
        <w:rPr>
          <w:rFonts w:ascii="Arial" w:hAnsi="Arial" w:cs="Arial"/>
        </w:rPr>
        <w:t xml:space="preserve">, 2017, the </w:t>
      </w:r>
      <w:r w:rsidR="00E27B15" w:rsidRPr="00261893">
        <w:rPr>
          <w:rFonts w:ascii="Arial" w:hAnsi="Arial" w:cs="Arial"/>
          <w:i/>
        </w:rPr>
        <w:t>Fair Hydro Act, 2017</w:t>
      </w:r>
      <w:r w:rsidR="00E27B15">
        <w:rPr>
          <w:rFonts w:ascii="Arial" w:hAnsi="Arial" w:cs="Arial"/>
        </w:rPr>
        <w:t xml:space="preserve">, </w:t>
      </w:r>
      <w:r w:rsidR="00E163E7">
        <w:rPr>
          <w:rFonts w:ascii="Arial" w:hAnsi="Arial" w:cs="Arial"/>
        </w:rPr>
        <w:t xml:space="preserve">the </w:t>
      </w:r>
      <w:r w:rsidR="00E27B15">
        <w:rPr>
          <w:rFonts w:ascii="Arial" w:hAnsi="Arial" w:cs="Arial"/>
        </w:rPr>
        <w:t xml:space="preserve">legislation to enable </w:t>
      </w:r>
      <w:r w:rsidR="00E163E7">
        <w:rPr>
          <w:rFonts w:ascii="Arial" w:hAnsi="Arial" w:cs="Arial"/>
        </w:rPr>
        <w:t xml:space="preserve">the Ontario Fair Hydro Plan (OFHP) under the </w:t>
      </w:r>
      <w:r w:rsidR="00E163E7" w:rsidRPr="00E163E7">
        <w:rPr>
          <w:rFonts w:ascii="Arial" w:hAnsi="Arial" w:cs="Arial"/>
          <w:i/>
        </w:rPr>
        <w:t>Ontario Fair Hydro Plan Act, 2017</w:t>
      </w:r>
      <w:r w:rsidR="00E163E7">
        <w:rPr>
          <w:rFonts w:ascii="Arial" w:hAnsi="Arial" w:cs="Arial"/>
        </w:rPr>
        <w:t xml:space="preserve"> (OFHPA)</w:t>
      </w:r>
      <w:r w:rsidR="001F0184">
        <w:rPr>
          <w:rFonts w:ascii="Arial" w:hAnsi="Arial" w:cs="Arial"/>
        </w:rPr>
        <w:t xml:space="preserve"> received Royal assent</w:t>
      </w:r>
      <w:r w:rsidR="00E27B15">
        <w:rPr>
          <w:rFonts w:ascii="Arial" w:hAnsi="Arial" w:cs="Arial"/>
        </w:rPr>
        <w:t>.</w:t>
      </w:r>
      <w:r w:rsidR="0077209C">
        <w:rPr>
          <w:rFonts w:ascii="Arial" w:hAnsi="Arial" w:cs="Arial"/>
        </w:rPr>
        <w:t xml:space="preserve"> </w:t>
      </w:r>
      <w:r w:rsidR="00E163E7">
        <w:rPr>
          <w:rFonts w:ascii="Arial" w:hAnsi="Arial" w:cs="Arial"/>
        </w:rPr>
        <w:t xml:space="preserve">The </w:t>
      </w:r>
      <w:r w:rsidR="00E27B15">
        <w:rPr>
          <w:rFonts w:ascii="Arial" w:hAnsi="Arial" w:cs="Arial"/>
        </w:rPr>
        <w:t>OFHP</w:t>
      </w:r>
      <w:r w:rsidR="00E163E7">
        <w:rPr>
          <w:rFonts w:ascii="Arial" w:hAnsi="Arial" w:cs="Arial"/>
        </w:rPr>
        <w:t>A</w:t>
      </w:r>
      <w:r w:rsidR="0077209C">
        <w:rPr>
          <w:rFonts w:ascii="Arial" w:hAnsi="Arial" w:cs="Arial"/>
        </w:rPr>
        <w:t xml:space="preserve"> </w:t>
      </w:r>
      <w:r w:rsidR="00E27B15">
        <w:rPr>
          <w:rFonts w:ascii="Arial" w:hAnsi="Arial" w:cs="Arial"/>
        </w:rPr>
        <w:t>will</w:t>
      </w:r>
      <w:r w:rsidRPr="00CE63C3">
        <w:rPr>
          <w:rFonts w:ascii="Arial" w:hAnsi="Arial" w:cs="Arial"/>
        </w:rPr>
        <w:t xml:space="preserve"> reduce the electricity bills of </w:t>
      </w:r>
      <w:r w:rsidR="0077209C">
        <w:rPr>
          <w:rFonts w:ascii="Arial" w:hAnsi="Arial" w:cs="Arial"/>
        </w:rPr>
        <w:t xml:space="preserve">typical </w:t>
      </w:r>
      <w:r w:rsidRPr="00CE63C3">
        <w:rPr>
          <w:rFonts w:ascii="Arial" w:hAnsi="Arial" w:cs="Arial"/>
        </w:rPr>
        <w:t xml:space="preserve">residential consumers by 25 per cent starting in summer 2017. </w:t>
      </w:r>
      <w:r w:rsidR="007F2AB9" w:rsidRPr="00CE63C3">
        <w:rPr>
          <w:rFonts w:ascii="Arial" w:hAnsi="Arial" w:cs="Arial"/>
        </w:rPr>
        <w:t>Up to 500,000 small businesses and farms would also benefit.</w:t>
      </w:r>
      <w:r w:rsidR="00FB6AAB" w:rsidRPr="00CE63C3">
        <w:rPr>
          <w:rFonts w:ascii="Arial" w:hAnsi="Arial" w:cs="Arial"/>
        </w:rPr>
        <w:t xml:space="preserve"> </w:t>
      </w:r>
    </w:p>
    <w:p w:rsidR="00C227D5" w:rsidRPr="00CE63C3" w:rsidRDefault="00C227D5" w:rsidP="00E14760">
      <w:pPr>
        <w:rPr>
          <w:rFonts w:ascii="Arial" w:hAnsi="Arial" w:cs="Arial"/>
          <w:bCs/>
          <w:shd w:val="clear" w:color="auto" w:fill="FBFBFB"/>
        </w:rPr>
      </w:pPr>
    </w:p>
    <w:p w:rsidR="00B32FD4" w:rsidRPr="00CE63C3" w:rsidRDefault="00C227D5" w:rsidP="00B32FD4">
      <w:pPr>
        <w:rPr>
          <w:rFonts w:ascii="Arial" w:hAnsi="Arial" w:cs="Arial"/>
        </w:rPr>
      </w:pPr>
      <w:r w:rsidRPr="00CE63C3">
        <w:rPr>
          <w:rFonts w:ascii="Arial" w:hAnsi="Arial" w:cs="Arial"/>
        </w:rPr>
        <w:t xml:space="preserve">OFHP </w:t>
      </w:r>
      <w:r w:rsidR="004732A0" w:rsidRPr="00CE63C3">
        <w:rPr>
          <w:rFonts w:ascii="Arial" w:hAnsi="Arial" w:cs="Arial"/>
        </w:rPr>
        <w:t xml:space="preserve">also </w:t>
      </w:r>
      <w:r w:rsidRPr="00CE63C3">
        <w:rPr>
          <w:rFonts w:ascii="Arial" w:hAnsi="Arial" w:cs="Arial"/>
        </w:rPr>
        <w:t>announced</w:t>
      </w:r>
      <w:r w:rsidR="009A40ED" w:rsidRPr="00CE63C3">
        <w:rPr>
          <w:rFonts w:ascii="Arial" w:hAnsi="Arial" w:cs="Arial"/>
        </w:rPr>
        <w:t xml:space="preserve"> </w:t>
      </w:r>
      <w:r w:rsidR="00DA028B" w:rsidRPr="00CE63C3">
        <w:rPr>
          <w:rFonts w:ascii="Arial" w:hAnsi="Arial" w:cs="Arial"/>
        </w:rPr>
        <w:t xml:space="preserve">other </w:t>
      </w:r>
      <w:r w:rsidR="009A40ED" w:rsidRPr="00CE63C3">
        <w:rPr>
          <w:rFonts w:ascii="Arial" w:hAnsi="Arial" w:cs="Arial"/>
        </w:rPr>
        <w:t>measures to enhance</w:t>
      </w:r>
      <w:r w:rsidRPr="00CE63C3">
        <w:rPr>
          <w:rFonts w:ascii="Arial" w:hAnsi="Arial" w:cs="Arial"/>
        </w:rPr>
        <w:t xml:space="preserve"> </w:t>
      </w:r>
      <w:r w:rsidR="009A40ED" w:rsidRPr="00CE63C3">
        <w:rPr>
          <w:rFonts w:ascii="Arial" w:hAnsi="Arial" w:cs="Arial"/>
        </w:rPr>
        <w:t>business competitiveness,</w:t>
      </w:r>
      <w:r w:rsidRPr="00CE63C3">
        <w:rPr>
          <w:rFonts w:ascii="Arial" w:hAnsi="Arial" w:cs="Arial"/>
        </w:rPr>
        <w:t xml:space="preserve"> </w:t>
      </w:r>
      <w:r w:rsidR="009A40ED" w:rsidRPr="00CE63C3">
        <w:rPr>
          <w:rFonts w:ascii="Arial" w:hAnsi="Arial" w:cs="Arial"/>
        </w:rPr>
        <w:t>helping vulnerable consumers and</w:t>
      </w:r>
      <w:r w:rsidRPr="00CE63C3">
        <w:rPr>
          <w:rFonts w:ascii="Arial" w:hAnsi="Arial" w:cs="Arial"/>
        </w:rPr>
        <w:t xml:space="preserve"> </w:t>
      </w:r>
      <w:r w:rsidR="00963AC0">
        <w:rPr>
          <w:rFonts w:ascii="Arial" w:hAnsi="Arial" w:cs="Arial"/>
        </w:rPr>
        <w:t>reduce the cost of electricity over the longer term</w:t>
      </w:r>
      <w:r w:rsidR="00690F01" w:rsidRPr="00CE63C3">
        <w:rPr>
          <w:rFonts w:ascii="Arial" w:hAnsi="Arial" w:cs="Arial"/>
        </w:rPr>
        <w:t>.</w:t>
      </w:r>
    </w:p>
    <w:p w:rsidR="002F18EA" w:rsidRPr="00CE63C3" w:rsidRDefault="002F18EA" w:rsidP="00E14760">
      <w:pPr>
        <w:rPr>
          <w:rFonts w:ascii="Arial" w:hAnsi="Arial" w:cs="Arial"/>
        </w:rPr>
      </w:pPr>
    </w:p>
    <w:p w:rsidR="009A40ED" w:rsidRPr="00CE63C3" w:rsidRDefault="009A40ED" w:rsidP="009A40ED">
      <w:pPr>
        <w:rPr>
          <w:rFonts w:ascii="Arial" w:hAnsi="Arial" w:cs="Arial"/>
          <w:szCs w:val="28"/>
          <w:lang w:val="en-US"/>
        </w:rPr>
      </w:pPr>
      <w:r w:rsidRPr="00CE63C3">
        <w:rPr>
          <w:rFonts w:ascii="Arial" w:hAnsi="Arial" w:cs="Arial"/>
          <w:szCs w:val="28"/>
          <w:lang w:val="en-US"/>
        </w:rPr>
        <w:t xml:space="preserve">The Ministry’s report back </w:t>
      </w:r>
      <w:r w:rsidR="00760E40">
        <w:rPr>
          <w:rFonts w:ascii="Arial" w:hAnsi="Arial" w:cs="Arial"/>
          <w:szCs w:val="28"/>
          <w:lang w:val="en-US"/>
        </w:rPr>
        <w:t xml:space="preserve">and update </w:t>
      </w:r>
      <w:r w:rsidRPr="00CE63C3">
        <w:rPr>
          <w:rFonts w:ascii="Arial" w:hAnsi="Arial" w:cs="Arial"/>
          <w:szCs w:val="28"/>
          <w:lang w:val="en-US"/>
        </w:rPr>
        <w:t xml:space="preserve">to </w:t>
      </w:r>
      <w:r w:rsidRPr="00CE63C3">
        <w:rPr>
          <w:rFonts w:ascii="Arial" w:hAnsi="Arial" w:cs="Arial"/>
          <w:lang w:val="en-US"/>
        </w:rPr>
        <w:t>TB/MBC focuses on the following OFHP initiatives:</w:t>
      </w:r>
    </w:p>
    <w:p w:rsidR="009A40ED" w:rsidRPr="00CE63C3" w:rsidRDefault="009A40ED" w:rsidP="00E14760">
      <w:pPr>
        <w:rPr>
          <w:rFonts w:ascii="Arial" w:hAnsi="Arial" w:cs="Arial"/>
          <w:sz w:val="22"/>
          <w:szCs w:val="22"/>
        </w:rPr>
      </w:pPr>
    </w:p>
    <w:p w:rsidR="00FB6787" w:rsidRPr="00CE63C3" w:rsidRDefault="000B73C0" w:rsidP="00B517C1">
      <w:pPr>
        <w:pStyle w:val="ListParagraph"/>
        <w:numPr>
          <w:ilvl w:val="0"/>
          <w:numId w:val="5"/>
        </w:numPr>
        <w:rPr>
          <w:rFonts w:ascii="Arial" w:hAnsi="Arial" w:cs="Arial"/>
          <w:b/>
          <w:lang w:val="en-US"/>
        </w:rPr>
      </w:pPr>
      <w:r>
        <w:rPr>
          <w:rFonts w:ascii="Arial" w:hAnsi="Arial" w:cs="Arial"/>
          <w:b/>
          <w:lang w:val="en-US"/>
        </w:rPr>
        <w:t xml:space="preserve">Implementation of </w:t>
      </w:r>
      <w:r w:rsidR="00506788" w:rsidRPr="00CE63C3">
        <w:rPr>
          <w:rFonts w:ascii="Arial" w:hAnsi="Arial" w:cs="Arial"/>
          <w:b/>
          <w:lang w:val="en-US"/>
        </w:rPr>
        <w:t>GA</w:t>
      </w:r>
      <w:r w:rsidR="00B33507" w:rsidRPr="00CE63C3">
        <w:rPr>
          <w:rFonts w:ascii="Arial" w:hAnsi="Arial" w:cs="Arial"/>
          <w:b/>
          <w:lang w:val="en-US"/>
        </w:rPr>
        <w:t xml:space="preserve"> Refinancing</w:t>
      </w:r>
      <w:r w:rsidR="00A74DD8" w:rsidRPr="00CE63C3">
        <w:rPr>
          <w:rFonts w:ascii="Arial" w:hAnsi="Arial" w:cs="Arial"/>
          <w:b/>
          <w:lang w:val="en-US"/>
        </w:rPr>
        <w:t>:</w:t>
      </w:r>
      <w:r w:rsidR="00F41524">
        <w:rPr>
          <w:rFonts w:ascii="Arial" w:hAnsi="Arial" w:cs="Arial"/>
          <w:b/>
          <w:lang w:val="en-US"/>
        </w:rPr>
        <w:t xml:space="preserve"> </w:t>
      </w:r>
    </w:p>
    <w:p w:rsidR="0012392E" w:rsidRPr="00E320A1" w:rsidRDefault="0012392E" w:rsidP="0012392E">
      <w:pPr>
        <w:ind w:right="14"/>
        <w:rPr>
          <w:rFonts w:ascii="Arial" w:hAnsi="Arial" w:cs="Arial"/>
          <w:lang w:val="en-US"/>
        </w:rPr>
      </w:pPr>
    </w:p>
    <w:p w:rsidR="00E320A1" w:rsidRPr="00E320A1" w:rsidRDefault="00E320A1" w:rsidP="00E320A1">
      <w:pPr>
        <w:ind w:left="360" w:right="14"/>
        <w:rPr>
          <w:rFonts w:ascii="Arial" w:eastAsia="+mn-ea" w:hAnsi="Arial" w:cs="Arial"/>
          <w:spacing w:val="-1"/>
          <w:kern w:val="24"/>
        </w:rPr>
      </w:pPr>
      <w:r w:rsidRPr="00261893">
        <w:rPr>
          <w:rFonts w:ascii="Arial" w:hAnsi="Arial" w:cs="Arial"/>
          <w:lang w:val="en-US"/>
        </w:rPr>
        <w:t xml:space="preserve">Under the </w:t>
      </w:r>
      <w:r w:rsidRPr="00261893">
        <w:rPr>
          <w:rFonts w:ascii="Arial" w:hAnsi="Arial" w:cs="Arial"/>
          <w:i/>
          <w:lang w:val="en-US"/>
        </w:rPr>
        <w:t>OFHPA</w:t>
      </w:r>
      <w:r w:rsidRPr="00261893">
        <w:rPr>
          <w:rFonts w:ascii="Arial" w:hAnsi="Arial" w:cs="Arial"/>
          <w:lang w:val="en-US"/>
        </w:rPr>
        <w:t xml:space="preserve">, a portion of the GA </w:t>
      </w:r>
      <w:r w:rsidR="00854D1E">
        <w:rPr>
          <w:rFonts w:ascii="Arial" w:hAnsi="Arial" w:cs="Arial"/>
          <w:lang w:val="en-US"/>
        </w:rPr>
        <w:t>would</w:t>
      </w:r>
      <w:r w:rsidRPr="00261893">
        <w:rPr>
          <w:rFonts w:ascii="Arial" w:hAnsi="Arial" w:cs="Arial"/>
          <w:lang w:val="en-US"/>
        </w:rPr>
        <w:t xml:space="preserve"> be refinanced in order to fairly allocate costs across present and future generations of electricity consumers with respect to investments made to decarbonize (i.e., phase-out coal) and modernize Ontario’s electricity system (i.e., build and maintain a reliable electricity system). </w:t>
      </w:r>
    </w:p>
    <w:p w:rsidR="00F57F46" w:rsidRPr="006A5108" w:rsidRDefault="00F57F46" w:rsidP="00261893">
      <w:pPr>
        <w:ind w:right="14"/>
        <w:rPr>
          <w:rFonts w:ascii="Arial" w:eastAsia="+mn-ea" w:hAnsi="Arial"/>
          <w:spacing w:val="-1"/>
          <w:kern w:val="24"/>
        </w:rPr>
      </w:pPr>
    </w:p>
    <w:p w:rsidR="00576366" w:rsidRDefault="00E320A1" w:rsidP="00760E40">
      <w:pPr>
        <w:spacing w:after="120"/>
        <w:ind w:left="426"/>
        <w:rPr>
          <w:rFonts w:ascii="Arial" w:hAnsi="Arial" w:cs="Arial"/>
        </w:rPr>
      </w:pPr>
      <w:r w:rsidRPr="00230F59">
        <w:rPr>
          <w:rFonts w:ascii="Arial" w:hAnsi="Arial" w:cs="Arial"/>
          <w:lang w:val="en-US"/>
        </w:rPr>
        <w:t xml:space="preserve">Today’s electricity consumers have been bearing disproportionate cost responsibility for the investments in developing the clean, modern and reliable electricity system that Ontario has today and that will continue to provide benefit to future generations. </w:t>
      </w:r>
      <w:r w:rsidR="0048387C" w:rsidRPr="00230F59">
        <w:rPr>
          <w:rFonts w:ascii="Arial" w:hAnsi="Arial" w:cs="Arial"/>
        </w:rPr>
        <w:t xml:space="preserve"> The legislation recognizes the long-term benefit of clean energy investments </w:t>
      </w:r>
      <w:r w:rsidR="00854D1E">
        <w:rPr>
          <w:rFonts w:ascii="Arial" w:hAnsi="Arial" w:cs="Arial"/>
        </w:rPr>
        <w:t>to more appropriately</w:t>
      </w:r>
      <w:r w:rsidR="0048387C" w:rsidRPr="00230F59">
        <w:rPr>
          <w:rFonts w:ascii="Arial" w:hAnsi="Arial" w:cs="Arial"/>
        </w:rPr>
        <w:t xml:space="preserve"> allocate costs into the future to account for long-term benefits.</w:t>
      </w:r>
    </w:p>
    <w:p w:rsidR="00854D1E" w:rsidRDefault="00854D1E" w:rsidP="00CB3896">
      <w:pPr>
        <w:pStyle w:val="NoSpacing"/>
      </w:pPr>
    </w:p>
    <w:p w:rsidR="00854D1E" w:rsidRPr="00230F59" w:rsidRDefault="00854D1E" w:rsidP="00760E40">
      <w:pPr>
        <w:spacing w:after="120"/>
        <w:ind w:left="426"/>
        <w:rPr>
          <w:rFonts w:ascii="Arial" w:hAnsi="Arial" w:cs="Arial"/>
          <w:lang w:val="en-US"/>
        </w:rPr>
      </w:pPr>
      <w:r w:rsidRPr="00854D1E">
        <w:rPr>
          <w:rFonts w:ascii="Arial" w:hAnsi="Arial" w:cs="Arial"/>
          <w:lang w:val="en-US"/>
        </w:rPr>
        <w:t xml:space="preserve">Refinancing a portion of </w:t>
      </w:r>
      <w:r w:rsidR="00A75692">
        <w:rPr>
          <w:rFonts w:ascii="Arial" w:hAnsi="Arial" w:cs="Arial"/>
          <w:lang w:val="en-US"/>
        </w:rPr>
        <w:t xml:space="preserve">the </w:t>
      </w:r>
      <w:r w:rsidRPr="00854D1E">
        <w:rPr>
          <w:rFonts w:ascii="Arial" w:hAnsi="Arial" w:cs="Arial"/>
          <w:lang w:val="en-US"/>
        </w:rPr>
        <w:t>GA would provide significant and immediate rate relief to electricity consumers that have been burdened with the costs of the necessary investments that have been made to decarbonize and modernize the province’s electricity infrastructure</w:t>
      </w:r>
      <w:r w:rsidR="00A75692">
        <w:rPr>
          <w:rFonts w:ascii="Arial" w:hAnsi="Arial" w:cs="Arial"/>
          <w:lang w:val="en-US"/>
        </w:rPr>
        <w:t xml:space="preserve">. This would be achieved </w:t>
      </w:r>
      <w:r w:rsidRPr="00854D1E">
        <w:rPr>
          <w:rFonts w:ascii="Arial" w:hAnsi="Arial" w:cs="Arial"/>
          <w:lang w:val="en-US"/>
        </w:rPr>
        <w:t xml:space="preserve">by spreading the cost of electricity investments so that they are shared proportionately by future consumers who cause a need for or benefit from the province’s multi-billion dollar investments in electricity infrastructure.  </w:t>
      </w:r>
    </w:p>
    <w:p w:rsidR="0012392E" w:rsidRPr="00CE63C3" w:rsidRDefault="0012392E" w:rsidP="00CB3896">
      <w:pPr>
        <w:pStyle w:val="NoSpacing"/>
      </w:pPr>
    </w:p>
    <w:p w:rsidR="00A22262" w:rsidRPr="00CE63C3" w:rsidRDefault="007F6433" w:rsidP="005B2B67">
      <w:pPr>
        <w:ind w:left="360" w:right="14"/>
        <w:rPr>
          <w:rFonts w:ascii="Arial" w:hAnsi="Arial" w:cs="Arial"/>
        </w:rPr>
      </w:pPr>
      <w:r w:rsidRPr="00CE63C3">
        <w:rPr>
          <w:rFonts w:ascii="Arial" w:hAnsi="Arial" w:cs="Arial"/>
        </w:rPr>
        <w:t xml:space="preserve">To </w:t>
      </w:r>
      <w:r w:rsidR="0012392E" w:rsidRPr="00CE63C3">
        <w:rPr>
          <w:rFonts w:ascii="Arial" w:hAnsi="Arial" w:cs="Arial"/>
        </w:rPr>
        <w:t xml:space="preserve">implement </w:t>
      </w:r>
      <w:r w:rsidRPr="00CE63C3">
        <w:rPr>
          <w:rFonts w:ascii="Arial" w:hAnsi="Arial" w:cs="Arial"/>
        </w:rPr>
        <w:t>GA refinancing</w:t>
      </w:r>
      <w:r w:rsidR="0012392E" w:rsidRPr="00CE63C3">
        <w:rPr>
          <w:rFonts w:ascii="Arial" w:hAnsi="Arial" w:cs="Arial"/>
        </w:rPr>
        <w:t xml:space="preserve"> and to </w:t>
      </w:r>
      <w:r w:rsidR="0012392E" w:rsidRPr="00CE63C3">
        <w:rPr>
          <w:rFonts w:ascii="Arial" w:eastAsia="+mn-ea" w:hAnsi="Arial" w:cs="Arial"/>
          <w:spacing w:val="-1"/>
          <w:kern w:val="24"/>
        </w:rPr>
        <w:t>mitigate the financing, accounting and legal risks</w:t>
      </w:r>
      <w:r w:rsidRPr="00CE63C3">
        <w:rPr>
          <w:rFonts w:ascii="Arial" w:hAnsi="Arial" w:cs="Arial"/>
        </w:rPr>
        <w:t>, the Ministry has</w:t>
      </w:r>
      <w:r w:rsidR="00A22262" w:rsidRPr="00CE63C3">
        <w:rPr>
          <w:rFonts w:ascii="Arial" w:hAnsi="Arial" w:cs="Arial"/>
        </w:rPr>
        <w:t xml:space="preserve">: </w:t>
      </w:r>
      <w:r w:rsidRPr="00CE63C3">
        <w:rPr>
          <w:rFonts w:ascii="Arial" w:hAnsi="Arial" w:cs="Arial"/>
        </w:rPr>
        <w:t xml:space="preserve"> </w:t>
      </w:r>
    </w:p>
    <w:p w:rsidR="00A22262" w:rsidRPr="00CE63C3" w:rsidRDefault="00A22262" w:rsidP="00A22262">
      <w:pPr>
        <w:pStyle w:val="ListParagraph"/>
        <w:ind w:left="1080" w:right="14"/>
        <w:rPr>
          <w:rFonts w:ascii="Arial" w:hAnsi="Arial" w:cs="Arial"/>
        </w:rPr>
      </w:pPr>
    </w:p>
    <w:p w:rsidR="00A22262" w:rsidRPr="00760E40" w:rsidRDefault="00A22262" w:rsidP="00B517C1">
      <w:pPr>
        <w:pStyle w:val="ListParagraph"/>
        <w:numPr>
          <w:ilvl w:val="0"/>
          <w:numId w:val="22"/>
        </w:numPr>
        <w:ind w:right="14"/>
        <w:rPr>
          <w:rFonts w:ascii="Arial" w:eastAsia="+mn-ea" w:hAnsi="Arial" w:cs="Arial"/>
          <w:spacing w:val="-1"/>
          <w:kern w:val="24"/>
        </w:rPr>
      </w:pPr>
      <w:r w:rsidRPr="00760E40">
        <w:rPr>
          <w:rFonts w:ascii="Arial" w:eastAsia="+mn-ea" w:hAnsi="Arial" w:cs="Arial"/>
          <w:spacing w:val="-1"/>
          <w:kern w:val="24"/>
        </w:rPr>
        <w:t xml:space="preserve">Worked closely with key ministries (i.e., TBS-OPCD, MOF-OFA/IGS, MAG, CO), OEB, IESO, OPG and their independent advisors and third party financing (i.e., dealers); </w:t>
      </w:r>
    </w:p>
    <w:p w:rsidR="00E85E7B" w:rsidRPr="00CE63C3" w:rsidRDefault="00E85E7B" w:rsidP="00E85E7B">
      <w:pPr>
        <w:pStyle w:val="ListParagraph"/>
        <w:ind w:left="1080" w:right="14"/>
        <w:rPr>
          <w:rFonts w:ascii="Arial" w:hAnsi="Arial" w:cs="Arial"/>
        </w:rPr>
      </w:pPr>
    </w:p>
    <w:p w:rsidR="00A22262" w:rsidRPr="00C05B4C" w:rsidRDefault="00A22262" w:rsidP="00B517C1">
      <w:pPr>
        <w:pStyle w:val="ListParagraph"/>
        <w:numPr>
          <w:ilvl w:val="0"/>
          <w:numId w:val="22"/>
        </w:numPr>
        <w:ind w:right="14"/>
        <w:rPr>
          <w:rFonts w:ascii="Arial" w:eastAsia="+mn-ea" w:hAnsi="Arial" w:cs="Arial"/>
          <w:spacing w:val="-1"/>
          <w:kern w:val="24"/>
        </w:rPr>
      </w:pPr>
      <w:r w:rsidRPr="00C05B4C">
        <w:rPr>
          <w:rFonts w:ascii="Arial" w:eastAsia="+mn-ea" w:hAnsi="Arial" w:cs="Arial"/>
          <w:spacing w:val="-1"/>
          <w:kern w:val="24"/>
        </w:rPr>
        <w:t>D</w:t>
      </w:r>
      <w:r w:rsidR="007F6433" w:rsidRPr="00C05B4C">
        <w:rPr>
          <w:rFonts w:ascii="Arial" w:eastAsia="+mn-ea" w:hAnsi="Arial" w:cs="Arial"/>
          <w:spacing w:val="-1"/>
          <w:kern w:val="24"/>
        </w:rPr>
        <w:t>eveloped</w:t>
      </w:r>
      <w:r w:rsidR="00130ADA" w:rsidRPr="00C05B4C">
        <w:rPr>
          <w:rFonts w:ascii="Arial" w:eastAsia="+mn-ea" w:hAnsi="Arial" w:cs="Arial"/>
          <w:spacing w:val="-1"/>
          <w:kern w:val="24"/>
        </w:rPr>
        <w:t xml:space="preserve"> </w:t>
      </w:r>
      <w:r w:rsidR="009B2B33" w:rsidRPr="00C05B4C">
        <w:rPr>
          <w:rFonts w:ascii="Arial" w:eastAsia="+mn-ea" w:hAnsi="Arial" w:cs="Arial"/>
          <w:spacing w:val="-1"/>
          <w:kern w:val="24"/>
        </w:rPr>
        <w:t xml:space="preserve">the </w:t>
      </w:r>
      <w:r w:rsidR="009B2B33" w:rsidRPr="00C05B4C">
        <w:rPr>
          <w:rFonts w:ascii="Arial" w:eastAsia="+mn-ea" w:hAnsi="Arial" w:cs="Arial"/>
          <w:i/>
          <w:spacing w:val="-1"/>
          <w:kern w:val="24"/>
        </w:rPr>
        <w:t>Fair Hydro Act, 2017</w:t>
      </w:r>
      <w:r w:rsidR="00034A9E" w:rsidRPr="00C05B4C">
        <w:rPr>
          <w:rFonts w:ascii="Arial" w:eastAsia="+mn-ea" w:hAnsi="Arial" w:cs="Arial"/>
          <w:spacing w:val="-1"/>
          <w:kern w:val="24"/>
        </w:rPr>
        <w:t xml:space="preserve"> which enables the OFHP under the </w:t>
      </w:r>
      <w:r w:rsidR="00034A9E" w:rsidRPr="00C05B4C">
        <w:rPr>
          <w:rFonts w:ascii="Arial" w:eastAsia="+mn-ea" w:hAnsi="Arial" w:cs="Arial"/>
          <w:i/>
          <w:spacing w:val="-1"/>
          <w:kern w:val="24"/>
        </w:rPr>
        <w:t>Ontario Fair Hydro Plan Act</w:t>
      </w:r>
      <w:r w:rsidR="00837CDF" w:rsidRPr="00C05B4C">
        <w:rPr>
          <w:rFonts w:ascii="Arial" w:eastAsia="+mn-ea" w:hAnsi="Arial" w:cs="Arial"/>
          <w:i/>
          <w:spacing w:val="-1"/>
          <w:kern w:val="24"/>
        </w:rPr>
        <w:t xml:space="preserve"> (OFHPA)</w:t>
      </w:r>
      <w:r w:rsidR="00034A9E" w:rsidRPr="00C05B4C">
        <w:rPr>
          <w:rFonts w:ascii="Arial" w:eastAsia="+mn-ea" w:hAnsi="Arial" w:cs="Arial"/>
          <w:i/>
          <w:spacing w:val="-1"/>
          <w:kern w:val="24"/>
        </w:rPr>
        <w:t>, 2017</w:t>
      </w:r>
      <w:r w:rsidR="00034A9E" w:rsidRPr="00C05B4C">
        <w:rPr>
          <w:rFonts w:ascii="Arial" w:eastAsia="+mn-ea" w:hAnsi="Arial" w:cs="Arial"/>
          <w:spacing w:val="-1"/>
          <w:kern w:val="24"/>
        </w:rPr>
        <w:t>,</w:t>
      </w:r>
      <w:r w:rsidRPr="00C05B4C">
        <w:rPr>
          <w:rFonts w:ascii="Arial" w:eastAsia="+mn-ea" w:hAnsi="Arial" w:cs="Arial"/>
          <w:spacing w:val="-1"/>
          <w:kern w:val="24"/>
        </w:rPr>
        <w:t xml:space="preserve"> to </w:t>
      </w:r>
      <w:r w:rsidR="00E85E7B" w:rsidRPr="00C05B4C">
        <w:rPr>
          <w:rFonts w:ascii="Arial" w:eastAsia="+mn-ea" w:hAnsi="Arial" w:cs="Arial"/>
          <w:spacing w:val="-1"/>
          <w:kern w:val="24"/>
        </w:rPr>
        <w:t xml:space="preserve">respond to </w:t>
      </w:r>
      <w:r w:rsidRPr="00C05B4C">
        <w:rPr>
          <w:rFonts w:ascii="Arial" w:eastAsia="+mn-ea" w:hAnsi="Arial" w:cs="Arial"/>
          <w:spacing w:val="-1"/>
          <w:kern w:val="24"/>
        </w:rPr>
        <w:t xml:space="preserve">the financing, accounting and legal </w:t>
      </w:r>
      <w:r w:rsidR="00E85E7B" w:rsidRPr="00C05B4C">
        <w:rPr>
          <w:rFonts w:ascii="Arial" w:eastAsia="+mn-ea" w:hAnsi="Arial" w:cs="Arial"/>
          <w:spacing w:val="-1"/>
          <w:kern w:val="24"/>
        </w:rPr>
        <w:t xml:space="preserve">issues </w:t>
      </w:r>
      <w:r w:rsidRPr="00C05B4C">
        <w:rPr>
          <w:rFonts w:ascii="Arial" w:eastAsia="+mn-ea" w:hAnsi="Arial" w:cs="Arial"/>
          <w:spacing w:val="-1"/>
          <w:kern w:val="24"/>
        </w:rPr>
        <w:t xml:space="preserve">outlined in the March </w:t>
      </w:r>
      <w:r w:rsidR="00C70619" w:rsidRPr="00C05B4C">
        <w:rPr>
          <w:rFonts w:ascii="Arial" w:eastAsia="+mn-ea" w:hAnsi="Arial" w:cs="Arial"/>
          <w:spacing w:val="-1"/>
          <w:kern w:val="24"/>
        </w:rPr>
        <w:t>1</w:t>
      </w:r>
      <w:r w:rsidRPr="00C05B4C">
        <w:rPr>
          <w:rFonts w:ascii="Arial" w:eastAsia="+mn-ea" w:hAnsi="Arial" w:cs="Arial"/>
          <w:spacing w:val="-1"/>
          <w:kern w:val="24"/>
        </w:rPr>
        <w:t>, 2017 Cabinet</w:t>
      </w:r>
      <w:r w:rsidR="007F2AB9" w:rsidRPr="00C05B4C">
        <w:rPr>
          <w:rFonts w:ascii="Arial" w:eastAsia="+mn-ea" w:hAnsi="Arial" w:cs="Arial"/>
          <w:spacing w:val="-1"/>
          <w:kern w:val="24"/>
        </w:rPr>
        <w:t xml:space="preserve"> Submission</w:t>
      </w:r>
      <w:r w:rsidR="00760E40" w:rsidRPr="00C05B4C">
        <w:rPr>
          <w:rFonts w:ascii="Arial" w:eastAsia="+mn-ea" w:hAnsi="Arial" w:cs="Arial"/>
          <w:spacing w:val="-1"/>
          <w:kern w:val="24"/>
        </w:rPr>
        <w:t xml:space="preserve">.  Note: </w:t>
      </w:r>
      <w:r w:rsidR="00760E40" w:rsidRPr="00C05B4C">
        <w:rPr>
          <w:rFonts w:ascii="Arial" w:hAnsi="Arial" w:cs="Arial"/>
        </w:rPr>
        <w:t xml:space="preserve">On June 1, 2017, the </w:t>
      </w:r>
      <w:r w:rsidR="00760E40" w:rsidRPr="00C05B4C">
        <w:rPr>
          <w:rFonts w:ascii="Arial" w:hAnsi="Arial" w:cs="Arial"/>
          <w:i/>
        </w:rPr>
        <w:t>OFHPA</w:t>
      </w:r>
      <w:r w:rsidR="00760E40" w:rsidRPr="00C05B4C">
        <w:rPr>
          <w:rFonts w:ascii="Arial" w:hAnsi="Arial" w:cs="Arial"/>
        </w:rPr>
        <w:t xml:space="preserve"> received Royal assent</w:t>
      </w:r>
      <w:r w:rsidR="00D63E76" w:rsidRPr="00C05B4C">
        <w:rPr>
          <w:rFonts w:ascii="Arial" w:eastAsia="+mn-ea" w:hAnsi="Arial" w:cs="Arial"/>
          <w:spacing w:val="-1"/>
          <w:kern w:val="24"/>
        </w:rPr>
        <w:t>.</w:t>
      </w:r>
    </w:p>
    <w:p w:rsidR="00034A9E" w:rsidRPr="00C05B4C" w:rsidRDefault="00034A9E" w:rsidP="00034A9E">
      <w:pPr>
        <w:pStyle w:val="ListParagraph"/>
        <w:rPr>
          <w:rFonts w:ascii="Arial" w:eastAsia="+mn-ea" w:hAnsi="Arial" w:cs="Arial"/>
          <w:spacing w:val="-1"/>
          <w:kern w:val="24"/>
        </w:rPr>
      </w:pPr>
    </w:p>
    <w:p w:rsidR="008633A9" w:rsidRPr="00C05B4C" w:rsidRDefault="00034A9E" w:rsidP="00B517C1">
      <w:pPr>
        <w:pStyle w:val="ListParagraph"/>
        <w:numPr>
          <w:ilvl w:val="0"/>
          <w:numId w:val="22"/>
        </w:numPr>
        <w:ind w:right="14"/>
        <w:rPr>
          <w:rFonts w:ascii="Arial" w:eastAsia="+mn-ea" w:hAnsi="Arial" w:cs="Arial"/>
          <w:spacing w:val="-1"/>
          <w:kern w:val="24"/>
        </w:rPr>
      </w:pPr>
      <w:r w:rsidRPr="00C05B4C">
        <w:rPr>
          <w:rFonts w:ascii="Arial" w:eastAsia="+mn-ea" w:hAnsi="Arial" w:cs="Arial"/>
          <w:spacing w:val="-1"/>
          <w:kern w:val="24"/>
        </w:rPr>
        <w:t>Developed supporting regulations which further contribute to the implementation of the OFHP under the legislation</w:t>
      </w:r>
      <w:r w:rsidR="00193789" w:rsidRPr="00C05B4C">
        <w:rPr>
          <w:rFonts w:ascii="Arial" w:eastAsia="+mn-ea" w:hAnsi="Arial" w:cs="Arial"/>
          <w:spacing w:val="-1"/>
          <w:kern w:val="24"/>
        </w:rPr>
        <w:t>;</w:t>
      </w:r>
    </w:p>
    <w:p w:rsidR="008633A9" w:rsidRPr="008633A9" w:rsidRDefault="008633A9" w:rsidP="008633A9">
      <w:pPr>
        <w:pStyle w:val="ListParagraph"/>
        <w:rPr>
          <w:rFonts w:ascii="Arial" w:eastAsia="+mn-ea" w:hAnsi="Arial" w:cs="Arial"/>
          <w:spacing w:val="-1"/>
          <w:kern w:val="24"/>
        </w:rPr>
      </w:pPr>
    </w:p>
    <w:p w:rsidR="00760E40" w:rsidRDefault="008633A9" w:rsidP="00B517C1">
      <w:pPr>
        <w:pStyle w:val="ListParagraph"/>
        <w:numPr>
          <w:ilvl w:val="0"/>
          <w:numId w:val="14"/>
        </w:numPr>
        <w:ind w:right="14"/>
        <w:rPr>
          <w:rFonts w:ascii="Arial" w:eastAsia="+mn-ea" w:hAnsi="Arial" w:cs="Arial"/>
          <w:spacing w:val="-1"/>
          <w:kern w:val="24"/>
        </w:rPr>
      </w:pPr>
      <w:r>
        <w:rPr>
          <w:rFonts w:ascii="Arial" w:eastAsia="+mn-ea" w:hAnsi="Arial" w:cs="Arial"/>
          <w:spacing w:val="-1"/>
          <w:kern w:val="24"/>
        </w:rPr>
        <w:t xml:space="preserve">One new regulation </w:t>
      </w:r>
      <w:r w:rsidR="0099137B">
        <w:rPr>
          <w:rFonts w:ascii="Arial" w:eastAsia="+mn-ea" w:hAnsi="Arial" w:cs="Arial"/>
          <w:spacing w:val="-1"/>
          <w:kern w:val="24"/>
        </w:rPr>
        <w:t>under the OFHPA</w:t>
      </w:r>
      <w:r w:rsidR="00D96AD7">
        <w:rPr>
          <w:rFonts w:ascii="Arial" w:eastAsia="+mn-ea" w:hAnsi="Arial" w:cs="Arial"/>
          <w:spacing w:val="-1"/>
          <w:kern w:val="24"/>
        </w:rPr>
        <w:t xml:space="preserve">, </w:t>
      </w:r>
      <w:r w:rsidR="00D96AD7" w:rsidRPr="00D96AD7">
        <w:rPr>
          <w:rFonts w:ascii="Arial" w:eastAsia="+mn-ea" w:hAnsi="Arial" w:cs="Arial"/>
          <w:i/>
          <w:spacing w:val="-1"/>
          <w:kern w:val="24"/>
        </w:rPr>
        <w:t>Ontario Regulation 195/17 Fair Adjustment under Part II of the Act</w:t>
      </w:r>
      <w:r w:rsidR="00D96AD7">
        <w:rPr>
          <w:rFonts w:ascii="Arial" w:eastAsia="+mn-ea" w:hAnsi="Arial" w:cs="Arial"/>
          <w:i/>
          <w:spacing w:val="-1"/>
          <w:kern w:val="24"/>
        </w:rPr>
        <w:t>.</w:t>
      </w:r>
      <w:r w:rsidR="0099137B" w:rsidRPr="00D96AD7">
        <w:rPr>
          <w:rFonts w:ascii="Arial" w:eastAsia="+mn-ea" w:hAnsi="Arial" w:cs="Arial"/>
          <w:i/>
          <w:spacing w:val="-1"/>
          <w:kern w:val="24"/>
        </w:rPr>
        <w:t xml:space="preserve"> </w:t>
      </w:r>
      <w:r w:rsidR="0099137B">
        <w:rPr>
          <w:rFonts w:ascii="Arial" w:eastAsia="+mn-ea" w:hAnsi="Arial" w:cs="Arial"/>
          <w:spacing w:val="-1"/>
          <w:kern w:val="24"/>
        </w:rPr>
        <w:t xml:space="preserve"> </w:t>
      </w:r>
      <w:r>
        <w:rPr>
          <w:rFonts w:ascii="Arial" w:eastAsia="+mn-ea" w:hAnsi="Arial" w:cs="Arial"/>
          <w:spacing w:val="-1"/>
          <w:kern w:val="24"/>
        </w:rPr>
        <w:t xml:space="preserve">and one amendment to existing regulation </w:t>
      </w:r>
      <w:r w:rsidR="0099137B">
        <w:rPr>
          <w:rFonts w:ascii="Arial" w:eastAsia="+mn-ea" w:hAnsi="Arial" w:cs="Arial"/>
          <w:spacing w:val="-1"/>
          <w:kern w:val="24"/>
        </w:rPr>
        <w:t xml:space="preserve">under the Electricity Act, 1998 (O. Reg. 280/14, IESO: Eligible Investments and Borrowing) </w:t>
      </w:r>
      <w:r w:rsidR="00BD5E68">
        <w:rPr>
          <w:rFonts w:ascii="Arial" w:eastAsia="+mn-ea" w:hAnsi="Arial" w:cs="Arial"/>
          <w:spacing w:val="-1"/>
          <w:kern w:val="24"/>
        </w:rPr>
        <w:t>went</w:t>
      </w:r>
      <w:r>
        <w:rPr>
          <w:rFonts w:ascii="Arial" w:eastAsia="+mn-ea" w:hAnsi="Arial" w:cs="Arial"/>
          <w:spacing w:val="-1"/>
          <w:kern w:val="24"/>
        </w:rPr>
        <w:t xml:space="preserve"> to </w:t>
      </w:r>
      <w:r w:rsidR="00BD5E68">
        <w:rPr>
          <w:rFonts w:ascii="Arial" w:eastAsia="+mn-ea" w:hAnsi="Arial" w:cs="Arial"/>
          <w:spacing w:val="-1"/>
          <w:kern w:val="24"/>
        </w:rPr>
        <w:t>LRC/Cabinet on</w:t>
      </w:r>
      <w:r>
        <w:rPr>
          <w:rFonts w:ascii="Arial" w:eastAsia="+mn-ea" w:hAnsi="Arial" w:cs="Arial"/>
          <w:spacing w:val="-1"/>
          <w:kern w:val="24"/>
        </w:rPr>
        <w:t xml:space="preserve"> June 14, 2017</w:t>
      </w:r>
      <w:r w:rsidR="00837CDF">
        <w:rPr>
          <w:rFonts w:ascii="Arial" w:eastAsia="+mn-ea" w:hAnsi="Arial" w:cs="Arial"/>
          <w:spacing w:val="-1"/>
          <w:kern w:val="24"/>
        </w:rPr>
        <w:t>; and</w:t>
      </w:r>
    </w:p>
    <w:p w:rsidR="00760E40" w:rsidRDefault="00760E40" w:rsidP="00760E40">
      <w:pPr>
        <w:pStyle w:val="ListParagraph"/>
        <w:ind w:left="1080" w:right="14"/>
        <w:rPr>
          <w:rFonts w:ascii="Arial" w:eastAsia="+mn-ea" w:hAnsi="Arial" w:cs="Arial"/>
          <w:spacing w:val="-1"/>
          <w:kern w:val="24"/>
        </w:rPr>
      </w:pPr>
    </w:p>
    <w:p w:rsidR="00034A9E" w:rsidRPr="00760E40" w:rsidRDefault="008633A9" w:rsidP="00B517C1">
      <w:pPr>
        <w:pStyle w:val="ListParagraph"/>
        <w:numPr>
          <w:ilvl w:val="0"/>
          <w:numId w:val="14"/>
        </w:numPr>
        <w:ind w:right="14"/>
        <w:rPr>
          <w:rFonts w:ascii="Arial" w:eastAsia="+mn-ea" w:hAnsi="Arial" w:cs="Arial"/>
          <w:spacing w:val="-1"/>
          <w:kern w:val="24"/>
        </w:rPr>
      </w:pPr>
      <w:r w:rsidRPr="00760E40">
        <w:rPr>
          <w:rFonts w:ascii="Arial" w:eastAsia="+mn-ea" w:hAnsi="Arial" w:cs="Arial"/>
          <w:spacing w:val="-1"/>
          <w:kern w:val="24"/>
        </w:rPr>
        <w:t xml:space="preserve">A further new </w:t>
      </w:r>
      <w:r w:rsidR="00F57F46" w:rsidRPr="00760E40">
        <w:rPr>
          <w:rFonts w:ascii="Arial" w:eastAsia="+mn-ea" w:hAnsi="Arial" w:cs="Arial"/>
          <w:spacing w:val="-1"/>
          <w:kern w:val="24"/>
        </w:rPr>
        <w:t xml:space="preserve">proposed </w:t>
      </w:r>
      <w:r w:rsidRPr="00760E40">
        <w:rPr>
          <w:rFonts w:ascii="Arial" w:eastAsia="+mn-ea" w:hAnsi="Arial" w:cs="Arial"/>
          <w:spacing w:val="-1"/>
          <w:kern w:val="24"/>
        </w:rPr>
        <w:t xml:space="preserve">regulation </w:t>
      </w:r>
      <w:r w:rsidR="00BD5E68">
        <w:rPr>
          <w:rFonts w:ascii="Arial" w:eastAsia="+mn-ea" w:hAnsi="Arial" w:cs="Arial"/>
          <w:spacing w:val="-1"/>
          <w:kern w:val="24"/>
        </w:rPr>
        <w:t>will</w:t>
      </w:r>
      <w:r w:rsidRPr="00760E40">
        <w:rPr>
          <w:rFonts w:ascii="Arial" w:eastAsia="+mn-ea" w:hAnsi="Arial" w:cs="Arial"/>
          <w:spacing w:val="-1"/>
          <w:kern w:val="24"/>
        </w:rPr>
        <w:t xml:space="preserve"> go to the June 27,2017 LRC</w:t>
      </w:r>
      <w:r w:rsidR="00760E40" w:rsidRPr="00760E40">
        <w:rPr>
          <w:rFonts w:ascii="Arial" w:eastAsia="+mn-ea" w:hAnsi="Arial" w:cs="Arial"/>
          <w:spacing w:val="-1"/>
          <w:kern w:val="24"/>
        </w:rPr>
        <w:t>/Cabinet</w:t>
      </w:r>
      <w:r w:rsidR="00B66FEA" w:rsidRPr="00760E40">
        <w:rPr>
          <w:rFonts w:ascii="Arial" w:eastAsia="+mn-ea" w:hAnsi="Arial" w:cs="Arial"/>
          <w:spacing w:val="-1"/>
          <w:kern w:val="24"/>
        </w:rPr>
        <w:t>.</w:t>
      </w:r>
    </w:p>
    <w:p w:rsidR="00E85E7B" w:rsidRPr="00CE63C3" w:rsidRDefault="00E85E7B" w:rsidP="00E85E7B">
      <w:pPr>
        <w:pStyle w:val="ListParagraph"/>
        <w:ind w:left="1080" w:right="14"/>
        <w:rPr>
          <w:rFonts w:ascii="Arial" w:hAnsi="Arial" w:cs="Arial"/>
        </w:rPr>
      </w:pPr>
    </w:p>
    <w:p w:rsidR="00DF73D9" w:rsidRDefault="00DF73D9" w:rsidP="00DF73D9">
      <w:pPr>
        <w:pStyle w:val="ListParagraph"/>
        <w:numPr>
          <w:ilvl w:val="0"/>
          <w:numId w:val="35"/>
        </w:numPr>
        <w:rPr>
          <w:rFonts w:ascii="Arial" w:eastAsia="+mn-ea" w:hAnsi="Arial" w:cs="Arial"/>
        </w:rPr>
      </w:pPr>
      <w:r w:rsidRPr="00DF73D9">
        <w:rPr>
          <w:rFonts w:ascii="Arial" w:eastAsia="+mn-ea" w:hAnsi="Arial" w:cs="Arial"/>
        </w:rPr>
        <w:t>Received accounting opinions from E&amp;Y (OPG) and KPMG (IESO);</w:t>
      </w:r>
    </w:p>
    <w:p w:rsidR="00DF73D9" w:rsidRPr="005B46D6" w:rsidRDefault="00DF73D9" w:rsidP="005B46D6">
      <w:pPr>
        <w:pStyle w:val="ListParagraph"/>
        <w:rPr>
          <w:rFonts w:ascii="Arial" w:eastAsia="+mn-ea" w:hAnsi="Arial" w:cs="Arial"/>
        </w:rPr>
      </w:pPr>
    </w:p>
    <w:p w:rsidR="00DF73D9" w:rsidRPr="00DF73D9" w:rsidRDefault="00DF73D9" w:rsidP="00DF73D9">
      <w:pPr>
        <w:pStyle w:val="ListParagraph"/>
        <w:numPr>
          <w:ilvl w:val="0"/>
          <w:numId w:val="35"/>
        </w:numPr>
        <w:rPr>
          <w:rFonts w:ascii="Arial" w:eastAsia="+mn-ea" w:hAnsi="Arial" w:cs="Arial"/>
        </w:rPr>
      </w:pPr>
      <w:r w:rsidRPr="00DF73D9">
        <w:rPr>
          <w:rFonts w:ascii="Arial" w:eastAsia="+mn-ea" w:hAnsi="Arial" w:cs="Arial"/>
        </w:rPr>
        <w:t>Received independent advice regarding financing and legal requirements from TD Securities (OFA) and Blakes (ENERGY); and</w:t>
      </w:r>
    </w:p>
    <w:p w:rsidR="00760E40" w:rsidRDefault="00760E40" w:rsidP="00760E40">
      <w:pPr>
        <w:pStyle w:val="ListParagraph"/>
        <w:rPr>
          <w:rFonts w:ascii="Arial" w:eastAsia="+mn-ea" w:hAnsi="Arial" w:cs="Arial"/>
        </w:rPr>
      </w:pPr>
    </w:p>
    <w:p w:rsidR="009D7ADE" w:rsidRPr="00760E40" w:rsidRDefault="009D7ADE" w:rsidP="00B517C1">
      <w:pPr>
        <w:pStyle w:val="ListParagraph"/>
        <w:numPr>
          <w:ilvl w:val="0"/>
          <w:numId w:val="35"/>
        </w:numPr>
        <w:rPr>
          <w:rFonts w:ascii="Arial" w:eastAsia="+mn-ea" w:hAnsi="Arial" w:cs="Arial"/>
        </w:rPr>
      </w:pPr>
      <w:r w:rsidRPr="00760E40">
        <w:rPr>
          <w:rFonts w:ascii="Arial" w:eastAsia="+mn-ea" w:hAnsi="Arial" w:cs="Arial"/>
          <w:spacing w:val="-1"/>
          <w:kern w:val="24"/>
        </w:rPr>
        <w:t>Launched a third party technical analysis project to assist with implementation of GA refinancing</w:t>
      </w:r>
      <w:r w:rsidR="00F72943" w:rsidRPr="005B46D6">
        <w:rPr>
          <w:rFonts w:ascii="Arial" w:eastAsia="+mn-ea" w:hAnsi="Arial" w:cs="Arial"/>
          <w:spacing w:val="-1"/>
          <w:kern w:val="24"/>
        </w:rPr>
        <w:t>.</w:t>
      </w:r>
      <w:r w:rsidR="00D653A8" w:rsidRPr="005B46D6">
        <w:rPr>
          <w:rFonts w:ascii="Arial" w:eastAsia="+mn-ea" w:hAnsi="Arial" w:cs="Arial"/>
          <w:spacing w:val="-1"/>
          <w:kern w:val="24"/>
        </w:rPr>
        <w:t xml:space="preserve"> </w:t>
      </w:r>
      <w:r w:rsidR="007D1086" w:rsidRPr="005B46D6">
        <w:rPr>
          <w:rFonts w:ascii="Arial" w:eastAsia="+mn-ea" w:hAnsi="Arial" w:cs="Arial"/>
          <w:spacing w:val="-1"/>
          <w:kern w:val="24"/>
        </w:rPr>
        <w:t>Scope of work incl</w:t>
      </w:r>
      <w:r w:rsidR="007D1086" w:rsidRPr="00EB0766">
        <w:rPr>
          <w:rFonts w:ascii="Arial" w:eastAsia="+mn-ea" w:hAnsi="Arial" w:cs="Arial"/>
          <w:spacing w:val="-1"/>
          <w:kern w:val="24"/>
        </w:rPr>
        <w:t xml:space="preserve">udes </w:t>
      </w:r>
      <w:r w:rsidR="007D1086" w:rsidRPr="00C47943">
        <w:rPr>
          <w:rFonts w:ascii="Arial" w:eastAsia="+mn-ea" w:hAnsi="Arial" w:cs="Arial"/>
          <w:spacing w:val="-1"/>
          <w:kern w:val="24"/>
        </w:rPr>
        <w:t>analysing the</w:t>
      </w:r>
      <w:r w:rsidR="00D653A8" w:rsidRPr="00C47943">
        <w:rPr>
          <w:rFonts w:ascii="Arial" w:eastAsia="+mn-ea" w:hAnsi="Arial" w:cs="Arial"/>
          <w:spacing w:val="-1"/>
          <w:kern w:val="24"/>
        </w:rPr>
        <w:t xml:space="preserve"> </w:t>
      </w:r>
      <w:r w:rsidR="007D1086" w:rsidRPr="005B46D6">
        <w:rPr>
          <w:rFonts w:ascii="Arial" w:hAnsi="Arial" w:cs="Arial"/>
        </w:rPr>
        <w:t>expected lifecycle of the existing generation infrastructure</w:t>
      </w:r>
      <w:r w:rsidR="007D1086" w:rsidRPr="005B46D6">
        <w:rPr>
          <w:rFonts w:ascii="Arial" w:eastAsia="+mn-ea" w:hAnsi="Arial" w:cs="Arial"/>
          <w:spacing w:val="-1"/>
          <w:kern w:val="24"/>
        </w:rPr>
        <w:t xml:space="preserve"> </w:t>
      </w:r>
      <w:r w:rsidR="005B46D6" w:rsidRPr="005B46D6">
        <w:rPr>
          <w:rFonts w:ascii="Arial" w:eastAsia="+mn-ea" w:hAnsi="Arial" w:cs="Arial"/>
          <w:spacing w:val="-1"/>
          <w:kern w:val="24"/>
        </w:rPr>
        <w:t>and related</w:t>
      </w:r>
      <w:r w:rsidR="005B46D6" w:rsidRPr="00EB0766">
        <w:rPr>
          <w:rFonts w:ascii="Arial" w:eastAsia="+mn-ea" w:hAnsi="Arial" w:cs="Arial"/>
          <w:spacing w:val="-1"/>
          <w:kern w:val="24"/>
        </w:rPr>
        <w:t xml:space="preserve"> </w:t>
      </w:r>
      <w:r w:rsidR="005B46D6" w:rsidRPr="00C47943">
        <w:rPr>
          <w:rFonts w:ascii="Arial" w:eastAsia="+mn-ea" w:hAnsi="Arial" w:cs="Arial"/>
          <w:spacing w:val="-1"/>
          <w:kern w:val="24"/>
        </w:rPr>
        <w:t>financial modeling</w:t>
      </w:r>
      <w:r w:rsidR="00C47943">
        <w:rPr>
          <w:rFonts w:ascii="Arial" w:eastAsia="+mn-ea" w:hAnsi="Arial" w:cs="Arial"/>
          <w:spacing w:val="-1"/>
          <w:kern w:val="24"/>
        </w:rPr>
        <w:t xml:space="preserve"> of costs over an extended timeframe</w:t>
      </w:r>
      <w:r w:rsidR="00890C3D" w:rsidRPr="00C47943">
        <w:rPr>
          <w:rFonts w:ascii="Arial" w:eastAsia="+mn-ea" w:hAnsi="Arial" w:cs="Arial"/>
          <w:spacing w:val="-1"/>
          <w:kern w:val="24"/>
        </w:rPr>
        <w:t>.</w:t>
      </w:r>
    </w:p>
    <w:p w:rsidR="00F72943" w:rsidRPr="00760E40" w:rsidRDefault="00F72943" w:rsidP="00AD1460">
      <w:pPr>
        <w:rPr>
          <w:rFonts w:ascii="Arial" w:hAnsi="Arial" w:cs="Arial"/>
        </w:rPr>
      </w:pPr>
    </w:p>
    <w:p w:rsidR="005518CF" w:rsidRPr="00B17FF1" w:rsidRDefault="00323877">
      <w:pPr>
        <w:ind w:left="426"/>
        <w:rPr>
          <w:rFonts w:ascii="Arial" w:eastAsiaTheme="minorHAnsi" w:hAnsi="Arial"/>
        </w:rPr>
      </w:pPr>
      <w:r w:rsidRPr="00AD1460">
        <w:rPr>
          <w:rFonts w:ascii="Arial" w:hAnsi="Arial" w:cs="Arial"/>
        </w:rPr>
        <w:t xml:space="preserve">On June 27, 2017, to support implementation of OFHP, LRC / Cabinet will review </w:t>
      </w:r>
      <w:r w:rsidR="005518CF" w:rsidRPr="00AD1460">
        <w:rPr>
          <w:rFonts w:ascii="Arial" w:hAnsi="Arial" w:cs="Arial"/>
        </w:rPr>
        <w:t>the following regulation:</w:t>
      </w:r>
    </w:p>
    <w:p w:rsidR="005518CF" w:rsidRPr="006F2163" w:rsidRDefault="005518CF">
      <w:pPr>
        <w:pStyle w:val="ListParagraph"/>
        <w:rPr>
          <w:rFonts w:ascii="Arial" w:eastAsiaTheme="minorHAnsi" w:hAnsi="Arial"/>
        </w:rPr>
      </w:pPr>
    </w:p>
    <w:p w:rsidR="00323877" w:rsidRPr="006F2163" w:rsidRDefault="005518CF">
      <w:pPr>
        <w:ind w:left="426"/>
        <w:rPr>
          <w:rFonts w:ascii="Arial" w:eastAsiaTheme="minorHAnsi" w:hAnsi="Arial"/>
          <w:u w:val="single"/>
        </w:rPr>
      </w:pPr>
      <w:r w:rsidRPr="006F2163">
        <w:rPr>
          <w:rFonts w:ascii="Arial" w:hAnsi="Arial"/>
          <w:u w:val="single"/>
        </w:rPr>
        <w:t xml:space="preserve">Creating </w:t>
      </w:r>
      <w:r w:rsidR="00323877" w:rsidRPr="006F2163">
        <w:rPr>
          <w:rFonts w:ascii="Arial" w:hAnsi="Arial"/>
          <w:u w:val="single"/>
        </w:rPr>
        <w:t xml:space="preserve">a new Regulation (“General Regulation”) to be made under the </w:t>
      </w:r>
      <w:r w:rsidR="00323877" w:rsidRPr="006F2163">
        <w:rPr>
          <w:rFonts w:ascii="Arial" w:hAnsi="Arial"/>
          <w:i/>
          <w:u w:val="single"/>
        </w:rPr>
        <w:t>Ontario Fair Hydro Plan Act</w:t>
      </w:r>
      <w:r w:rsidR="00323877" w:rsidRPr="006F2163">
        <w:rPr>
          <w:rFonts w:ascii="Arial" w:hAnsi="Arial"/>
          <w:u w:val="single"/>
        </w:rPr>
        <w:t>, 2017</w:t>
      </w:r>
      <w:r w:rsidR="006F2163">
        <w:rPr>
          <w:rFonts w:ascii="Arial" w:hAnsi="Arial"/>
          <w:u w:val="single"/>
        </w:rPr>
        <w:t xml:space="preserve">, </w:t>
      </w:r>
      <w:r w:rsidRPr="00B17FF1">
        <w:rPr>
          <w:rFonts w:ascii="Arial" w:hAnsi="Arial"/>
          <w:u w:val="single"/>
        </w:rPr>
        <w:t>which is Schedule 1 of the Fair Hydro Act, 2017.</w:t>
      </w:r>
      <w:r w:rsidR="00323877" w:rsidRPr="006F2163">
        <w:rPr>
          <w:rFonts w:ascii="Arial" w:hAnsi="Arial"/>
          <w:u w:val="single"/>
        </w:rPr>
        <w:t xml:space="preserve"> </w:t>
      </w:r>
    </w:p>
    <w:p w:rsidR="00571EB9" w:rsidRDefault="00571EB9" w:rsidP="00571EB9">
      <w:pPr>
        <w:ind w:left="360"/>
        <w:rPr>
          <w:rFonts w:ascii="Arial" w:hAnsi="Arial" w:cs="Arial"/>
          <w:lang w:val="en-US"/>
        </w:rPr>
      </w:pPr>
    </w:p>
    <w:p w:rsidR="00571EB9" w:rsidRPr="009A3710" w:rsidRDefault="00571EB9" w:rsidP="00571EB9">
      <w:pPr>
        <w:pStyle w:val="ListParagraph"/>
        <w:numPr>
          <w:ilvl w:val="0"/>
          <w:numId w:val="45"/>
        </w:numPr>
        <w:rPr>
          <w:rFonts w:ascii="Arial" w:hAnsi="Arial" w:cs="Arial"/>
          <w:lang w:val="en-US"/>
        </w:rPr>
      </w:pPr>
      <w:r>
        <w:rPr>
          <w:rFonts w:ascii="Arial" w:hAnsi="Arial" w:cs="Arial"/>
          <w:lang w:val="en-US"/>
        </w:rPr>
        <w:t>T</w:t>
      </w:r>
      <w:r w:rsidRPr="009A3710">
        <w:rPr>
          <w:rFonts w:ascii="Arial" w:hAnsi="Arial" w:cs="Arial"/>
          <w:lang w:val="en-US"/>
        </w:rPr>
        <w:t>he proposed regulation support</w:t>
      </w:r>
      <w:r w:rsidR="006F2163">
        <w:rPr>
          <w:rFonts w:ascii="Arial" w:hAnsi="Arial" w:cs="Arial"/>
          <w:lang w:val="en-US"/>
        </w:rPr>
        <w:t>s</w:t>
      </w:r>
      <w:r w:rsidRPr="009A3710">
        <w:rPr>
          <w:rFonts w:ascii="Arial" w:hAnsi="Arial" w:cs="Arial"/>
          <w:lang w:val="en-US"/>
        </w:rPr>
        <w:t xml:space="preserve"> key aspects of the OFHPA including:</w:t>
      </w:r>
    </w:p>
    <w:p w:rsidR="00571EB9" w:rsidRPr="001F0184" w:rsidRDefault="00571EB9" w:rsidP="00571EB9">
      <w:pPr>
        <w:ind w:left="720"/>
        <w:rPr>
          <w:rFonts w:ascii="Arial" w:hAnsi="Arial" w:cs="Arial"/>
          <w:lang w:val="en-US"/>
        </w:rPr>
      </w:pPr>
    </w:p>
    <w:p w:rsidR="00571EB9" w:rsidRDefault="00BF1D59" w:rsidP="006C63AE">
      <w:pPr>
        <w:pStyle w:val="ListParagraph"/>
        <w:numPr>
          <w:ilvl w:val="0"/>
          <w:numId w:val="62"/>
        </w:numPr>
        <w:rPr>
          <w:rFonts w:ascii="Arial" w:hAnsi="Arial" w:cs="Arial"/>
          <w:lang w:val="en-US"/>
        </w:rPr>
      </w:pPr>
      <w:r>
        <w:rPr>
          <w:rFonts w:ascii="Arial" w:hAnsi="Arial" w:cs="Arial"/>
          <w:lang w:val="en-US"/>
        </w:rPr>
        <w:t xml:space="preserve">Details around </w:t>
      </w:r>
      <w:r w:rsidR="00571EB9" w:rsidRPr="003E3CE5">
        <w:rPr>
          <w:rFonts w:ascii="Arial" w:hAnsi="Arial" w:cs="Arial"/>
          <w:lang w:val="en-US"/>
        </w:rPr>
        <w:t xml:space="preserve"> establishment and transfer of portions of the regulatory asset</w:t>
      </w:r>
      <w:r w:rsidR="00571EB9">
        <w:rPr>
          <w:rFonts w:ascii="Arial" w:hAnsi="Arial" w:cs="Arial"/>
          <w:lang w:val="en-US"/>
        </w:rPr>
        <w:t>;</w:t>
      </w:r>
    </w:p>
    <w:p w:rsidR="00571EB9" w:rsidRDefault="00571EB9" w:rsidP="006C63AE">
      <w:pPr>
        <w:pStyle w:val="ListParagraph"/>
        <w:numPr>
          <w:ilvl w:val="0"/>
          <w:numId w:val="62"/>
        </w:numPr>
        <w:rPr>
          <w:rFonts w:ascii="Arial" w:hAnsi="Arial" w:cs="Arial"/>
          <w:lang w:val="en-US"/>
        </w:rPr>
      </w:pPr>
      <w:r>
        <w:rPr>
          <w:rFonts w:ascii="Arial" w:hAnsi="Arial" w:cs="Arial"/>
          <w:lang w:val="en-US"/>
        </w:rPr>
        <w:t>T</w:t>
      </w:r>
      <w:r w:rsidRPr="003E3CE5">
        <w:rPr>
          <w:rFonts w:ascii="Arial" w:hAnsi="Arial" w:cs="Arial"/>
          <w:lang w:val="en-US"/>
        </w:rPr>
        <w:t xml:space="preserve">he establishment </w:t>
      </w:r>
      <w:r>
        <w:rPr>
          <w:rFonts w:ascii="Arial" w:hAnsi="Arial" w:cs="Arial"/>
          <w:lang w:val="en-US"/>
        </w:rPr>
        <w:t>of the OFHPA-related deferral and</w:t>
      </w:r>
      <w:r w:rsidRPr="003E3CE5">
        <w:rPr>
          <w:rFonts w:ascii="Arial" w:hAnsi="Arial" w:cs="Arial"/>
          <w:lang w:val="en-US"/>
        </w:rPr>
        <w:t xml:space="preserve"> variance account</w:t>
      </w:r>
      <w:r>
        <w:rPr>
          <w:rFonts w:ascii="Arial" w:hAnsi="Arial" w:cs="Arial"/>
          <w:lang w:val="en-US"/>
        </w:rPr>
        <w:t xml:space="preserve"> to be held by the Independent Electricity System Operator (IESO);</w:t>
      </w:r>
    </w:p>
    <w:p w:rsidR="00571EB9" w:rsidRDefault="00571EB9" w:rsidP="006C63AE">
      <w:pPr>
        <w:pStyle w:val="ListParagraph"/>
        <w:numPr>
          <w:ilvl w:val="0"/>
          <w:numId w:val="62"/>
        </w:numPr>
        <w:rPr>
          <w:rFonts w:ascii="Arial" w:hAnsi="Arial" w:cs="Arial"/>
          <w:lang w:val="en-US"/>
        </w:rPr>
      </w:pPr>
      <w:r>
        <w:rPr>
          <w:rFonts w:ascii="Arial" w:hAnsi="Arial" w:cs="Arial"/>
          <w:lang w:val="en-US"/>
        </w:rPr>
        <w:t>The definition and details regarding  the “funding obligation” which relates to the recovery of moneys borrowed by OPG/</w:t>
      </w:r>
      <w:r w:rsidR="00F21451">
        <w:rPr>
          <w:rFonts w:ascii="Arial" w:hAnsi="Arial" w:cs="Arial"/>
          <w:lang w:val="en-US"/>
        </w:rPr>
        <w:t>financing entity</w:t>
      </w:r>
      <w:r>
        <w:rPr>
          <w:rFonts w:ascii="Arial" w:hAnsi="Arial" w:cs="Arial"/>
          <w:lang w:val="en-US"/>
        </w:rPr>
        <w:t xml:space="preserve"> to fund GA refinancing; </w:t>
      </w:r>
    </w:p>
    <w:p w:rsidR="00571EB9" w:rsidRDefault="00571EB9" w:rsidP="006C63AE">
      <w:pPr>
        <w:pStyle w:val="ListParagraph"/>
        <w:numPr>
          <w:ilvl w:val="0"/>
          <w:numId w:val="62"/>
        </w:numPr>
        <w:rPr>
          <w:rFonts w:ascii="Arial" w:hAnsi="Arial" w:cs="Arial"/>
          <w:lang w:val="en-US"/>
        </w:rPr>
      </w:pPr>
      <w:r>
        <w:rPr>
          <w:rFonts w:ascii="Arial" w:hAnsi="Arial" w:cs="Arial"/>
          <w:lang w:val="en-US"/>
        </w:rPr>
        <w:t>Methodology related to the calculation</w:t>
      </w:r>
      <w:r w:rsidR="00F21451">
        <w:rPr>
          <w:rFonts w:ascii="Arial" w:hAnsi="Arial" w:cs="Arial"/>
          <w:lang w:val="en-US"/>
        </w:rPr>
        <w:t xml:space="preserve"> by the FSM</w:t>
      </w:r>
      <w:r>
        <w:rPr>
          <w:rFonts w:ascii="Arial" w:hAnsi="Arial" w:cs="Arial"/>
          <w:lang w:val="en-US"/>
        </w:rPr>
        <w:t xml:space="preserve"> of the Clean Energy Adjustment  (</w:t>
      </w:r>
      <w:r w:rsidR="00C5669B">
        <w:rPr>
          <w:rFonts w:ascii="Arial" w:hAnsi="Arial" w:cs="Arial"/>
          <w:lang w:val="en-US"/>
        </w:rPr>
        <w:t xml:space="preserve">CEA, </w:t>
      </w:r>
      <w:r>
        <w:rPr>
          <w:rFonts w:ascii="Arial" w:hAnsi="Arial" w:cs="Arial"/>
          <w:lang w:val="en-US"/>
        </w:rPr>
        <w:t>i.e., the total amount payable by electricity consumers each reference period)</w:t>
      </w:r>
      <w:r w:rsidR="00F21451">
        <w:rPr>
          <w:rFonts w:ascii="Arial" w:hAnsi="Arial" w:cs="Arial"/>
          <w:lang w:val="en-US"/>
        </w:rPr>
        <w:t xml:space="preserve"> including the communication of the CEA amounts to be collected to the OEB for its use in setting rates</w:t>
      </w:r>
      <w:r>
        <w:rPr>
          <w:rFonts w:ascii="Arial" w:hAnsi="Arial" w:cs="Arial"/>
          <w:lang w:val="en-US"/>
        </w:rPr>
        <w:t xml:space="preserve">; </w:t>
      </w:r>
    </w:p>
    <w:p w:rsidR="00571EB9" w:rsidRDefault="00571EB9" w:rsidP="006C63AE">
      <w:pPr>
        <w:pStyle w:val="ListParagraph"/>
        <w:numPr>
          <w:ilvl w:val="0"/>
          <w:numId w:val="62"/>
        </w:numPr>
        <w:rPr>
          <w:rFonts w:ascii="Arial" w:hAnsi="Arial" w:cs="Arial"/>
          <w:lang w:val="en-US"/>
        </w:rPr>
      </w:pPr>
      <w:r>
        <w:rPr>
          <w:rFonts w:ascii="Arial" w:hAnsi="Arial" w:cs="Arial"/>
          <w:lang w:val="en-US"/>
        </w:rPr>
        <w:t xml:space="preserve">Determination of rates and amounts related to the recovery of the </w:t>
      </w:r>
      <w:r w:rsidR="00C5669B">
        <w:rPr>
          <w:rFonts w:ascii="Arial" w:hAnsi="Arial" w:cs="Arial"/>
          <w:lang w:val="en-US"/>
        </w:rPr>
        <w:t>CEA</w:t>
      </w:r>
      <w:r>
        <w:rPr>
          <w:rFonts w:ascii="Arial" w:hAnsi="Arial" w:cs="Arial"/>
          <w:lang w:val="en-US"/>
        </w:rPr>
        <w:t xml:space="preserve"> under which regulated rate consumers must be invoiced and which must be used in the calculation of rates for non-regulated consumers;</w:t>
      </w:r>
    </w:p>
    <w:p w:rsidR="00571EB9" w:rsidRDefault="00571EB9" w:rsidP="006C63AE">
      <w:pPr>
        <w:pStyle w:val="ListParagraph"/>
        <w:numPr>
          <w:ilvl w:val="0"/>
          <w:numId w:val="62"/>
        </w:numPr>
        <w:rPr>
          <w:rFonts w:ascii="Arial" w:hAnsi="Arial" w:cs="Arial"/>
          <w:lang w:val="en-US"/>
        </w:rPr>
      </w:pPr>
      <w:r>
        <w:rPr>
          <w:rFonts w:ascii="Arial" w:hAnsi="Arial" w:cs="Arial"/>
          <w:lang w:val="en-US"/>
        </w:rPr>
        <w:t xml:space="preserve">Requirements </w:t>
      </w:r>
      <w:r w:rsidR="00C5669B">
        <w:rPr>
          <w:rFonts w:ascii="Arial" w:hAnsi="Arial" w:cs="Arial"/>
          <w:lang w:val="en-US"/>
        </w:rPr>
        <w:t>for</w:t>
      </w:r>
      <w:r w:rsidR="00F21451">
        <w:rPr>
          <w:rFonts w:ascii="Arial" w:hAnsi="Arial" w:cs="Arial"/>
          <w:lang w:val="en-US"/>
        </w:rPr>
        <w:t xml:space="preserve"> electricity vendors</w:t>
      </w:r>
      <w:r>
        <w:rPr>
          <w:rFonts w:ascii="Arial" w:hAnsi="Arial" w:cs="Arial"/>
          <w:lang w:val="en-US"/>
        </w:rPr>
        <w:t xml:space="preserve"> </w:t>
      </w:r>
      <w:r w:rsidR="00F21451">
        <w:rPr>
          <w:rFonts w:ascii="Arial" w:hAnsi="Arial" w:cs="Arial"/>
          <w:lang w:val="en-US"/>
        </w:rPr>
        <w:t>(</w:t>
      </w:r>
      <w:r>
        <w:rPr>
          <w:rFonts w:ascii="Arial" w:hAnsi="Arial" w:cs="Arial"/>
          <w:lang w:val="en-US"/>
        </w:rPr>
        <w:t>the IESO, LDCs, retailers and unit sub-meter providers (USMPs)</w:t>
      </w:r>
      <w:r w:rsidR="00F21451">
        <w:rPr>
          <w:rFonts w:ascii="Arial" w:hAnsi="Arial" w:cs="Arial"/>
          <w:lang w:val="en-US"/>
        </w:rPr>
        <w:t>)</w:t>
      </w:r>
      <w:r>
        <w:rPr>
          <w:rFonts w:ascii="Arial" w:hAnsi="Arial" w:cs="Arial"/>
          <w:lang w:val="en-US"/>
        </w:rPr>
        <w:t xml:space="preserve"> in relation to the collection of amounts in respect of the </w:t>
      </w:r>
      <w:r w:rsidR="00C5669B">
        <w:rPr>
          <w:rFonts w:ascii="Arial" w:hAnsi="Arial" w:cs="Arial"/>
          <w:lang w:val="en-US"/>
        </w:rPr>
        <w:t>CEA</w:t>
      </w:r>
      <w:r>
        <w:rPr>
          <w:rFonts w:ascii="Arial" w:hAnsi="Arial" w:cs="Arial"/>
          <w:lang w:val="en-US"/>
        </w:rPr>
        <w:t xml:space="preserve"> from electricity consumers;</w:t>
      </w:r>
    </w:p>
    <w:p w:rsidR="00571EB9" w:rsidRDefault="00F21451" w:rsidP="006C63AE">
      <w:pPr>
        <w:pStyle w:val="ListParagraph"/>
        <w:numPr>
          <w:ilvl w:val="0"/>
          <w:numId w:val="62"/>
        </w:numPr>
        <w:rPr>
          <w:rFonts w:ascii="Arial" w:hAnsi="Arial" w:cs="Arial"/>
          <w:lang w:val="en-US"/>
        </w:rPr>
      </w:pPr>
      <w:r>
        <w:rPr>
          <w:rFonts w:ascii="Arial" w:hAnsi="Arial" w:cs="Arial"/>
          <w:lang w:val="en-US"/>
        </w:rPr>
        <w:t>The composition of the FSM</w:t>
      </w:r>
      <w:r w:rsidR="00C5669B">
        <w:rPr>
          <w:rFonts w:ascii="Arial" w:hAnsi="Arial" w:cs="Arial"/>
          <w:lang w:val="en-US"/>
        </w:rPr>
        <w:t>’s</w:t>
      </w:r>
      <w:r>
        <w:rPr>
          <w:rFonts w:ascii="Arial" w:hAnsi="Arial" w:cs="Arial"/>
          <w:lang w:val="en-US"/>
        </w:rPr>
        <w:t xml:space="preserve"> fees and the </w:t>
      </w:r>
      <w:r w:rsidR="00571EB9">
        <w:rPr>
          <w:rFonts w:ascii="Arial" w:hAnsi="Arial" w:cs="Arial"/>
          <w:lang w:val="en-US"/>
        </w:rPr>
        <w:t xml:space="preserve">OEB’s role in the review of </w:t>
      </w:r>
      <w:r>
        <w:rPr>
          <w:rFonts w:ascii="Arial" w:hAnsi="Arial" w:cs="Arial"/>
          <w:lang w:val="en-US"/>
        </w:rPr>
        <w:t>those</w:t>
      </w:r>
      <w:r w:rsidR="00571EB9">
        <w:rPr>
          <w:rFonts w:ascii="Arial" w:hAnsi="Arial" w:cs="Arial"/>
          <w:lang w:val="en-US"/>
        </w:rPr>
        <w:t xml:space="preserve"> (i.e., the fees related to the ongoing operation of the </w:t>
      </w:r>
      <w:r>
        <w:rPr>
          <w:rFonts w:ascii="Arial" w:hAnsi="Arial" w:cs="Arial"/>
          <w:lang w:val="en-US"/>
        </w:rPr>
        <w:t>FSM</w:t>
      </w:r>
      <w:r w:rsidR="00571EB9">
        <w:rPr>
          <w:rFonts w:ascii="Arial" w:hAnsi="Arial" w:cs="Arial"/>
          <w:lang w:val="en-US"/>
        </w:rPr>
        <w:t xml:space="preserve"> during the period of GA Refinancing);</w:t>
      </w:r>
    </w:p>
    <w:p w:rsidR="00571EB9" w:rsidRDefault="00571EB9" w:rsidP="006C63AE">
      <w:pPr>
        <w:pStyle w:val="ListParagraph"/>
        <w:numPr>
          <w:ilvl w:val="0"/>
          <w:numId w:val="62"/>
        </w:numPr>
        <w:rPr>
          <w:rFonts w:ascii="Arial" w:hAnsi="Arial" w:cs="Arial"/>
          <w:lang w:val="en-US"/>
        </w:rPr>
      </w:pPr>
      <w:r>
        <w:rPr>
          <w:rFonts w:ascii="Arial" w:hAnsi="Arial" w:cs="Arial"/>
          <w:lang w:val="en-US"/>
        </w:rPr>
        <w:t>Details related to the methodology</w:t>
      </w:r>
      <w:r w:rsidRPr="003E3CE5">
        <w:rPr>
          <w:rFonts w:ascii="Arial" w:hAnsi="Arial" w:cs="Arial"/>
          <w:lang w:val="en-US"/>
        </w:rPr>
        <w:t xml:space="preserve"> t</w:t>
      </w:r>
      <w:r>
        <w:rPr>
          <w:rFonts w:ascii="Arial" w:hAnsi="Arial" w:cs="Arial"/>
          <w:lang w:val="en-US"/>
        </w:rPr>
        <w:t>o be used by the</w:t>
      </w:r>
      <w:r w:rsidRPr="003E3CE5">
        <w:rPr>
          <w:rFonts w:ascii="Arial" w:hAnsi="Arial" w:cs="Arial"/>
          <w:lang w:val="en-US"/>
        </w:rPr>
        <w:t xml:space="preserve"> Minister in the calculation of the Fair Allocation amount</w:t>
      </w:r>
      <w:r>
        <w:rPr>
          <w:rFonts w:ascii="Arial" w:hAnsi="Arial" w:cs="Arial"/>
          <w:lang w:val="en-US"/>
        </w:rPr>
        <w:t xml:space="preserve"> (i.e.</w:t>
      </w:r>
      <w:r w:rsidRPr="003E3CE5">
        <w:t xml:space="preserve"> </w:t>
      </w:r>
      <w:r>
        <w:rPr>
          <w:rFonts w:ascii="Arial" w:hAnsi="Arial" w:cs="Arial"/>
          <w:lang w:val="en-US"/>
        </w:rPr>
        <w:t>a calculation of the</w:t>
      </w:r>
      <w:r w:rsidRPr="003E3CE5">
        <w:rPr>
          <w:rFonts w:ascii="Arial" w:hAnsi="Arial" w:cs="Arial"/>
          <w:lang w:val="en-US"/>
        </w:rPr>
        <w:t xml:space="preserve"> fair allocation of clean energy costs over time</w:t>
      </w:r>
      <w:r>
        <w:rPr>
          <w:rFonts w:ascii="Arial" w:hAnsi="Arial" w:cs="Arial"/>
          <w:lang w:val="en-US"/>
        </w:rPr>
        <w:t>);</w:t>
      </w:r>
      <w:r w:rsidR="000B2FB2">
        <w:rPr>
          <w:rFonts w:ascii="Arial" w:hAnsi="Arial" w:cs="Arial"/>
          <w:lang w:val="en-US"/>
        </w:rPr>
        <w:t xml:space="preserve"> and</w:t>
      </w:r>
    </w:p>
    <w:p w:rsidR="00571EB9" w:rsidRDefault="00571EB9" w:rsidP="006C63AE">
      <w:pPr>
        <w:pStyle w:val="ListParagraph"/>
        <w:numPr>
          <w:ilvl w:val="0"/>
          <w:numId w:val="62"/>
        </w:numPr>
        <w:rPr>
          <w:rFonts w:ascii="Arial" w:hAnsi="Arial" w:cs="Arial"/>
          <w:lang w:val="en-US"/>
        </w:rPr>
      </w:pPr>
      <w:r>
        <w:rPr>
          <w:rFonts w:ascii="Arial" w:hAnsi="Arial" w:cs="Arial"/>
          <w:lang w:val="en-US"/>
        </w:rPr>
        <w:t>F</w:t>
      </w:r>
      <w:r w:rsidRPr="003E3CE5">
        <w:rPr>
          <w:rFonts w:ascii="Arial" w:hAnsi="Arial" w:cs="Arial"/>
          <w:lang w:val="en-US"/>
        </w:rPr>
        <w:t xml:space="preserve">urther criteria related to the development and implementation of the Financing Plan by the </w:t>
      </w:r>
      <w:r w:rsidR="00C5669B">
        <w:rPr>
          <w:rFonts w:ascii="Arial" w:hAnsi="Arial" w:cs="Arial"/>
          <w:lang w:val="en-US"/>
        </w:rPr>
        <w:t>FSM</w:t>
      </w:r>
      <w:r w:rsidRPr="003E3CE5">
        <w:rPr>
          <w:rFonts w:ascii="Arial" w:hAnsi="Arial" w:cs="Arial"/>
          <w:lang w:val="en-US"/>
        </w:rPr>
        <w:t>.</w:t>
      </w:r>
    </w:p>
    <w:p w:rsidR="00571EB9" w:rsidRPr="005073C1" w:rsidRDefault="00571EB9" w:rsidP="005073C1">
      <w:pPr>
        <w:pStyle w:val="ListParagraph"/>
        <w:rPr>
          <w:rFonts w:ascii="Arial" w:eastAsiaTheme="minorHAnsi" w:hAnsi="Arial" w:cs="Arial"/>
          <w:lang w:val="en-US" w:eastAsia="en-US"/>
        </w:rPr>
      </w:pPr>
    </w:p>
    <w:p w:rsidR="00A72B61" w:rsidRPr="00CE63C3" w:rsidRDefault="00A72B61" w:rsidP="00A72B61">
      <w:pPr>
        <w:ind w:left="360" w:right="14"/>
        <w:rPr>
          <w:rFonts w:ascii="Arial" w:eastAsia="+mn-ea" w:hAnsi="Arial" w:cs="Arial"/>
          <w:spacing w:val="-1"/>
          <w:kern w:val="24"/>
          <w:u w:val="single"/>
        </w:rPr>
      </w:pPr>
      <w:r w:rsidRPr="00CE63C3">
        <w:rPr>
          <w:rFonts w:ascii="Arial" w:eastAsia="+mn-ea" w:hAnsi="Arial" w:cs="Arial"/>
          <w:spacing w:val="-1"/>
          <w:kern w:val="24"/>
          <w:u w:val="single"/>
        </w:rPr>
        <w:t>Financing, Accounting and Legal Risk Considerations / Mitigations</w:t>
      </w:r>
    </w:p>
    <w:p w:rsidR="00A72B61" w:rsidRPr="00CE63C3" w:rsidRDefault="00A72B61" w:rsidP="00A72B61">
      <w:pPr>
        <w:rPr>
          <w:rFonts w:ascii="Arial" w:hAnsi="Arial" w:cs="Arial"/>
          <w:lang w:val="en-US"/>
        </w:rPr>
      </w:pPr>
    </w:p>
    <w:p w:rsidR="00A72B61" w:rsidRPr="00CE63C3" w:rsidRDefault="00A72B61" w:rsidP="00A72B61">
      <w:pPr>
        <w:ind w:left="360" w:right="14"/>
        <w:rPr>
          <w:rFonts w:ascii="Arial" w:eastAsia="+mn-ea" w:hAnsi="Arial" w:cs="Arial"/>
          <w:spacing w:val="-1"/>
          <w:kern w:val="24"/>
        </w:rPr>
      </w:pPr>
      <w:r w:rsidRPr="00CE63C3">
        <w:rPr>
          <w:rFonts w:ascii="Arial" w:eastAsia="+mn-ea" w:hAnsi="Arial" w:cs="Arial"/>
          <w:spacing w:val="-1"/>
          <w:kern w:val="24"/>
        </w:rPr>
        <w:t xml:space="preserve">The Ministry was asked to report back to TBS/MBC with details on how financing, accounting and legal risks would be mitigated.  </w:t>
      </w:r>
    </w:p>
    <w:p w:rsidR="00A72B61" w:rsidRPr="00CE63C3" w:rsidRDefault="00A72B61" w:rsidP="00A72B61">
      <w:pPr>
        <w:rPr>
          <w:rFonts w:ascii="Arial" w:hAnsi="Arial" w:cs="Arial"/>
          <w:lang w:val="en-US"/>
        </w:rPr>
      </w:pPr>
    </w:p>
    <w:p w:rsidR="00A72B61" w:rsidRPr="005073C1" w:rsidRDefault="00A72B61" w:rsidP="00A72B61">
      <w:pPr>
        <w:ind w:left="360"/>
        <w:rPr>
          <w:rFonts w:ascii="Arial" w:hAnsi="Arial" w:cs="Arial"/>
          <w:b/>
          <w:lang w:val="en-US"/>
        </w:rPr>
      </w:pPr>
      <w:r w:rsidRPr="00CE63C3">
        <w:rPr>
          <w:rFonts w:ascii="Arial" w:hAnsi="Arial" w:cs="Arial"/>
          <w:i/>
          <w:lang w:val="en-US"/>
        </w:rPr>
        <w:t xml:space="preserve">Financing </w:t>
      </w:r>
    </w:p>
    <w:p w:rsidR="00A72B61" w:rsidRPr="00CE63C3" w:rsidRDefault="00A72B61" w:rsidP="00A72B61">
      <w:pPr>
        <w:ind w:left="360"/>
        <w:rPr>
          <w:rFonts w:ascii="Arial" w:hAnsi="Arial" w:cs="Arial"/>
          <w:lang w:val="en-US"/>
        </w:rPr>
      </w:pPr>
    </w:p>
    <w:p w:rsidR="00A72B61" w:rsidRPr="00CE63C3" w:rsidRDefault="00A72B61" w:rsidP="00A72B61">
      <w:pPr>
        <w:ind w:left="360"/>
        <w:rPr>
          <w:rFonts w:ascii="Arial" w:hAnsi="Arial" w:cs="Arial"/>
          <w:u w:val="single"/>
          <w:lang w:val="en-US"/>
        </w:rPr>
      </w:pPr>
      <w:r w:rsidRPr="005073C1">
        <w:rPr>
          <w:rFonts w:ascii="Arial" w:hAnsi="Arial" w:cs="Arial"/>
          <w:i/>
          <w:u w:val="single"/>
          <w:lang w:val="en-US"/>
        </w:rPr>
        <w:t>OFHP</w:t>
      </w:r>
      <w:r w:rsidR="005073C1" w:rsidRPr="005073C1">
        <w:rPr>
          <w:rFonts w:ascii="Arial" w:hAnsi="Arial" w:cs="Arial"/>
          <w:i/>
          <w:u w:val="single"/>
          <w:lang w:val="en-US"/>
        </w:rPr>
        <w:t>A</w:t>
      </w:r>
      <w:r w:rsidRPr="00CE63C3">
        <w:rPr>
          <w:rFonts w:ascii="Arial" w:hAnsi="Arial" w:cs="Arial"/>
          <w:u w:val="single"/>
          <w:lang w:val="en-US"/>
        </w:rPr>
        <w:t xml:space="preserve"> Legislation </w:t>
      </w:r>
    </w:p>
    <w:p w:rsidR="00A72B61" w:rsidRPr="00CE63C3" w:rsidRDefault="00A72B61" w:rsidP="00A72B61">
      <w:pPr>
        <w:ind w:left="360"/>
        <w:rPr>
          <w:rFonts w:ascii="Arial" w:hAnsi="Arial" w:cs="Arial"/>
          <w:lang w:val="en-US"/>
        </w:rPr>
      </w:pPr>
    </w:p>
    <w:p w:rsidR="00A72B61" w:rsidRPr="00CE63C3" w:rsidRDefault="00A72B61" w:rsidP="00A72B61">
      <w:pPr>
        <w:ind w:left="360"/>
        <w:rPr>
          <w:rFonts w:ascii="Arial" w:hAnsi="Arial" w:cs="Arial"/>
          <w:lang w:val="en-US"/>
        </w:rPr>
      </w:pPr>
      <w:r w:rsidRPr="00CE63C3">
        <w:rPr>
          <w:rFonts w:ascii="Arial" w:hAnsi="Arial" w:cs="Arial"/>
          <w:lang w:val="en-US"/>
        </w:rPr>
        <w:t>The purpose of the</w:t>
      </w:r>
      <w:r w:rsidR="005073C1">
        <w:rPr>
          <w:rFonts w:ascii="Arial" w:hAnsi="Arial" w:cs="Arial"/>
          <w:lang w:val="en-US"/>
        </w:rPr>
        <w:t xml:space="preserve"> </w:t>
      </w:r>
      <w:r w:rsidRPr="00CE63C3">
        <w:rPr>
          <w:rFonts w:ascii="Arial" w:hAnsi="Arial" w:cs="Arial"/>
          <w:lang w:val="en-US"/>
        </w:rPr>
        <w:t>legislation is to support the Government of Ontario’s commitment to ensure that the costs of investments in the electricity system are allocated fairly among present and future generations of consumers. Costs to be allocated include clean and renewable generation facilities, conservation, demand management</w:t>
      </w:r>
      <w:r w:rsidR="00A75692">
        <w:rPr>
          <w:rFonts w:ascii="Arial" w:hAnsi="Arial" w:cs="Arial"/>
          <w:lang w:val="en-US"/>
        </w:rPr>
        <w:t xml:space="preserve"> and</w:t>
      </w:r>
      <w:r w:rsidRPr="00CE63C3">
        <w:rPr>
          <w:rFonts w:ascii="Arial" w:hAnsi="Arial" w:cs="Arial"/>
          <w:lang w:val="en-US"/>
        </w:rPr>
        <w:t xml:space="preserve"> energy efficiency programs.</w:t>
      </w:r>
    </w:p>
    <w:p w:rsidR="00A72B61" w:rsidRPr="00CE63C3" w:rsidRDefault="00A72B61" w:rsidP="00A72B61">
      <w:pPr>
        <w:ind w:left="360"/>
        <w:rPr>
          <w:rFonts w:ascii="Arial" w:hAnsi="Arial" w:cs="Arial"/>
          <w:lang w:val="en-US"/>
        </w:rPr>
      </w:pPr>
    </w:p>
    <w:p w:rsidR="00A72B61" w:rsidRPr="00CE63C3" w:rsidRDefault="00A72B61" w:rsidP="00A72B61">
      <w:pPr>
        <w:ind w:left="360"/>
        <w:rPr>
          <w:rFonts w:ascii="Arial" w:hAnsi="Arial" w:cs="Arial"/>
          <w:lang w:val="en-US"/>
        </w:rPr>
      </w:pPr>
      <w:r w:rsidRPr="00CE63C3">
        <w:rPr>
          <w:rFonts w:ascii="Arial" w:hAnsi="Arial" w:cs="Arial"/>
          <w:lang w:val="en-US"/>
        </w:rPr>
        <w:t>The supporting legislation defines the mechanisms and framework that would achieve the refinancing of the (GA), including:</w:t>
      </w:r>
    </w:p>
    <w:p w:rsidR="00A72B61" w:rsidRPr="00CE63C3" w:rsidRDefault="00A72B61" w:rsidP="00A72B61">
      <w:pPr>
        <w:ind w:left="360"/>
        <w:rPr>
          <w:rFonts w:ascii="Arial" w:hAnsi="Arial" w:cs="Arial"/>
          <w:lang w:val="en-US"/>
        </w:rPr>
      </w:pPr>
    </w:p>
    <w:p w:rsidR="00A72B61" w:rsidRPr="00CE63C3" w:rsidRDefault="00A72B61" w:rsidP="00A72B61">
      <w:pPr>
        <w:pStyle w:val="ListParagraph"/>
        <w:numPr>
          <w:ilvl w:val="0"/>
          <w:numId w:val="50"/>
        </w:numPr>
        <w:rPr>
          <w:rFonts w:ascii="Arial" w:hAnsi="Arial" w:cs="Arial"/>
        </w:rPr>
      </w:pPr>
      <w:r w:rsidRPr="00CE63C3">
        <w:rPr>
          <w:rFonts w:ascii="Arial" w:hAnsi="Arial" w:cs="Arial"/>
          <w:u w:val="single"/>
        </w:rPr>
        <w:t>Fair Allocation Amount</w:t>
      </w:r>
      <w:r w:rsidRPr="00CE63C3">
        <w:rPr>
          <w:rFonts w:ascii="Arial" w:hAnsi="Arial" w:cs="Arial"/>
        </w:rPr>
        <w:t xml:space="preserve">: </w:t>
      </w:r>
      <w:r w:rsidR="00A75692">
        <w:rPr>
          <w:rFonts w:ascii="Arial" w:hAnsi="Arial" w:cs="Arial"/>
        </w:rPr>
        <w:t>A</w:t>
      </w:r>
      <w:r w:rsidRPr="00CE63C3">
        <w:rPr>
          <w:rFonts w:ascii="Arial" w:hAnsi="Arial" w:cs="Arial"/>
        </w:rPr>
        <w:t xml:space="preserve"> calculation and allocation of clean energy costs over time</w:t>
      </w:r>
      <w:r w:rsidR="0099137B">
        <w:rPr>
          <w:rFonts w:ascii="Arial" w:hAnsi="Arial" w:cs="Arial"/>
        </w:rPr>
        <w:t xml:space="preserve"> in proportion to clean energy benefits</w:t>
      </w:r>
      <w:r w:rsidRPr="00CE63C3">
        <w:rPr>
          <w:rFonts w:ascii="Arial" w:hAnsi="Arial" w:cs="Arial"/>
        </w:rPr>
        <w:t>. It is expected that the calculation would lead to decreased rates in the near term with rates higher than forecast in the long term. The Minister of Energy is to calculate the Fair Allocation Amount and provide the amount to the Financial Services Manager (OPG).  Subsequent calculations may be undertaken by other agents as prescribed by the Minister</w:t>
      </w:r>
      <w:r w:rsidR="0099137B">
        <w:rPr>
          <w:rFonts w:ascii="Arial" w:hAnsi="Arial" w:cs="Arial"/>
        </w:rPr>
        <w:t xml:space="preserve"> if prescribed by regulation</w:t>
      </w:r>
      <w:r w:rsidRPr="00CE63C3">
        <w:rPr>
          <w:rFonts w:ascii="Arial" w:hAnsi="Arial" w:cs="Arial"/>
        </w:rPr>
        <w:t>.</w:t>
      </w:r>
    </w:p>
    <w:p w:rsidR="00A72B61" w:rsidRPr="00CE63C3" w:rsidRDefault="00A72B61" w:rsidP="00A72B61">
      <w:pPr>
        <w:pStyle w:val="ListParagraph"/>
        <w:ind w:left="1080"/>
        <w:rPr>
          <w:rFonts w:ascii="Arial" w:hAnsi="Arial" w:cs="Arial"/>
        </w:rPr>
      </w:pPr>
    </w:p>
    <w:p w:rsidR="00A72B61" w:rsidRPr="00CE63C3" w:rsidRDefault="00A72B61" w:rsidP="00A72B61">
      <w:pPr>
        <w:pStyle w:val="ListParagraph"/>
        <w:numPr>
          <w:ilvl w:val="0"/>
          <w:numId w:val="50"/>
        </w:numPr>
        <w:rPr>
          <w:rFonts w:ascii="Arial" w:hAnsi="Arial" w:cs="Arial"/>
        </w:rPr>
      </w:pPr>
      <w:r w:rsidRPr="00CE63C3">
        <w:rPr>
          <w:rFonts w:ascii="Arial" w:hAnsi="Arial" w:cs="Arial"/>
          <w:u w:val="single"/>
        </w:rPr>
        <w:t>Fair Adjustment:</w:t>
      </w:r>
      <w:r w:rsidRPr="00CE63C3">
        <w:rPr>
          <w:rFonts w:ascii="Arial" w:hAnsi="Arial" w:cs="Arial"/>
          <w:i/>
        </w:rPr>
        <w:t xml:space="preserve"> </w:t>
      </w:r>
      <w:r w:rsidRPr="00CE63C3">
        <w:rPr>
          <w:rFonts w:ascii="Arial" w:hAnsi="Arial" w:cs="Arial"/>
        </w:rPr>
        <w:t xml:space="preserve">Sets out the mechanism for the Ontario Energy Board (OEB) to determine the “relief”, including the initial decrease in rates to achieve the 25% decrease, for the period July 1, 2017 to April 30, 2018. Under the legislation, the OEB must determine the amount within 15 business days of the legislation coming into force. The Fair Adjustment also allows the Lieutenant Governor in Council (LGIC) to make regulations prescribing electricity rates for the period May 1, 2018 to June 30, 2021. </w:t>
      </w:r>
    </w:p>
    <w:p w:rsidR="00A72B61" w:rsidRPr="00CE63C3" w:rsidRDefault="00A72B61" w:rsidP="00A72B61">
      <w:pPr>
        <w:rPr>
          <w:rFonts w:ascii="Arial" w:hAnsi="Arial" w:cs="Arial"/>
        </w:rPr>
      </w:pPr>
    </w:p>
    <w:p w:rsidR="00A72B61" w:rsidRPr="00CE63C3" w:rsidRDefault="00A72B61" w:rsidP="00A72B61">
      <w:pPr>
        <w:pStyle w:val="ListParagraph"/>
        <w:numPr>
          <w:ilvl w:val="0"/>
          <w:numId w:val="50"/>
        </w:numPr>
        <w:rPr>
          <w:rFonts w:ascii="Arial" w:hAnsi="Arial" w:cs="Arial"/>
        </w:rPr>
      </w:pPr>
      <w:r w:rsidRPr="00CE63C3">
        <w:rPr>
          <w:rFonts w:ascii="Arial" w:hAnsi="Arial" w:cs="Arial"/>
          <w:u w:val="single"/>
        </w:rPr>
        <w:t>Clean Energy Adjustment:</w:t>
      </w:r>
      <w:r w:rsidRPr="00CE63C3">
        <w:rPr>
          <w:rFonts w:ascii="Arial" w:hAnsi="Arial" w:cs="Arial"/>
        </w:rPr>
        <w:t xml:space="preserve"> </w:t>
      </w:r>
      <w:r w:rsidR="00A75692">
        <w:rPr>
          <w:rFonts w:ascii="Arial" w:hAnsi="Arial" w:cs="Arial"/>
        </w:rPr>
        <w:t>T</w:t>
      </w:r>
      <w:r w:rsidRPr="00CE63C3">
        <w:rPr>
          <w:rFonts w:ascii="Arial" w:hAnsi="Arial" w:cs="Arial"/>
        </w:rPr>
        <w:t>he mechanism to recover the under-collection of GA from eligible consumers during the recovery period. This is an adjustment to a consumer invoice on a monthly basis to repay principal, interest and other financing</w:t>
      </w:r>
      <w:r w:rsidR="00A75692">
        <w:rPr>
          <w:rFonts w:ascii="Arial" w:hAnsi="Arial" w:cs="Arial"/>
        </w:rPr>
        <w:t xml:space="preserve"> costs</w:t>
      </w:r>
      <w:r w:rsidRPr="00CE63C3">
        <w:rPr>
          <w:rFonts w:ascii="Arial" w:hAnsi="Arial" w:cs="Arial"/>
        </w:rPr>
        <w:t>. IESO and each electricity distributor will act as an agent for the financing entity to impose, invoice and collect the clean energy adjustments.</w:t>
      </w:r>
    </w:p>
    <w:p w:rsidR="00A72B61" w:rsidRPr="00CE63C3" w:rsidRDefault="00A72B61" w:rsidP="00A72B61">
      <w:pPr>
        <w:rPr>
          <w:rFonts w:ascii="Arial" w:hAnsi="Arial" w:cs="Arial"/>
          <w:lang w:val="en-US"/>
        </w:rPr>
      </w:pPr>
    </w:p>
    <w:p w:rsidR="00A72B61" w:rsidRDefault="00A72B61" w:rsidP="00A72B61">
      <w:pPr>
        <w:ind w:left="360"/>
        <w:rPr>
          <w:rFonts w:ascii="Arial" w:hAnsi="Arial" w:cs="Arial"/>
          <w:lang w:val="en-US"/>
        </w:rPr>
      </w:pPr>
      <w:r w:rsidRPr="00CE63C3">
        <w:rPr>
          <w:rFonts w:ascii="Arial" w:hAnsi="Arial" w:cs="Arial"/>
          <w:lang w:val="en-US"/>
        </w:rPr>
        <w:t>The Ministry has prepared</w:t>
      </w:r>
      <w:r>
        <w:rPr>
          <w:rFonts w:ascii="Arial" w:hAnsi="Arial" w:cs="Arial"/>
          <w:lang w:val="en-US"/>
        </w:rPr>
        <w:t xml:space="preserve"> the</w:t>
      </w:r>
      <w:r w:rsidR="005073C1">
        <w:rPr>
          <w:rFonts w:ascii="Arial" w:hAnsi="Arial" w:cs="Arial"/>
          <w:lang w:val="en-US"/>
        </w:rPr>
        <w:t xml:space="preserve"> </w:t>
      </w:r>
      <w:r w:rsidRPr="00CE63C3">
        <w:rPr>
          <w:rFonts w:ascii="Arial" w:hAnsi="Arial" w:cs="Arial"/>
          <w:lang w:val="en-US"/>
        </w:rPr>
        <w:t>legislation</w:t>
      </w:r>
      <w:r w:rsidR="0047784C">
        <w:rPr>
          <w:rFonts w:ascii="Arial" w:hAnsi="Arial" w:cs="Arial"/>
          <w:lang w:val="en-US"/>
        </w:rPr>
        <w:t xml:space="preserve">, recently passed </w:t>
      </w:r>
      <w:r w:rsidR="00A75692">
        <w:rPr>
          <w:rFonts w:ascii="Arial" w:hAnsi="Arial" w:cs="Arial"/>
          <w:lang w:val="en-US"/>
        </w:rPr>
        <w:t>regulation</w:t>
      </w:r>
      <w:r w:rsidRPr="00CE63C3">
        <w:rPr>
          <w:rFonts w:ascii="Arial" w:hAnsi="Arial" w:cs="Arial"/>
          <w:lang w:val="en-US"/>
        </w:rPr>
        <w:t xml:space="preserve"> and</w:t>
      </w:r>
      <w:r>
        <w:rPr>
          <w:rFonts w:ascii="Arial" w:hAnsi="Arial" w:cs="Arial"/>
          <w:lang w:val="en-US"/>
        </w:rPr>
        <w:t xml:space="preserve"> supporting</w:t>
      </w:r>
      <w:r w:rsidR="005073C1">
        <w:rPr>
          <w:rFonts w:ascii="Arial" w:hAnsi="Arial" w:cs="Arial"/>
          <w:lang w:val="en-US"/>
        </w:rPr>
        <w:t xml:space="preserve"> proposed</w:t>
      </w:r>
      <w:r>
        <w:rPr>
          <w:rFonts w:ascii="Arial" w:hAnsi="Arial" w:cs="Arial"/>
          <w:lang w:val="en-US"/>
        </w:rPr>
        <w:t xml:space="preserve"> </w:t>
      </w:r>
      <w:r w:rsidR="005073C1">
        <w:rPr>
          <w:rFonts w:ascii="Arial" w:hAnsi="Arial" w:cs="Arial"/>
          <w:lang w:val="en-US"/>
        </w:rPr>
        <w:t>regulation</w:t>
      </w:r>
      <w:r w:rsidRPr="00CE63C3">
        <w:rPr>
          <w:rFonts w:ascii="Arial" w:hAnsi="Arial" w:cs="Arial"/>
          <w:lang w:val="en-US"/>
        </w:rPr>
        <w:t xml:space="preserve"> in close collaboration with key ministries (i.e., TB, MOF, AG and CO), agencies (i.e., OEB, IESO, OPG) and </w:t>
      </w:r>
      <w:r w:rsidR="00A75692">
        <w:rPr>
          <w:rFonts w:ascii="Arial" w:hAnsi="Arial" w:cs="Arial"/>
          <w:lang w:val="en-US"/>
        </w:rPr>
        <w:t>external legal and financial</w:t>
      </w:r>
      <w:r w:rsidRPr="00CE63C3">
        <w:rPr>
          <w:rFonts w:ascii="Arial" w:hAnsi="Arial" w:cs="Arial"/>
          <w:lang w:val="en-US"/>
        </w:rPr>
        <w:t xml:space="preserve"> advisors. </w:t>
      </w:r>
    </w:p>
    <w:p w:rsidR="00A72B61" w:rsidRPr="00CE63C3" w:rsidRDefault="00A72B61" w:rsidP="00A72B61">
      <w:pPr>
        <w:ind w:left="360"/>
        <w:rPr>
          <w:rFonts w:ascii="Arial" w:hAnsi="Arial" w:cs="Arial"/>
          <w:lang w:val="en-US"/>
        </w:rPr>
      </w:pPr>
    </w:p>
    <w:p w:rsidR="00A72B61" w:rsidRDefault="005073C1" w:rsidP="00A72B61">
      <w:pPr>
        <w:ind w:left="360"/>
        <w:rPr>
          <w:rFonts w:ascii="Arial" w:hAnsi="Arial" w:cs="Arial"/>
        </w:rPr>
      </w:pPr>
      <w:r>
        <w:rPr>
          <w:rFonts w:ascii="Arial" w:hAnsi="Arial" w:cs="Arial"/>
        </w:rPr>
        <w:t xml:space="preserve">The </w:t>
      </w:r>
      <w:r w:rsidR="00A72B61" w:rsidRPr="00332DCD">
        <w:rPr>
          <w:rFonts w:ascii="Arial" w:hAnsi="Arial" w:cs="Arial"/>
        </w:rPr>
        <w:t xml:space="preserve">legislation enables the province to provide assurances in the form of a “provincial guarantee” to OPG and investors regarding the permanence of the GA Refinancing framework and the authority of the legislature to pass the legislation. The intent is to ensure that the full value of any investment is recoverable. </w:t>
      </w:r>
    </w:p>
    <w:p w:rsidR="00A72B61" w:rsidRPr="00CE63C3" w:rsidRDefault="00A72B61" w:rsidP="00A72B61">
      <w:pPr>
        <w:pStyle w:val="ListParagraph"/>
        <w:ind w:left="1080"/>
        <w:rPr>
          <w:rFonts w:ascii="Arial" w:hAnsi="Arial" w:cs="Arial"/>
        </w:rPr>
      </w:pPr>
    </w:p>
    <w:p w:rsidR="00A72B61" w:rsidRDefault="00A72B61" w:rsidP="00A72B61">
      <w:pPr>
        <w:ind w:left="360"/>
        <w:rPr>
          <w:rFonts w:ascii="Arial" w:hAnsi="Arial" w:cs="Arial"/>
        </w:rPr>
      </w:pPr>
      <w:r w:rsidRPr="009A3710">
        <w:rPr>
          <w:rFonts w:ascii="Arial" w:hAnsi="Arial" w:cs="Arial"/>
        </w:rPr>
        <w:t>The legislation also enables the Province to guarantee borrowing of the trust in the event of a market disruption to mitigate OPG’s financing risk.  Specifics of these guarantees will be determined in agreements to be negotiated later this year</w:t>
      </w:r>
      <w:r w:rsidRPr="00E94245">
        <w:rPr>
          <w:rFonts w:ascii="Arial" w:hAnsi="Arial"/>
        </w:rPr>
        <w:t>.</w:t>
      </w:r>
    </w:p>
    <w:p w:rsidR="00A72B61" w:rsidRDefault="00A72B61" w:rsidP="00A72B61">
      <w:pPr>
        <w:pStyle w:val="ListParagraph"/>
        <w:ind w:left="1080"/>
        <w:rPr>
          <w:rFonts w:ascii="Arial" w:hAnsi="Arial" w:cs="Arial"/>
        </w:rPr>
      </w:pPr>
    </w:p>
    <w:p w:rsidR="00A72B61" w:rsidRPr="00CE63C3" w:rsidRDefault="00A72B61" w:rsidP="005073C1">
      <w:pPr>
        <w:ind w:left="360"/>
        <w:rPr>
          <w:rFonts w:ascii="Arial" w:hAnsi="Arial" w:cs="Arial"/>
        </w:rPr>
      </w:pPr>
      <w:r w:rsidRPr="00E94245">
        <w:rPr>
          <w:rFonts w:ascii="Arial" w:hAnsi="Arial"/>
        </w:rPr>
        <w:t xml:space="preserve">The regulations further </w:t>
      </w:r>
      <w:r w:rsidRPr="00A20B5D">
        <w:rPr>
          <w:rFonts w:ascii="Arial" w:hAnsi="Arial"/>
        </w:rPr>
        <w:t xml:space="preserve">support the legislation in terms of providing clarity on </w:t>
      </w:r>
      <w:r w:rsidR="005073C1">
        <w:rPr>
          <w:rFonts w:ascii="Arial" w:hAnsi="Arial"/>
        </w:rPr>
        <w:t xml:space="preserve">   </w:t>
      </w:r>
      <w:r w:rsidRPr="00A20B5D">
        <w:rPr>
          <w:rFonts w:ascii="Arial" w:hAnsi="Arial"/>
        </w:rPr>
        <w:t>the roles of the Ministry, OEB, IESO, and OPG.</w:t>
      </w:r>
    </w:p>
    <w:p w:rsidR="005073C1" w:rsidRDefault="005073C1" w:rsidP="00A72B61">
      <w:pPr>
        <w:tabs>
          <w:tab w:val="left" w:pos="560"/>
        </w:tabs>
        <w:kinsoku w:val="0"/>
        <w:overflowPunct w:val="0"/>
        <w:ind w:left="360"/>
        <w:textAlignment w:val="baseline"/>
        <w:rPr>
          <w:rFonts w:ascii="Arial" w:hAnsi="Arial" w:cs="Arial"/>
        </w:rPr>
      </w:pPr>
    </w:p>
    <w:p w:rsidR="00A72B61" w:rsidRPr="00CE63C3" w:rsidRDefault="00A72B61" w:rsidP="00A72B61">
      <w:pPr>
        <w:tabs>
          <w:tab w:val="left" w:pos="560"/>
        </w:tabs>
        <w:kinsoku w:val="0"/>
        <w:overflowPunct w:val="0"/>
        <w:ind w:left="360"/>
        <w:textAlignment w:val="baseline"/>
        <w:rPr>
          <w:rFonts w:ascii="Arial" w:hAnsi="Arial" w:cs="Arial"/>
        </w:rPr>
      </w:pPr>
      <w:r w:rsidRPr="00EC0E8C">
        <w:rPr>
          <w:rFonts w:ascii="Arial" w:hAnsi="Arial" w:cs="Arial"/>
        </w:rPr>
        <w:t>As reported in the TB/MBC submission of May 9, 2017</w:t>
      </w:r>
      <w:r>
        <w:rPr>
          <w:rFonts w:ascii="Arial" w:hAnsi="Arial" w:cs="Arial"/>
        </w:rPr>
        <w:t xml:space="preserve">, </w:t>
      </w:r>
      <w:r w:rsidR="005073C1">
        <w:rPr>
          <w:rFonts w:ascii="Arial" w:hAnsi="Arial" w:cs="Arial"/>
        </w:rPr>
        <w:t>it</w:t>
      </w:r>
      <w:r w:rsidRPr="00CE63C3">
        <w:rPr>
          <w:rFonts w:ascii="Arial" w:hAnsi="Arial" w:cs="Arial"/>
          <w:lang w:val="en-US"/>
        </w:rPr>
        <w:t xml:space="preserve"> is still possible that the full value of the Regulatory Asset may not be purchased.</w:t>
      </w:r>
      <w:r w:rsidRPr="00CE63C3">
        <w:rPr>
          <w:rFonts w:ascii="Arial" w:eastAsia="MS PGothic" w:hAnsi="Arial" w:cs="Arial"/>
          <w:color w:val="000000" w:themeColor="text1"/>
          <w:spacing w:val="-1"/>
        </w:rPr>
        <w:t xml:space="preserve"> In such cases, IESO may be able to retain the unsold amounts recorded in its variance account for a short period of time. </w:t>
      </w:r>
    </w:p>
    <w:p w:rsidR="00A72B61" w:rsidRPr="00CE63C3" w:rsidRDefault="00A72B61" w:rsidP="00A72B61">
      <w:pPr>
        <w:rPr>
          <w:rFonts w:ascii="Arial" w:hAnsi="Arial" w:cs="Arial"/>
          <w:lang w:val="en-US"/>
        </w:rPr>
      </w:pPr>
    </w:p>
    <w:p w:rsidR="00A72B61" w:rsidRPr="00CE63C3" w:rsidRDefault="00A72B61" w:rsidP="00A72B61">
      <w:pPr>
        <w:ind w:left="360"/>
        <w:rPr>
          <w:rFonts w:ascii="Arial" w:hAnsi="Arial" w:cs="Arial"/>
          <w:lang w:val="en-US"/>
        </w:rPr>
      </w:pPr>
      <w:r w:rsidRPr="00CE63C3">
        <w:rPr>
          <w:rFonts w:ascii="Arial" w:hAnsi="Arial" w:cs="Arial"/>
          <w:lang w:val="en-US"/>
        </w:rPr>
        <w:t xml:space="preserve">In addition, the Ministry has worked closely with the Ontario Financing Authority (OFA) and TD Securities (TD), as the Province’s external financial advisor, on the financing structure (i.e., legislation, provincial guarantees, OPG’s equity injections and IESO’s enhanced credit facilities).  </w:t>
      </w:r>
    </w:p>
    <w:p w:rsidR="00A72B61" w:rsidRPr="00CE63C3" w:rsidRDefault="00A72B61" w:rsidP="00A72B61">
      <w:pPr>
        <w:ind w:left="360"/>
        <w:rPr>
          <w:rFonts w:ascii="Arial" w:hAnsi="Arial" w:cs="Arial"/>
          <w:lang w:val="en-US"/>
        </w:rPr>
      </w:pPr>
    </w:p>
    <w:p w:rsidR="00A72B61" w:rsidRPr="00CE63C3" w:rsidRDefault="00A72B61" w:rsidP="00A72B61">
      <w:pPr>
        <w:ind w:left="360"/>
        <w:rPr>
          <w:rFonts w:ascii="Arial" w:hAnsi="Arial" w:cs="Arial"/>
          <w:lang w:val="en-US"/>
        </w:rPr>
      </w:pPr>
      <w:r w:rsidRPr="00CE63C3">
        <w:rPr>
          <w:rFonts w:ascii="Arial" w:hAnsi="Arial" w:cs="Arial"/>
          <w:lang w:val="en-US"/>
        </w:rPr>
        <w:t>In particular, the legislation enables a structure that OFA and TD believe will enable financing</w:t>
      </w:r>
      <w:r w:rsidRPr="00CE63C3">
        <w:rPr>
          <w:rFonts w:ascii="Arial" w:eastAsiaTheme="minorHAnsi" w:hAnsi="Arial" w:cs="Arial"/>
          <w:lang w:eastAsia="en-US"/>
        </w:rPr>
        <w:t xml:space="preserve"> at a reasonable cost.  Key elements that support this financing structure include: </w:t>
      </w:r>
    </w:p>
    <w:p w:rsidR="00A72B61" w:rsidRPr="00CE63C3" w:rsidRDefault="00A72B61" w:rsidP="00A72B61">
      <w:pPr>
        <w:rPr>
          <w:rFonts w:ascii="Symbol" w:eastAsiaTheme="minorHAnsi" w:hAnsi="Symbol" w:cs="Arial"/>
          <w:lang w:eastAsia="en-US"/>
        </w:rPr>
      </w:pPr>
    </w:p>
    <w:p w:rsidR="00A72B61" w:rsidRPr="00CE63C3" w:rsidRDefault="00A72B61" w:rsidP="00A72B61">
      <w:pPr>
        <w:numPr>
          <w:ilvl w:val="0"/>
          <w:numId w:val="51"/>
        </w:numPr>
        <w:spacing w:after="200" w:line="276" w:lineRule="auto"/>
        <w:rPr>
          <w:rFonts w:ascii="Arial" w:eastAsiaTheme="minorHAnsi" w:hAnsi="Arial" w:cs="Arial"/>
          <w:lang w:eastAsia="en-US"/>
        </w:rPr>
      </w:pPr>
      <w:r w:rsidRPr="00CE63C3">
        <w:rPr>
          <w:rFonts w:ascii="Arial" w:eastAsiaTheme="minorHAnsi" w:hAnsi="Arial" w:cs="Arial"/>
          <w:lang w:eastAsia="en-US"/>
        </w:rPr>
        <w:t>OPG issuances of subordinated debt to the S</w:t>
      </w:r>
      <w:r w:rsidR="00C5669B">
        <w:rPr>
          <w:rFonts w:ascii="Arial" w:eastAsiaTheme="minorHAnsi" w:hAnsi="Arial" w:cs="Arial"/>
          <w:lang w:eastAsia="en-US"/>
        </w:rPr>
        <w:t>pecial Purpose Vehicle(SPV)</w:t>
      </w:r>
      <w:r w:rsidRPr="00CE63C3">
        <w:rPr>
          <w:rFonts w:ascii="Arial" w:eastAsiaTheme="minorHAnsi" w:hAnsi="Arial" w:cs="Arial"/>
          <w:lang w:eastAsia="en-US"/>
        </w:rPr>
        <w:t>/Trust representing up to 49% of total borrowing; and</w:t>
      </w:r>
    </w:p>
    <w:p w:rsidR="00A72B61" w:rsidRPr="00CE63C3" w:rsidRDefault="00A72B61" w:rsidP="00A72B61">
      <w:pPr>
        <w:numPr>
          <w:ilvl w:val="0"/>
          <w:numId w:val="51"/>
        </w:numPr>
        <w:spacing w:after="200" w:line="276" w:lineRule="auto"/>
        <w:rPr>
          <w:rFonts w:ascii="Arial" w:eastAsiaTheme="minorHAnsi" w:hAnsi="Arial" w:cs="Arial"/>
          <w:lang w:eastAsia="en-US"/>
        </w:rPr>
      </w:pPr>
      <w:r w:rsidRPr="00CE63C3">
        <w:rPr>
          <w:rFonts w:ascii="Arial" w:eastAsiaTheme="minorHAnsi" w:hAnsi="Arial" w:cs="Arial"/>
          <w:lang w:eastAsia="en-US"/>
        </w:rPr>
        <w:t xml:space="preserve">Conditional (springing) guarantees by the Province </w:t>
      </w:r>
      <w:r w:rsidR="00961AAA">
        <w:rPr>
          <w:rFonts w:ascii="Arial" w:eastAsiaTheme="minorHAnsi" w:hAnsi="Arial" w:cs="Arial"/>
          <w:lang w:eastAsia="en-US"/>
        </w:rPr>
        <w:t>that will include</w:t>
      </w:r>
      <w:r w:rsidRPr="00CE63C3">
        <w:rPr>
          <w:rFonts w:ascii="Arial" w:eastAsiaTheme="minorHAnsi" w:hAnsi="Arial" w:cs="Arial"/>
          <w:lang w:eastAsia="en-US"/>
        </w:rPr>
        <w:t xml:space="preserve"> a backstop in the event of specific and limited events (e.g., changes to legislation that harm investor interests).</w:t>
      </w:r>
    </w:p>
    <w:p w:rsidR="00A72B61" w:rsidRPr="00E94245" w:rsidRDefault="00A72B61" w:rsidP="00A72B61">
      <w:pPr>
        <w:ind w:left="360"/>
        <w:rPr>
          <w:rFonts w:ascii="Arial" w:eastAsiaTheme="minorHAnsi" w:hAnsi="Arial"/>
        </w:rPr>
      </w:pPr>
      <w:r w:rsidRPr="00CE63C3">
        <w:rPr>
          <w:rFonts w:ascii="Arial" w:eastAsiaTheme="minorHAnsi" w:hAnsi="Arial" w:cs="Arial"/>
          <w:lang w:eastAsia="en-US"/>
        </w:rPr>
        <w:t xml:space="preserve">Note: The ability to finance and the cost of financing will only be known with certainty once OPG </w:t>
      </w:r>
      <w:r>
        <w:rPr>
          <w:rFonts w:ascii="Arial" w:eastAsiaTheme="minorHAnsi" w:hAnsi="Arial" w:cs="Arial"/>
          <w:lang w:eastAsia="en-US"/>
        </w:rPr>
        <w:t xml:space="preserve">receives the rating of the offering in </w:t>
      </w:r>
      <w:r w:rsidR="00961AAA">
        <w:rPr>
          <w:rFonts w:ascii="Arial" w:eastAsiaTheme="minorHAnsi" w:hAnsi="Arial" w:cs="Arial"/>
          <w:lang w:eastAsia="en-US"/>
        </w:rPr>
        <w:t>July/August</w:t>
      </w:r>
      <w:r>
        <w:rPr>
          <w:rFonts w:ascii="Arial" w:eastAsiaTheme="minorHAnsi" w:hAnsi="Arial" w:cs="Arial"/>
          <w:lang w:eastAsia="en-US"/>
        </w:rPr>
        <w:t xml:space="preserve"> 2017</w:t>
      </w:r>
      <w:r w:rsidR="00961AAA">
        <w:rPr>
          <w:rFonts w:ascii="Arial" w:eastAsiaTheme="minorHAnsi" w:hAnsi="Arial" w:cs="Arial"/>
          <w:lang w:eastAsia="en-US"/>
        </w:rPr>
        <w:t>, seeks short term financing in September/October 2017</w:t>
      </w:r>
      <w:r>
        <w:rPr>
          <w:rFonts w:ascii="Arial" w:eastAsiaTheme="minorHAnsi" w:hAnsi="Arial" w:cs="Arial"/>
          <w:lang w:eastAsia="en-US"/>
        </w:rPr>
        <w:t xml:space="preserve"> and sells the initial offering on the market by the end of October 2017</w:t>
      </w:r>
      <w:r w:rsidR="00C5669B">
        <w:rPr>
          <w:rFonts w:ascii="Arial" w:eastAsiaTheme="minorHAnsi" w:hAnsi="Arial" w:cs="Arial"/>
          <w:lang w:eastAsia="en-US"/>
        </w:rPr>
        <w:t>.</w:t>
      </w:r>
      <w:r>
        <w:rPr>
          <w:rFonts w:ascii="Arial" w:eastAsiaTheme="minorHAnsi" w:hAnsi="Arial" w:cs="Arial"/>
          <w:lang w:eastAsia="en-US"/>
        </w:rPr>
        <w:t xml:space="preserve"> These milestones are contingent on the creation of the SPV/Trust to facilitate the subsequent sale of the Regulatory Asset by IESO to the SPV/Trust.</w:t>
      </w:r>
      <w:r w:rsidRPr="00CE63C3">
        <w:rPr>
          <w:rFonts w:ascii="Arial Narrow" w:eastAsiaTheme="minorHAnsi" w:hAnsi="Arial Narrow" w:cs="Arial"/>
          <w:sz w:val="20"/>
          <w:szCs w:val="20"/>
          <w:lang w:eastAsia="en-US"/>
        </w:rPr>
        <w:t xml:space="preserve"> </w:t>
      </w:r>
    </w:p>
    <w:p w:rsidR="00A72B61" w:rsidRPr="00E94245" w:rsidRDefault="00A72B61" w:rsidP="00A72B61">
      <w:pPr>
        <w:rPr>
          <w:rFonts w:ascii="Arial" w:hAnsi="Arial"/>
          <w:b/>
          <w:color w:val="FF0000"/>
          <w:lang w:val="en-US"/>
        </w:rPr>
      </w:pPr>
    </w:p>
    <w:p w:rsidR="00A72B61" w:rsidRDefault="00A72B61" w:rsidP="00AD1460">
      <w:pPr>
        <w:rPr>
          <w:rFonts w:ascii="Arial" w:hAnsi="Arial" w:cs="Arial"/>
          <w:u w:val="single"/>
          <w:lang w:val="en-US"/>
        </w:rPr>
      </w:pPr>
    </w:p>
    <w:p w:rsidR="00A72B61" w:rsidRPr="005073C1" w:rsidRDefault="00A72B61" w:rsidP="00A72B61">
      <w:pPr>
        <w:ind w:left="360"/>
        <w:rPr>
          <w:rFonts w:ascii="Arial" w:hAnsi="Arial" w:cs="Arial"/>
          <w:b/>
          <w:lang w:val="en-US"/>
        </w:rPr>
      </w:pPr>
      <w:r w:rsidRPr="00CE63C3">
        <w:rPr>
          <w:rFonts w:ascii="Arial" w:hAnsi="Arial" w:cs="Arial"/>
          <w:u w:val="single"/>
          <w:lang w:val="en-US"/>
        </w:rPr>
        <w:t xml:space="preserve">OPG Financing / OPG Equity Financing  </w:t>
      </w:r>
    </w:p>
    <w:p w:rsidR="00A72B61" w:rsidRPr="00CE63C3" w:rsidRDefault="00A72B61" w:rsidP="00A72B61">
      <w:pPr>
        <w:rPr>
          <w:rFonts w:ascii="Arial" w:hAnsi="Arial" w:cs="Arial"/>
          <w:u w:val="single"/>
          <w:lang w:val="en-US"/>
        </w:rPr>
      </w:pPr>
    </w:p>
    <w:p w:rsidR="00A72B61" w:rsidRPr="00CE63C3" w:rsidRDefault="00A72B61" w:rsidP="00A72B61">
      <w:pPr>
        <w:spacing w:after="120"/>
        <w:ind w:left="360"/>
        <w:rPr>
          <w:rFonts w:ascii="Arial" w:hAnsi="Arial" w:cs="Arial"/>
        </w:rPr>
      </w:pPr>
      <w:r w:rsidRPr="00CE63C3">
        <w:rPr>
          <w:rFonts w:ascii="Arial" w:hAnsi="Arial" w:cs="Arial"/>
        </w:rPr>
        <w:t>The ability to engage in the fair distribution of clean energy costs requires financing during periods where the collection of the clean energy costs is deferred to later years.  The legislation outlines mechanisms that are required to enable the financing and meet requirements for rating agencies and investors.</w:t>
      </w:r>
    </w:p>
    <w:p w:rsidR="00A72B61" w:rsidRPr="00CE63C3" w:rsidRDefault="00A72B61" w:rsidP="00A72B61">
      <w:pPr>
        <w:pStyle w:val="NoSpacing"/>
      </w:pPr>
    </w:p>
    <w:p w:rsidR="00A72B61" w:rsidRPr="00CE63C3" w:rsidRDefault="00A72B61" w:rsidP="00A72B61">
      <w:pPr>
        <w:spacing w:after="120"/>
        <w:ind w:left="360"/>
        <w:rPr>
          <w:rFonts w:ascii="Arial" w:hAnsi="Arial" w:cs="Arial"/>
        </w:rPr>
      </w:pPr>
      <w:r>
        <w:rPr>
          <w:rFonts w:ascii="Arial" w:hAnsi="Arial" w:cs="Arial"/>
        </w:rPr>
        <w:t xml:space="preserve">As reported in the May 9, 2017 submission to TB/MBC, </w:t>
      </w:r>
      <w:r w:rsidRPr="00CE63C3">
        <w:rPr>
          <w:rFonts w:ascii="Arial" w:hAnsi="Arial" w:cs="Arial"/>
        </w:rPr>
        <w:t xml:space="preserve">IESO will have a funding gap resulting from the reduction in amounts collected over four years. The legislation enables IESO to record the under-collection of GA in a variance account, and deems this under-collected amount to be a “Regulatory Asset”. </w:t>
      </w:r>
    </w:p>
    <w:p w:rsidR="00A72B61" w:rsidRPr="00CE63C3" w:rsidRDefault="00A72B61" w:rsidP="00A72B61">
      <w:pPr>
        <w:pStyle w:val="ListParagraph"/>
        <w:numPr>
          <w:ilvl w:val="0"/>
          <w:numId w:val="49"/>
        </w:numPr>
        <w:spacing w:after="120"/>
        <w:rPr>
          <w:rFonts w:ascii="Arial" w:hAnsi="Arial" w:cs="Arial"/>
        </w:rPr>
      </w:pPr>
      <w:r w:rsidRPr="00CE63C3">
        <w:rPr>
          <w:rFonts w:ascii="Arial" w:hAnsi="Arial" w:cs="Arial"/>
        </w:rPr>
        <w:t>OEB would determine rates to allow IESO to recover under-collection recorded in its variance account.</w:t>
      </w:r>
    </w:p>
    <w:p w:rsidR="00A72B61" w:rsidRPr="00CE63C3" w:rsidRDefault="00A72B61" w:rsidP="00A72B61">
      <w:pPr>
        <w:pStyle w:val="ListParagraph"/>
        <w:spacing w:after="120"/>
        <w:ind w:left="1080"/>
        <w:rPr>
          <w:rFonts w:ascii="Arial" w:hAnsi="Arial" w:cs="Arial"/>
        </w:rPr>
      </w:pPr>
    </w:p>
    <w:p w:rsidR="00A72B61" w:rsidRPr="00CE63C3" w:rsidRDefault="00A72B61" w:rsidP="00A72B61">
      <w:pPr>
        <w:pStyle w:val="ListParagraph"/>
        <w:numPr>
          <w:ilvl w:val="0"/>
          <w:numId w:val="49"/>
        </w:numPr>
        <w:spacing w:after="120"/>
        <w:rPr>
          <w:rFonts w:ascii="Arial" w:hAnsi="Arial" w:cs="Arial"/>
        </w:rPr>
      </w:pPr>
      <w:r w:rsidRPr="00CE63C3">
        <w:rPr>
          <w:rFonts w:ascii="Arial" w:hAnsi="Arial" w:cs="Arial"/>
        </w:rPr>
        <w:t>IESO is authorized to sell all or a portion to the OPG SPV/Trust under the Financing Plan.</w:t>
      </w:r>
    </w:p>
    <w:p w:rsidR="00A72B61" w:rsidRPr="00CE63C3" w:rsidRDefault="00A72B61" w:rsidP="00A72B61">
      <w:pPr>
        <w:pStyle w:val="NoSpacing"/>
      </w:pPr>
    </w:p>
    <w:p w:rsidR="00A72B61" w:rsidRPr="00CE63C3" w:rsidRDefault="00A72B61" w:rsidP="00A72B61">
      <w:pPr>
        <w:spacing w:after="120"/>
        <w:ind w:left="360"/>
        <w:rPr>
          <w:rFonts w:ascii="Arial" w:hAnsi="Arial" w:cs="Arial"/>
        </w:rPr>
      </w:pPr>
      <w:r w:rsidRPr="00CE63C3">
        <w:rPr>
          <w:rFonts w:ascii="Arial" w:hAnsi="Arial" w:cs="Arial"/>
        </w:rPr>
        <w:t>As part of supporting the financing and administration of the GA refinancing mechanism, it is expected that OPG would purchase the right to future cash flows from IESO on an ongoing basis.</w:t>
      </w:r>
    </w:p>
    <w:p w:rsidR="00A72B61" w:rsidRPr="00CE63C3" w:rsidRDefault="00A72B61" w:rsidP="00A72B61">
      <w:pPr>
        <w:pStyle w:val="NoSpacing"/>
      </w:pPr>
    </w:p>
    <w:p w:rsidR="00A72B61" w:rsidRPr="00CE63C3" w:rsidRDefault="00A72B61" w:rsidP="00A72B61">
      <w:pPr>
        <w:spacing w:after="120"/>
        <w:ind w:left="360"/>
        <w:rPr>
          <w:rFonts w:ascii="Arial" w:hAnsi="Arial" w:cs="Arial"/>
        </w:rPr>
      </w:pPr>
      <w:r w:rsidRPr="00CE63C3">
        <w:rPr>
          <w:rFonts w:ascii="Arial" w:hAnsi="Arial" w:cs="Arial"/>
        </w:rPr>
        <w:t>The sale of the regulatory asset from IESO to the OPG Special Purpose Vehicle (SPV)/Trust creates an “Investment Asset”.</w:t>
      </w:r>
    </w:p>
    <w:p w:rsidR="00A72B61" w:rsidRPr="00CE63C3" w:rsidRDefault="00A72B61" w:rsidP="00A72B61">
      <w:pPr>
        <w:pStyle w:val="ListParagraph"/>
        <w:numPr>
          <w:ilvl w:val="0"/>
          <w:numId w:val="48"/>
        </w:numPr>
        <w:spacing w:after="120"/>
        <w:rPr>
          <w:rFonts w:ascii="Arial" w:hAnsi="Arial" w:cs="Arial"/>
        </w:rPr>
      </w:pPr>
      <w:r w:rsidRPr="00CE63C3">
        <w:rPr>
          <w:rFonts w:ascii="Arial" w:hAnsi="Arial" w:cs="Arial"/>
        </w:rPr>
        <w:t>The Investment Asset allows for the recovery of the under-collected GA as the Investment Asset may in turn be sold to other investors or group of investors.</w:t>
      </w:r>
    </w:p>
    <w:p w:rsidR="00A72B61" w:rsidRPr="00CE63C3" w:rsidRDefault="00A72B61" w:rsidP="00A72B61">
      <w:pPr>
        <w:pStyle w:val="NoSpacing"/>
      </w:pPr>
    </w:p>
    <w:p w:rsidR="00A72B61" w:rsidRDefault="00A72B61" w:rsidP="00A72B61">
      <w:pPr>
        <w:spacing w:after="120"/>
        <w:ind w:left="360"/>
        <w:rPr>
          <w:rFonts w:ascii="Arial" w:hAnsi="Arial" w:cs="Arial"/>
        </w:rPr>
      </w:pPr>
      <w:r w:rsidRPr="00CE63C3">
        <w:rPr>
          <w:rFonts w:ascii="Arial" w:hAnsi="Arial" w:cs="Arial"/>
        </w:rPr>
        <w:t xml:space="preserve">The Ministry has worked closely with third-party financial advisors in advance of and throughout the drafting process to </w:t>
      </w:r>
      <w:r w:rsidR="005073C1">
        <w:rPr>
          <w:rFonts w:ascii="Arial" w:hAnsi="Arial" w:cs="Arial"/>
        </w:rPr>
        <w:t>help to ensure that the</w:t>
      </w:r>
      <w:r w:rsidRPr="00CE63C3">
        <w:rPr>
          <w:rFonts w:ascii="Arial" w:hAnsi="Arial" w:cs="Arial"/>
        </w:rPr>
        <w:t xml:space="preserve"> legislation </w:t>
      </w:r>
      <w:r w:rsidR="00935E55">
        <w:rPr>
          <w:rFonts w:ascii="Arial" w:hAnsi="Arial" w:cs="Arial"/>
        </w:rPr>
        <w:t xml:space="preserve">and regulations </w:t>
      </w:r>
      <w:r w:rsidRPr="00CE63C3">
        <w:rPr>
          <w:rFonts w:ascii="Arial" w:hAnsi="Arial" w:cs="Arial"/>
        </w:rPr>
        <w:t xml:space="preserve">enables refinancing of the GA.  </w:t>
      </w:r>
    </w:p>
    <w:p w:rsidR="00935E55" w:rsidRPr="00AD1460" w:rsidRDefault="00935E55" w:rsidP="00AD1460">
      <w:pPr>
        <w:spacing w:after="120"/>
        <w:ind w:left="360"/>
        <w:rPr>
          <w:rFonts w:ascii="Arial" w:hAnsi="Arial"/>
        </w:rPr>
      </w:pPr>
    </w:p>
    <w:p w:rsidR="00935E55" w:rsidRPr="00CE63C3" w:rsidRDefault="00935E55" w:rsidP="00A72B61">
      <w:pPr>
        <w:spacing w:after="120"/>
        <w:ind w:left="360"/>
        <w:rPr>
          <w:rFonts w:ascii="Arial" w:hAnsi="Arial" w:cs="Arial"/>
        </w:rPr>
      </w:pPr>
      <w:r>
        <w:rPr>
          <w:rFonts w:ascii="Arial" w:hAnsi="Arial" w:cs="Arial"/>
        </w:rPr>
        <w:t xml:space="preserve">The general regulation sets out principles, assumptions and further clarity on process for the development of the financing plan and the implementation of clean energy adjustments to recover amounts related to funding obligations incurred under the terms of the financing plan. </w:t>
      </w:r>
    </w:p>
    <w:p w:rsidR="00A72B61" w:rsidRPr="00CE63C3" w:rsidRDefault="00A72B61" w:rsidP="00A72B61">
      <w:pPr>
        <w:pStyle w:val="NoSpacing"/>
      </w:pPr>
    </w:p>
    <w:p w:rsidR="00A72B61" w:rsidRPr="00CE63C3" w:rsidRDefault="00935E55" w:rsidP="00A72B61">
      <w:pPr>
        <w:spacing w:after="120"/>
        <w:ind w:left="360"/>
        <w:rPr>
          <w:rFonts w:ascii="Arial" w:hAnsi="Arial" w:cs="Arial"/>
        </w:rPr>
      </w:pPr>
      <w:r>
        <w:rPr>
          <w:rFonts w:ascii="Arial" w:hAnsi="Arial" w:cs="Arial"/>
        </w:rPr>
        <w:t>P</w:t>
      </w:r>
      <w:r w:rsidR="00A72B61" w:rsidRPr="00CE63C3">
        <w:rPr>
          <w:rFonts w:ascii="Arial" w:hAnsi="Arial" w:cs="Arial"/>
        </w:rPr>
        <w:t>urchases would be financed in part by capital infusions from the Province to OPG for the purposes of stabilizing OPG’s capital structure:</w:t>
      </w:r>
    </w:p>
    <w:p w:rsidR="00A72B61" w:rsidRPr="00CE63C3" w:rsidRDefault="00A72B61" w:rsidP="006C63AE">
      <w:pPr>
        <w:pStyle w:val="ListParagraph"/>
        <w:numPr>
          <w:ilvl w:val="0"/>
          <w:numId w:val="47"/>
        </w:numPr>
        <w:spacing w:after="120"/>
        <w:rPr>
          <w:rFonts w:ascii="Arial" w:hAnsi="Arial" w:cs="Arial"/>
        </w:rPr>
      </w:pPr>
      <w:r w:rsidRPr="00CE63C3">
        <w:rPr>
          <w:rFonts w:ascii="Arial" w:hAnsi="Arial" w:cs="Arial"/>
        </w:rPr>
        <w:t>OPG would require monthly “equity injections” from the Province which would be fiscally neutral as OPG would issue new shares to the Province in exchange;</w:t>
      </w:r>
    </w:p>
    <w:p w:rsidR="00A72B61" w:rsidRPr="00CE63C3" w:rsidRDefault="00A72B61" w:rsidP="00A72B61">
      <w:pPr>
        <w:pStyle w:val="ListParagraph"/>
        <w:spacing w:after="120"/>
        <w:ind w:left="1080"/>
        <w:rPr>
          <w:rFonts w:ascii="Arial" w:hAnsi="Arial" w:cs="Arial"/>
        </w:rPr>
      </w:pPr>
    </w:p>
    <w:p w:rsidR="00A72B61" w:rsidRPr="00CE63C3" w:rsidRDefault="00A72B61" w:rsidP="006C63AE">
      <w:pPr>
        <w:pStyle w:val="ListParagraph"/>
        <w:numPr>
          <w:ilvl w:val="0"/>
          <w:numId w:val="47"/>
        </w:numPr>
        <w:spacing w:after="120"/>
        <w:rPr>
          <w:rFonts w:ascii="Arial" w:hAnsi="Arial" w:cs="Arial"/>
        </w:rPr>
      </w:pPr>
      <w:r w:rsidRPr="00CE63C3">
        <w:rPr>
          <w:rFonts w:ascii="Arial" w:hAnsi="Arial" w:cs="Arial"/>
        </w:rPr>
        <w:t>Funds from the Province would flow from the Ontario Financing Authority (OFA); and</w:t>
      </w:r>
    </w:p>
    <w:p w:rsidR="00A72B61" w:rsidRPr="00CE63C3" w:rsidRDefault="00A72B61" w:rsidP="00A72B61">
      <w:pPr>
        <w:pStyle w:val="ListParagraph"/>
        <w:spacing w:after="120"/>
        <w:ind w:left="1080"/>
        <w:rPr>
          <w:rFonts w:ascii="Arial" w:hAnsi="Arial" w:cs="Arial"/>
        </w:rPr>
      </w:pPr>
    </w:p>
    <w:p w:rsidR="00A72B61" w:rsidRPr="00CE63C3" w:rsidRDefault="00A72B61" w:rsidP="006C63AE">
      <w:pPr>
        <w:pStyle w:val="ListParagraph"/>
        <w:numPr>
          <w:ilvl w:val="0"/>
          <w:numId w:val="47"/>
        </w:numPr>
        <w:spacing w:after="120"/>
        <w:rPr>
          <w:rFonts w:ascii="Arial" w:hAnsi="Arial" w:cs="Arial"/>
        </w:rPr>
      </w:pPr>
      <w:r w:rsidRPr="00CE63C3">
        <w:rPr>
          <w:rFonts w:ascii="Arial" w:hAnsi="Arial" w:cs="Arial"/>
        </w:rPr>
        <w:t xml:space="preserve">The Ministry, OFA and OPG are working through the specific mechanisms, timelines and share features.  </w:t>
      </w:r>
    </w:p>
    <w:p w:rsidR="00A72B61" w:rsidRPr="00CE63C3" w:rsidRDefault="00A72B61" w:rsidP="00A72B61">
      <w:pPr>
        <w:pStyle w:val="ListParagraph"/>
        <w:rPr>
          <w:rFonts w:ascii="Arial" w:hAnsi="Arial" w:cs="Arial"/>
        </w:rPr>
      </w:pPr>
    </w:p>
    <w:p w:rsidR="00A72B61" w:rsidRPr="00CE63C3" w:rsidRDefault="00A72B61" w:rsidP="006C63AE">
      <w:pPr>
        <w:pStyle w:val="ListParagraph"/>
        <w:numPr>
          <w:ilvl w:val="0"/>
          <w:numId w:val="47"/>
        </w:numPr>
        <w:spacing w:after="120"/>
        <w:rPr>
          <w:rFonts w:ascii="Arial" w:hAnsi="Arial" w:cs="Arial"/>
        </w:rPr>
      </w:pPr>
      <w:r w:rsidRPr="00CE63C3">
        <w:rPr>
          <w:rFonts w:ascii="Arial" w:hAnsi="Arial" w:cs="Arial"/>
        </w:rPr>
        <w:t>It is anticipated that the initial equity injection would take place as early as June 2017.</w:t>
      </w:r>
    </w:p>
    <w:p w:rsidR="00A72B61" w:rsidRPr="00CE63C3" w:rsidRDefault="00A72B61" w:rsidP="00A72B61">
      <w:pPr>
        <w:pStyle w:val="NoSpacing"/>
      </w:pPr>
    </w:p>
    <w:p w:rsidR="00A72B61" w:rsidRPr="006E4D3F" w:rsidRDefault="005073C1" w:rsidP="006C63AE">
      <w:pPr>
        <w:pStyle w:val="ListParagraph"/>
        <w:ind w:left="0"/>
        <w:rPr>
          <w:rFonts w:ascii="Arial" w:hAnsi="Arial"/>
        </w:rPr>
      </w:pPr>
      <w:r w:rsidRPr="005073C1">
        <w:rPr>
          <w:rFonts w:ascii="Arial" w:hAnsi="Arial" w:cs="Arial"/>
        </w:rPr>
        <w:t>In April 2017, the Ministry of Energy received approval for the creation of an operating asset ”OPG Share Purchase” and an increase in operating asset allocation for $1.1 billion.</w:t>
      </w:r>
      <w:r w:rsidR="006E4D3F">
        <w:rPr>
          <w:rFonts w:ascii="Arial" w:hAnsi="Arial" w:cs="Arial"/>
        </w:rPr>
        <w:t xml:space="preserve"> </w:t>
      </w:r>
      <w:r w:rsidRPr="00B17FF1">
        <w:rPr>
          <w:rFonts w:ascii="Arial" w:hAnsi="Arial"/>
        </w:rPr>
        <w:t>This approval was dependent on the passing of the legislation (i.e., the OFHPA that received Royal</w:t>
      </w:r>
      <w:r w:rsidRPr="006E4D3F">
        <w:rPr>
          <w:rFonts w:ascii="Arial" w:hAnsi="Arial"/>
        </w:rPr>
        <w:t xml:space="preserve"> assent on June 1, 2017).</w:t>
      </w:r>
    </w:p>
    <w:p w:rsidR="00A72B61" w:rsidRPr="00CE63C3" w:rsidRDefault="00A72B61" w:rsidP="00A72B61">
      <w:pPr>
        <w:ind w:right="14"/>
        <w:rPr>
          <w:rFonts w:ascii="Arial" w:eastAsia="+mn-ea" w:hAnsi="Arial" w:cs="Arial"/>
          <w:spacing w:val="-1"/>
          <w:kern w:val="24"/>
        </w:rPr>
      </w:pPr>
    </w:p>
    <w:p w:rsidR="00A72B61" w:rsidRPr="00CE63C3" w:rsidRDefault="00A72B61" w:rsidP="006C63AE">
      <w:pPr>
        <w:rPr>
          <w:rFonts w:ascii="Arial" w:hAnsi="Arial" w:cs="Arial"/>
        </w:rPr>
      </w:pPr>
      <w:r w:rsidRPr="00CE63C3">
        <w:rPr>
          <w:rFonts w:ascii="Arial" w:hAnsi="Arial" w:cs="Arial"/>
        </w:rPr>
        <w:t>OPG will provide a two</w:t>
      </w:r>
      <w:r w:rsidR="00C22F4E">
        <w:rPr>
          <w:rFonts w:ascii="Arial" w:hAnsi="Arial" w:cs="Arial"/>
        </w:rPr>
        <w:t>-</w:t>
      </w:r>
      <w:r w:rsidRPr="00CE63C3">
        <w:rPr>
          <w:rFonts w:ascii="Arial" w:hAnsi="Arial" w:cs="Arial"/>
        </w:rPr>
        <w:t>year forecast of its equity requirements to the Ministry on annual basis, as part of OPG’s business plan process.  Note:</w:t>
      </w:r>
      <w:r w:rsidRPr="00CE63C3">
        <w:rPr>
          <w:rFonts w:ascii="Arial" w:hAnsi="Arial" w:cs="Arial"/>
          <w:b/>
        </w:rPr>
        <w:t xml:space="preserve"> </w:t>
      </w:r>
      <w:r w:rsidRPr="00CE63C3">
        <w:rPr>
          <w:rFonts w:ascii="Arial" w:hAnsi="Arial" w:cs="Arial"/>
        </w:rPr>
        <w:t>While included in the business plan, equity requirements will not form part of the Ministry of Energy’s concurrence process</w:t>
      </w:r>
      <w:r w:rsidR="00DF73D9">
        <w:rPr>
          <w:rFonts w:ascii="Arial" w:hAnsi="Arial" w:cs="Arial"/>
        </w:rPr>
        <w:t xml:space="preserve"> and are expected to be fiscally neutral</w:t>
      </w:r>
      <w:r w:rsidRPr="00CE63C3">
        <w:rPr>
          <w:rFonts w:ascii="Arial" w:hAnsi="Arial" w:cs="Arial"/>
        </w:rPr>
        <w:t xml:space="preserve">. </w:t>
      </w:r>
    </w:p>
    <w:p w:rsidR="00A72B61" w:rsidRPr="00CE63C3" w:rsidRDefault="00A72B61" w:rsidP="00A72B61">
      <w:pPr>
        <w:rPr>
          <w:rFonts w:ascii="Arial" w:hAnsi="Arial" w:cs="Arial"/>
        </w:rPr>
      </w:pPr>
    </w:p>
    <w:p w:rsidR="00A72B61" w:rsidRPr="00CE63C3" w:rsidRDefault="00A72B61" w:rsidP="006C63AE">
      <w:pPr>
        <w:rPr>
          <w:rFonts w:ascii="Arial" w:hAnsi="Arial" w:cs="Arial"/>
        </w:rPr>
      </w:pPr>
      <w:r w:rsidRPr="00CE63C3">
        <w:rPr>
          <w:rFonts w:ascii="Arial" w:hAnsi="Arial" w:cs="Arial"/>
        </w:rPr>
        <w:t xml:space="preserve">For future funding requirements, the Ministry will seek appropriation through the PRRT process. </w:t>
      </w:r>
    </w:p>
    <w:p w:rsidR="00A72B61" w:rsidRPr="00CE63C3" w:rsidRDefault="00A72B61" w:rsidP="00A72B61">
      <w:pPr>
        <w:ind w:left="360"/>
        <w:rPr>
          <w:rFonts w:ascii="Arial" w:hAnsi="Arial" w:cs="Arial"/>
        </w:rPr>
      </w:pPr>
    </w:p>
    <w:p w:rsidR="00A72B61" w:rsidRPr="00CE63C3" w:rsidRDefault="00A72B61" w:rsidP="006C63AE">
      <w:pPr>
        <w:rPr>
          <w:rFonts w:ascii="Arial" w:hAnsi="Arial" w:cs="Arial"/>
        </w:rPr>
      </w:pPr>
      <w:r w:rsidRPr="00CE63C3">
        <w:rPr>
          <w:rFonts w:ascii="Arial" w:hAnsi="Arial" w:cs="Arial"/>
        </w:rPr>
        <w:t>OPG will seek to achieve the highest possible credit rating (i.e., AAA is possible) in order to reduce borrowing costs and attract a wide investor base.  Credit ratings will depend on provisions in legislation, regulation and agreements as well as the capital structure of the SPV / Trust.  Despite these factors, rating agencies may see the Province’s rating forming a ceiling given the contingent guarantees that the Province will provide (described above).</w:t>
      </w:r>
    </w:p>
    <w:p w:rsidR="00A72B61" w:rsidRPr="00CE63C3" w:rsidRDefault="00A72B61" w:rsidP="00A72B61">
      <w:pPr>
        <w:ind w:left="360"/>
        <w:rPr>
          <w:rFonts w:ascii="Arial" w:hAnsi="Arial" w:cs="Arial"/>
        </w:rPr>
      </w:pPr>
    </w:p>
    <w:p w:rsidR="00A72B61" w:rsidRPr="00CE63C3" w:rsidRDefault="00A72B61" w:rsidP="006C63AE">
      <w:pPr>
        <w:rPr>
          <w:rFonts w:ascii="Arial" w:hAnsi="Arial" w:cs="Arial"/>
        </w:rPr>
      </w:pPr>
      <w:r w:rsidRPr="00CE63C3">
        <w:rPr>
          <w:rFonts w:ascii="Arial" w:hAnsi="Arial" w:cs="Arial"/>
        </w:rPr>
        <w:t xml:space="preserve">In addition, given the long term nature of this program (i.e., approximately thirty-years), the calculations related to refinancing of the GA set out in the legislation will be subject to fluctuations in Ontario electricity demand, GA  and interest rates in the medium to long-term.  </w:t>
      </w:r>
    </w:p>
    <w:p w:rsidR="00A72B61" w:rsidRPr="00CE63C3" w:rsidRDefault="00A72B61" w:rsidP="00A72B61">
      <w:pPr>
        <w:rPr>
          <w:rFonts w:ascii="Arial" w:hAnsi="Arial" w:cs="Arial"/>
        </w:rPr>
      </w:pPr>
    </w:p>
    <w:p w:rsidR="00A72B61" w:rsidRPr="00CE63C3" w:rsidRDefault="00A72B61" w:rsidP="006C63AE">
      <w:pPr>
        <w:pStyle w:val="ListParagraph"/>
        <w:numPr>
          <w:ilvl w:val="0"/>
          <w:numId w:val="47"/>
        </w:numPr>
        <w:spacing w:after="120"/>
        <w:rPr>
          <w:rFonts w:ascii="Arial" w:hAnsi="Arial" w:cs="Arial"/>
        </w:rPr>
      </w:pPr>
      <w:r w:rsidRPr="00CE63C3">
        <w:rPr>
          <w:rFonts w:ascii="Arial" w:hAnsi="Arial" w:cs="Arial"/>
        </w:rPr>
        <w:t xml:space="preserve">Should electricity demand be higher than forecast </w:t>
      </w:r>
      <w:r w:rsidR="00C22F4E">
        <w:rPr>
          <w:rFonts w:ascii="Arial" w:hAnsi="Arial" w:cs="Arial"/>
        </w:rPr>
        <w:t xml:space="preserve">(e.g., </w:t>
      </w:r>
      <w:r w:rsidRPr="00CE63C3">
        <w:rPr>
          <w:rFonts w:ascii="Arial" w:hAnsi="Arial" w:cs="Arial"/>
        </w:rPr>
        <w:t>as a result of greater electrification,</w:t>
      </w:r>
      <w:r w:rsidR="00C22F4E">
        <w:rPr>
          <w:rFonts w:ascii="Arial" w:hAnsi="Arial" w:cs="Arial"/>
        </w:rPr>
        <w:t>)</w:t>
      </w:r>
      <w:r w:rsidRPr="00CE63C3">
        <w:rPr>
          <w:rFonts w:ascii="Arial" w:hAnsi="Arial" w:cs="Arial"/>
        </w:rPr>
        <w:t>, the cost of paying off the debt will be spread over a greater pool of consumption and decreasing future costs for individual ratepayers. Note: The reverse is also true in regards to decreasing demand.</w:t>
      </w:r>
    </w:p>
    <w:p w:rsidR="00A72B61" w:rsidRPr="00CE63C3" w:rsidRDefault="00A72B61" w:rsidP="00A72B61">
      <w:pPr>
        <w:pStyle w:val="ListParagraph"/>
        <w:spacing w:after="120"/>
        <w:ind w:left="1080"/>
        <w:rPr>
          <w:rFonts w:ascii="Arial" w:hAnsi="Arial" w:cs="Arial"/>
        </w:rPr>
      </w:pPr>
    </w:p>
    <w:p w:rsidR="0004668A" w:rsidRDefault="00A72B61" w:rsidP="006C63AE">
      <w:pPr>
        <w:pStyle w:val="ListParagraph"/>
        <w:numPr>
          <w:ilvl w:val="0"/>
          <w:numId w:val="47"/>
        </w:numPr>
        <w:spacing w:after="120"/>
        <w:rPr>
          <w:rFonts w:ascii="Arial" w:hAnsi="Arial" w:cs="Arial"/>
        </w:rPr>
      </w:pPr>
      <w:r w:rsidRPr="00CE63C3">
        <w:rPr>
          <w:rFonts w:ascii="Arial" w:hAnsi="Arial" w:cs="Arial"/>
        </w:rPr>
        <w:t xml:space="preserve">Should interest costs increase from the assumed 5%, total borrowing costs would rise. Given that this is a unique offering, managing investor confidence will be key to ensure borrowing costs don’t rise. Note: The reverse is also true in regards to interest rates being lower than assumed. </w:t>
      </w:r>
    </w:p>
    <w:p w:rsidR="00A72B61" w:rsidRPr="00CE63C3" w:rsidRDefault="00A72B61" w:rsidP="006C63AE">
      <w:pPr>
        <w:rPr>
          <w:rFonts w:ascii="Arial" w:hAnsi="Arial" w:cs="Arial"/>
          <w:u w:val="single"/>
        </w:rPr>
      </w:pPr>
      <w:r w:rsidRPr="00CE63C3">
        <w:rPr>
          <w:rFonts w:ascii="Arial" w:hAnsi="Arial" w:cs="Arial"/>
          <w:u w:val="single"/>
        </w:rPr>
        <w:t xml:space="preserve">IESO’s Credit Facilities </w:t>
      </w:r>
    </w:p>
    <w:p w:rsidR="00A72B61" w:rsidRPr="00CE63C3" w:rsidRDefault="00A72B61" w:rsidP="00A72B61">
      <w:pPr>
        <w:ind w:left="360"/>
        <w:rPr>
          <w:rFonts w:ascii="Arial" w:hAnsi="Arial" w:cs="Arial"/>
        </w:rPr>
      </w:pPr>
    </w:p>
    <w:p w:rsidR="00A72B61" w:rsidRPr="00CE63C3" w:rsidRDefault="00A72B61" w:rsidP="006C63AE">
      <w:pPr>
        <w:rPr>
          <w:rFonts w:ascii="Arial" w:hAnsi="Arial" w:cs="Arial"/>
        </w:rPr>
      </w:pPr>
      <w:r>
        <w:rPr>
          <w:rFonts w:ascii="Arial" w:hAnsi="Arial" w:cs="Arial"/>
        </w:rPr>
        <w:t xml:space="preserve">As report in the May 9, 2017 submission to TB/MBC, </w:t>
      </w:r>
      <w:r w:rsidRPr="00CE63C3">
        <w:rPr>
          <w:rFonts w:ascii="Arial" w:hAnsi="Arial" w:cs="Arial"/>
        </w:rPr>
        <w:t xml:space="preserve">IESO is in discussions with the Ontario Financing Authority (OFA) regarding an increase to its current “line of credit” with the OFA and OEFC (i.e., credit facilities).  The increases are in response to IESO role in the delivery of OFHP and to provide a necessary buffer to fund short periods where OPG SPV/Trust does not fund a shortfall. </w:t>
      </w:r>
    </w:p>
    <w:p w:rsidR="00A72B61" w:rsidRPr="00CE63C3" w:rsidRDefault="00A72B61" w:rsidP="00A72B61">
      <w:pPr>
        <w:rPr>
          <w:rFonts w:ascii="Arial" w:hAnsi="Arial" w:cs="Arial"/>
        </w:rPr>
      </w:pPr>
    </w:p>
    <w:p w:rsidR="00A72B61" w:rsidRPr="00CE63C3" w:rsidRDefault="00A72B61" w:rsidP="006C63AE">
      <w:pPr>
        <w:rPr>
          <w:rFonts w:ascii="Arial" w:hAnsi="Arial" w:cs="Arial"/>
        </w:rPr>
      </w:pPr>
      <w:r w:rsidRPr="00CE63C3">
        <w:rPr>
          <w:rFonts w:ascii="Arial" w:hAnsi="Arial" w:cs="Arial"/>
        </w:rPr>
        <w:t xml:space="preserve">IESO advises that this is important not only for IESO solvency, but also to maintain its credit rating (i.e., IESO’s contracted suppliers' credit arrangements are often based on IESO maintaining a certain rating). </w:t>
      </w:r>
    </w:p>
    <w:p w:rsidR="00A72B61" w:rsidRPr="00CE63C3" w:rsidRDefault="00A72B61" w:rsidP="00A72B61">
      <w:pPr>
        <w:ind w:left="360"/>
        <w:rPr>
          <w:rFonts w:ascii="Arial" w:hAnsi="Arial" w:cs="Arial"/>
        </w:rPr>
      </w:pPr>
    </w:p>
    <w:p w:rsidR="00A72B61" w:rsidRDefault="00A72B61" w:rsidP="006C63AE">
      <w:pPr>
        <w:rPr>
          <w:rFonts w:ascii="Arial" w:hAnsi="Arial" w:cs="Arial"/>
        </w:rPr>
      </w:pPr>
      <w:r w:rsidRPr="00CE63C3">
        <w:rPr>
          <w:rFonts w:ascii="Arial" w:hAnsi="Arial" w:cs="Arial"/>
        </w:rPr>
        <w:t>IESO would require financing to compensate generators should it be required to hold any portion of the unpurchased Regulatory Asset beyond each monthly settlement period. OPG Trust is not expected to access public capital markets monthly, nor is it required to purchase the regulatory asset.  Therefore, IESO will need a credit facility for interim financing.  IESO may also require longer-term financing to maintain the deferral financing plan, should the OPG Trust not be able to access debt markets on a timely basis for purchase of some or all of the regulatory asset.</w:t>
      </w:r>
    </w:p>
    <w:p w:rsidR="00E918D6" w:rsidRPr="00AD1460" w:rsidRDefault="00E918D6" w:rsidP="00AD1460">
      <w:pPr>
        <w:ind w:left="360"/>
        <w:rPr>
          <w:rFonts w:ascii="Arial" w:hAnsi="Arial"/>
        </w:rPr>
      </w:pPr>
    </w:p>
    <w:p w:rsidR="00E918D6" w:rsidRPr="00E918D6" w:rsidRDefault="00E918D6" w:rsidP="006C63AE">
      <w:pPr>
        <w:ind w:right="108"/>
        <w:rPr>
          <w:rFonts w:ascii="Arial" w:hAnsi="Arial" w:cs="Arial"/>
          <w:lang w:val="en-US"/>
        </w:rPr>
      </w:pPr>
      <w:r w:rsidRPr="00E918D6">
        <w:rPr>
          <w:rFonts w:ascii="Arial" w:hAnsi="Arial" w:cs="Arial"/>
          <w:lang w:val="en-US"/>
        </w:rPr>
        <w:t xml:space="preserve">The Ministry of Finance (MOF) is seeking an OIC under CIPA to authorize the Minister of Finance to provide loan(s) to the Ontario Financing Authority (OFA) in an amount of up to $2 billion.  This change will allow the OFA to enhance IESO credit facility as necessary to assist with the timely and successful implementation of the OFHP.    </w:t>
      </w:r>
    </w:p>
    <w:p w:rsidR="00A72B61" w:rsidRPr="00CE63C3" w:rsidRDefault="00A72B61" w:rsidP="00A72B61">
      <w:pPr>
        <w:rPr>
          <w:rFonts w:ascii="Arial" w:hAnsi="Arial" w:cs="Arial"/>
          <w:i/>
          <w:lang w:val="en-US"/>
        </w:rPr>
      </w:pPr>
    </w:p>
    <w:p w:rsidR="00327505" w:rsidRPr="00263F99" w:rsidRDefault="00A72B61" w:rsidP="006C63AE">
      <w:pPr>
        <w:rPr>
          <w:rFonts w:ascii="Arial" w:hAnsi="Arial" w:cs="Arial"/>
          <w:i/>
        </w:rPr>
      </w:pPr>
      <w:r w:rsidRPr="00263F99">
        <w:rPr>
          <w:rFonts w:ascii="Arial" w:hAnsi="Arial"/>
          <w:i/>
          <w:lang w:val="en-US"/>
        </w:rPr>
        <w:t>Accounting</w:t>
      </w:r>
    </w:p>
    <w:p w:rsidR="00A72B61" w:rsidRPr="00CE63C3" w:rsidRDefault="00A72B61" w:rsidP="00A72B61">
      <w:pPr>
        <w:ind w:left="360"/>
        <w:rPr>
          <w:rFonts w:ascii="Arial" w:hAnsi="Arial" w:cs="Arial"/>
          <w:i/>
          <w:lang w:val="en-US"/>
        </w:rPr>
      </w:pPr>
      <w:r w:rsidRPr="00CE63C3">
        <w:rPr>
          <w:rFonts w:ascii="Arial" w:hAnsi="Arial" w:cs="Arial"/>
          <w:i/>
          <w:lang w:val="en-US"/>
        </w:rPr>
        <w:t xml:space="preserve"> </w:t>
      </w:r>
    </w:p>
    <w:p w:rsidR="00A72B61" w:rsidRPr="00CE63C3" w:rsidRDefault="00A72B61" w:rsidP="006C63AE">
      <w:pPr>
        <w:rPr>
          <w:rFonts w:ascii="Arial" w:hAnsi="Arial" w:cs="Arial"/>
          <w:lang w:val="en-US"/>
        </w:rPr>
      </w:pPr>
      <w:r>
        <w:rPr>
          <w:rFonts w:ascii="Arial" w:hAnsi="Arial" w:cs="Arial"/>
          <w:lang w:val="en-US"/>
        </w:rPr>
        <w:t>As</w:t>
      </w:r>
      <w:r w:rsidRPr="00E75C68">
        <w:rPr>
          <w:rFonts w:ascii="Arial" w:hAnsi="Arial" w:cs="Arial"/>
          <w:lang w:val="en-US"/>
        </w:rPr>
        <w:t xml:space="preserve"> reported in the TB/MBC submission of May 9, 2017</w:t>
      </w:r>
      <w:r>
        <w:rPr>
          <w:rFonts w:ascii="Arial" w:hAnsi="Arial" w:cs="Arial"/>
          <w:lang w:val="en-US"/>
        </w:rPr>
        <w:t xml:space="preserve">, </w:t>
      </w:r>
      <w:r w:rsidRPr="00CE63C3">
        <w:rPr>
          <w:rFonts w:ascii="Arial" w:hAnsi="Arial" w:cs="Arial"/>
          <w:lang w:val="en-US"/>
        </w:rPr>
        <w:t>legislation to enable GA refinancing has benefitted from the review and input of IESO/KPMG, OPG/E&amp;Y and OPCD/E&amp;Y.</w:t>
      </w:r>
    </w:p>
    <w:p w:rsidR="00A72B61" w:rsidRPr="00CE63C3" w:rsidRDefault="00A72B61" w:rsidP="00A72B61">
      <w:pPr>
        <w:ind w:left="360"/>
        <w:rPr>
          <w:rFonts w:ascii="Arial" w:hAnsi="Arial" w:cs="Arial"/>
          <w:lang w:val="en-US"/>
        </w:rPr>
      </w:pPr>
    </w:p>
    <w:p w:rsidR="00A72B61" w:rsidRPr="00CE63C3" w:rsidRDefault="005073C1" w:rsidP="006C63AE">
      <w:pPr>
        <w:rPr>
          <w:rFonts w:ascii="Arial" w:hAnsi="Arial" w:cs="Arial"/>
        </w:rPr>
      </w:pPr>
      <w:r>
        <w:rPr>
          <w:rFonts w:ascii="Arial" w:hAnsi="Arial" w:cs="Arial"/>
        </w:rPr>
        <w:t>The</w:t>
      </w:r>
      <w:r w:rsidR="00A72B61" w:rsidRPr="00CE63C3">
        <w:rPr>
          <w:rFonts w:ascii="Arial" w:hAnsi="Arial" w:cs="Arial"/>
        </w:rPr>
        <w:t xml:space="preserve"> legislation establishes mechanisms to enable the funding, sale and transfer between IESO and OPG that respond to the accounting requirements and advice outlined in the March 1, 2017 Cabinet Submission, such as concerns regarding consolidation by the Province. </w:t>
      </w:r>
    </w:p>
    <w:p w:rsidR="00A72B61" w:rsidRPr="00CE63C3" w:rsidRDefault="00A72B61" w:rsidP="00A72B61">
      <w:pPr>
        <w:ind w:left="360"/>
        <w:rPr>
          <w:rFonts w:ascii="Arial" w:hAnsi="Arial" w:cs="Arial"/>
        </w:rPr>
      </w:pPr>
    </w:p>
    <w:p w:rsidR="00A72B61" w:rsidRPr="00CE63C3" w:rsidRDefault="005073C1" w:rsidP="006C63AE">
      <w:pPr>
        <w:rPr>
          <w:rFonts w:ascii="Arial" w:hAnsi="Arial" w:cs="Arial"/>
        </w:rPr>
      </w:pPr>
      <w:r>
        <w:rPr>
          <w:rFonts w:ascii="Arial" w:hAnsi="Arial" w:cs="Arial"/>
        </w:rPr>
        <w:t>Under the</w:t>
      </w:r>
      <w:r w:rsidR="00A72B61" w:rsidRPr="00CE63C3">
        <w:rPr>
          <w:rFonts w:ascii="Arial" w:hAnsi="Arial" w:cs="Arial"/>
        </w:rPr>
        <w:t xml:space="preserve"> legislation, OEB will issue an “accounting order” to authorize IESO to create a variance account in which it will record the funding shortfall and recover the shortfall in accordance with the legislation and regulations.</w:t>
      </w:r>
      <w:r w:rsidR="00A72B61" w:rsidRPr="00CE63C3">
        <w:rPr>
          <w:rFonts w:ascii="Arial" w:hAnsi="Arial" w:cs="Arial"/>
          <w:lang w:val="en-US"/>
        </w:rPr>
        <w:t xml:space="preserve"> This satisfies accounting concerns regarding OEB oversight in the establishment of the Regulatory Asset.</w:t>
      </w:r>
    </w:p>
    <w:p w:rsidR="00A72B61" w:rsidRPr="00CE63C3" w:rsidRDefault="00A72B61" w:rsidP="00A72B61">
      <w:pPr>
        <w:ind w:left="360"/>
        <w:rPr>
          <w:rFonts w:ascii="Arial" w:hAnsi="Arial" w:cs="Arial"/>
        </w:rPr>
      </w:pPr>
    </w:p>
    <w:p w:rsidR="00A72B61" w:rsidRPr="00CE63C3" w:rsidRDefault="00A72B61" w:rsidP="006C63AE">
      <w:pPr>
        <w:rPr>
          <w:rFonts w:ascii="Arial" w:hAnsi="Arial" w:cs="Arial"/>
          <w:lang w:val="en-US"/>
        </w:rPr>
      </w:pPr>
      <w:r w:rsidRPr="00CE63C3">
        <w:rPr>
          <w:rFonts w:ascii="Arial" w:hAnsi="Arial" w:cs="Arial"/>
          <w:lang w:val="en-US"/>
        </w:rPr>
        <w:t>IESO will effectively sell the “right to collect” deferred future revenue from ratepayers to OPG in return for cash proceeds.</w:t>
      </w:r>
    </w:p>
    <w:p w:rsidR="00A72B61" w:rsidRPr="00CE63C3" w:rsidRDefault="00A72B61" w:rsidP="00A72B61">
      <w:pPr>
        <w:ind w:left="360"/>
        <w:rPr>
          <w:rFonts w:ascii="Arial" w:hAnsi="Arial" w:cs="Arial"/>
          <w:lang w:val="en-US"/>
        </w:rPr>
      </w:pPr>
    </w:p>
    <w:p w:rsidR="00A72B61" w:rsidRPr="00CE63C3" w:rsidRDefault="005073C1" w:rsidP="006C63AE">
      <w:pPr>
        <w:rPr>
          <w:rFonts w:ascii="Arial" w:hAnsi="Arial" w:cs="Arial"/>
          <w:lang w:val="en-US"/>
        </w:rPr>
      </w:pPr>
      <w:r>
        <w:rPr>
          <w:rFonts w:ascii="Arial" w:hAnsi="Arial" w:cs="Arial"/>
          <w:lang w:val="en-US"/>
        </w:rPr>
        <w:t>The</w:t>
      </w:r>
      <w:r w:rsidR="00A72B61" w:rsidRPr="00CE63C3">
        <w:rPr>
          <w:rFonts w:ascii="Arial" w:hAnsi="Arial" w:cs="Arial"/>
          <w:lang w:val="en-US"/>
        </w:rPr>
        <w:t xml:space="preserve"> legislation and the associated amendments to the Electricity Act, 1998, enable OPG to create OPG’s SPV/Trust as a stand-alone entity able to conduct business separately under a Trust agreement.</w:t>
      </w:r>
    </w:p>
    <w:p w:rsidR="00A72B61" w:rsidRPr="00CE63C3" w:rsidRDefault="00A72B61" w:rsidP="00A72B61">
      <w:pPr>
        <w:ind w:left="360"/>
        <w:rPr>
          <w:rFonts w:ascii="Arial" w:hAnsi="Arial" w:cs="Arial"/>
          <w:lang w:val="en-US"/>
        </w:rPr>
      </w:pPr>
    </w:p>
    <w:p w:rsidR="00A72B61" w:rsidRPr="00CE63C3" w:rsidRDefault="00A72B61" w:rsidP="006C63AE">
      <w:pPr>
        <w:rPr>
          <w:rFonts w:ascii="Arial" w:hAnsi="Arial" w:cs="Arial"/>
          <w:lang w:val="en-US"/>
        </w:rPr>
      </w:pPr>
      <w:r w:rsidRPr="00CE63C3">
        <w:rPr>
          <w:rFonts w:ascii="Arial" w:hAnsi="Arial" w:cs="Arial"/>
          <w:lang w:val="en-US"/>
        </w:rPr>
        <w:t xml:space="preserve">To recover its revenue shortfall, IESO will establish a Regulatory Asset that it </w:t>
      </w:r>
    </w:p>
    <w:p w:rsidR="00A72B61" w:rsidRDefault="00A72B61" w:rsidP="00A72B61">
      <w:pPr>
        <w:ind w:left="360"/>
        <w:rPr>
          <w:rFonts w:ascii="Arial" w:hAnsi="Arial" w:cs="Arial"/>
          <w:lang w:val="en-US"/>
        </w:rPr>
      </w:pPr>
      <w:r w:rsidRPr="00CE63C3">
        <w:rPr>
          <w:rFonts w:ascii="Arial" w:hAnsi="Arial" w:cs="Arial"/>
          <w:lang w:val="en-US"/>
        </w:rPr>
        <w:t>would sell to OPG’s SPV/Trust.</w:t>
      </w:r>
    </w:p>
    <w:p w:rsidR="00C40807" w:rsidRDefault="00C40807" w:rsidP="00AD1460">
      <w:pPr>
        <w:ind w:left="360"/>
        <w:rPr>
          <w:rFonts w:ascii="Arial" w:hAnsi="Arial" w:cs="Arial"/>
          <w:lang w:val="en-US"/>
        </w:rPr>
      </w:pPr>
    </w:p>
    <w:p w:rsidR="00C40807" w:rsidRPr="00CE63C3" w:rsidRDefault="00C40807" w:rsidP="006C63AE">
      <w:pPr>
        <w:rPr>
          <w:rFonts w:ascii="Arial" w:hAnsi="Arial" w:cs="Arial"/>
          <w:lang w:val="en-US"/>
        </w:rPr>
      </w:pPr>
      <w:r>
        <w:rPr>
          <w:rFonts w:ascii="Arial" w:hAnsi="Arial" w:cs="Arial"/>
          <w:lang w:val="en-US"/>
        </w:rPr>
        <w:t>The general regulation provides further clarity on the process for establishing the asset and what costs are eligible for inclusion in the asset.</w:t>
      </w:r>
    </w:p>
    <w:p w:rsidR="00A72B61" w:rsidRPr="00CE63C3" w:rsidRDefault="00A72B61" w:rsidP="00A72B61">
      <w:pPr>
        <w:rPr>
          <w:rFonts w:ascii="Arial" w:hAnsi="Arial" w:cs="Arial"/>
          <w:lang w:val="en-US"/>
        </w:rPr>
      </w:pPr>
    </w:p>
    <w:p w:rsidR="00A72B61" w:rsidRPr="006C63AE" w:rsidRDefault="00BE3176" w:rsidP="006C63AE">
      <w:pPr>
        <w:rPr>
          <w:rFonts w:ascii="Arial" w:eastAsiaTheme="minorHAnsi" w:hAnsi="Arial"/>
          <w:sz w:val="22"/>
          <w:u w:val="single"/>
          <w:lang w:val="en-US"/>
        </w:rPr>
      </w:pPr>
      <w:r w:rsidRPr="00263F99">
        <w:rPr>
          <w:rFonts w:ascii="Arial" w:eastAsiaTheme="minorHAnsi" w:hAnsi="Arial" w:cs="Arial"/>
          <w:sz w:val="22"/>
          <w:szCs w:val="22"/>
          <w:u w:val="single"/>
          <w:lang w:eastAsia="en-US"/>
        </w:rPr>
        <w:t xml:space="preserve">IESO / </w:t>
      </w:r>
      <w:r w:rsidR="00A72B61" w:rsidRPr="006C63AE">
        <w:rPr>
          <w:rFonts w:ascii="Arial" w:eastAsiaTheme="minorHAnsi" w:hAnsi="Arial"/>
          <w:sz w:val="22"/>
          <w:u w:val="single"/>
          <w:lang w:val="en-US"/>
        </w:rPr>
        <w:t>KPMG</w:t>
      </w:r>
    </w:p>
    <w:p w:rsidR="00A72B61" w:rsidRPr="00CE63C3" w:rsidRDefault="00A72B61" w:rsidP="00A72B61">
      <w:pPr>
        <w:rPr>
          <w:rFonts w:ascii="Arial" w:eastAsiaTheme="minorHAnsi" w:hAnsi="Arial" w:cs="Arial"/>
          <w:sz w:val="22"/>
          <w:szCs w:val="22"/>
          <w:lang w:val="en-US" w:eastAsia="en-US"/>
        </w:rPr>
      </w:pPr>
    </w:p>
    <w:p w:rsidR="00A72B61" w:rsidRPr="00CE63C3" w:rsidRDefault="00A72B61" w:rsidP="006C63AE">
      <w:pPr>
        <w:rPr>
          <w:rFonts w:ascii="Arial" w:eastAsiaTheme="minorHAnsi" w:hAnsi="Arial" w:cs="Arial"/>
          <w:lang w:val="en-US" w:eastAsia="en-US"/>
        </w:rPr>
      </w:pPr>
      <w:r w:rsidRPr="00E75C68">
        <w:rPr>
          <w:rFonts w:ascii="Arial" w:eastAsiaTheme="minorHAnsi" w:hAnsi="Arial" w:cs="Arial"/>
          <w:lang w:val="en-US" w:eastAsia="en-US"/>
        </w:rPr>
        <w:t>As reported in the TB/MBC submission of May 9, 2017</w:t>
      </w:r>
      <w:r>
        <w:rPr>
          <w:rFonts w:ascii="Arial" w:eastAsiaTheme="minorHAnsi" w:hAnsi="Arial" w:cs="Arial"/>
          <w:lang w:val="en-US" w:eastAsia="en-US"/>
        </w:rPr>
        <w:t>, t</w:t>
      </w:r>
      <w:r w:rsidRPr="00CE63C3">
        <w:rPr>
          <w:rFonts w:ascii="Arial" w:eastAsiaTheme="minorHAnsi" w:hAnsi="Arial" w:cs="Arial"/>
          <w:lang w:val="en-US" w:eastAsia="en-US"/>
        </w:rPr>
        <w:t xml:space="preserve">he Ministry has worked closely with the Independent Electricity System Operator (IESO) and KPMG on the accounting considerations of GA Refinancing (i.e., legislation, applications of accounting standards/principles, minimizing consolidation risks and ability to establish a regulatory asset).  </w:t>
      </w:r>
    </w:p>
    <w:p w:rsidR="00A72B61" w:rsidRPr="00CE63C3" w:rsidRDefault="00A72B61" w:rsidP="00A72B61">
      <w:pPr>
        <w:rPr>
          <w:rFonts w:ascii="Arial" w:eastAsiaTheme="minorHAnsi" w:hAnsi="Arial" w:cs="Arial"/>
          <w:lang w:val="en-US" w:eastAsia="en-US"/>
        </w:rPr>
      </w:pPr>
    </w:p>
    <w:p w:rsidR="00A72B61" w:rsidRPr="00CE63C3" w:rsidRDefault="00A72B61" w:rsidP="006C63AE">
      <w:pPr>
        <w:rPr>
          <w:rFonts w:ascii="Arial" w:eastAsiaTheme="minorHAnsi" w:hAnsi="Arial" w:cs="Arial"/>
          <w:lang w:eastAsia="en-US"/>
        </w:rPr>
      </w:pPr>
      <w:r w:rsidRPr="00CE63C3">
        <w:rPr>
          <w:rFonts w:ascii="Arial" w:eastAsiaTheme="minorHAnsi" w:hAnsi="Arial" w:cs="Arial"/>
          <w:lang w:val="en-US" w:eastAsia="en-US"/>
        </w:rPr>
        <w:t xml:space="preserve">In particular, </w:t>
      </w:r>
      <w:r w:rsidRPr="00CE63C3">
        <w:rPr>
          <w:rFonts w:ascii="Arial" w:eastAsiaTheme="minorHAnsi" w:hAnsi="Arial" w:cs="Arial"/>
          <w:lang w:eastAsia="en-US"/>
        </w:rPr>
        <w:t xml:space="preserve">the legislation provides a structure that IESO and KMPG </w:t>
      </w:r>
      <w:r w:rsidR="00DF73D9">
        <w:rPr>
          <w:rFonts w:ascii="Arial" w:eastAsiaTheme="minorHAnsi" w:hAnsi="Arial" w:cs="Arial"/>
          <w:lang w:eastAsia="en-US"/>
        </w:rPr>
        <w:t xml:space="preserve">– in the accounting opinion they provided to IESO </w:t>
      </w:r>
      <w:r w:rsidR="00DF73D9" w:rsidRPr="00DF73D9">
        <w:rPr>
          <w:rFonts w:ascii="Arial" w:eastAsiaTheme="minorHAnsi" w:hAnsi="Arial" w:cs="Arial"/>
          <w:lang w:eastAsia="en-US"/>
        </w:rPr>
        <w:t>–</w:t>
      </w:r>
      <w:r w:rsidR="00DF73D9">
        <w:rPr>
          <w:rFonts w:ascii="Arial" w:eastAsiaTheme="minorHAnsi" w:hAnsi="Arial" w:cs="Arial"/>
          <w:lang w:eastAsia="en-US"/>
        </w:rPr>
        <w:t xml:space="preserve"> </w:t>
      </w:r>
      <w:r w:rsidRPr="00CE63C3">
        <w:rPr>
          <w:rFonts w:ascii="Arial" w:eastAsiaTheme="minorHAnsi" w:hAnsi="Arial" w:cs="Arial"/>
          <w:lang w:eastAsia="en-US"/>
        </w:rPr>
        <w:t xml:space="preserve">believe meets the necessary accounting requirements.  Key elements include: </w:t>
      </w:r>
    </w:p>
    <w:p w:rsidR="00A72B61" w:rsidRPr="00CE63C3" w:rsidRDefault="00A72B61" w:rsidP="00A72B61">
      <w:pPr>
        <w:rPr>
          <w:rFonts w:ascii="Arial" w:eastAsiaTheme="minorHAnsi" w:hAnsi="Arial" w:cs="Arial"/>
          <w:lang w:eastAsia="en-US"/>
        </w:rPr>
      </w:pPr>
    </w:p>
    <w:p w:rsidR="0014226A" w:rsidRDefault="00A72B61" w:rsidP="0014226A">
      <w:pPr>
        <w:pStyle w:val="ListParagraph"/>
        <w:numPr>
          <w:ilvl w:val="0"/>
          <w:numId w:val="65"/>
        </w:numPr>
        <w:overflowPunct w:val="0"/>
        <w:autoSpaceDE w:val="0"/>
        <w:autoSpaceDN w:val="0"/>
        <w:spacing w:after="120" w:line="276" w:lineRule="auto"/>
        <w:ind w:right="180"/>
        <w:rPr>
          <w:rFonts w:ascii="Arial" w:eastAsiaTheme="minorHAnsi" w:hAnsi="Arial" w:cs="Arial"/>
          <w:lang w:eastAsia="en-US"/>
        </w:rPr>
      </w:pPr>
      <w:r w:rsidRPr="0014226A">
        <w:rPr>
          <w:rFonts w:ascii="Arial" w:eastAsiaTheme="minorHAnsi" w:hAnsi="Arial" w:cs="Arial"/>
          <w:lang w:eastAsia="en-US"/>
        </w:rPr>
        <w:t>An IESO variance</w:t>
      </w:r>
      <w:r w:rsidR="005073C1" w:rsidRPr="0014226A">
        <w:rPr>
          <w:rFonts w:ascii="Arial" w:eastAsiaTheme="minorHAnsi" w:hAnsi="Arial" w:cs="Arial"/>
          <w:lang w:eastAsia="en-US"/>
        </w:rPr>
        <w:t xml:space="preserve"> account created by the</w:t>
      </w:r>
      <w:r w:rsidRPr="0014226A">
        <w:rPr>
          <w:rFonts w:ascii="Arial" w:eastAsiaTheme="minorHAnsi" w:hAnsi="Arial" w:cs="Arial"/>
          <w:lang w:eastAsia="en-US"/>
        </w:rPr>
        <w:t xml:space="preserve"> legislation that would be recognized as a “regulatory asset”. </w:t>
      </w:r>
    </w:p>
    <w:p w:rsidR="0014226A" w:rsidRDefault="0014226A" w:rsidP="0014226A">
      <w:pPr>
        <w:pStyle w:val="ListParagraph"/>
        <w:overflowPunct w:val="0"/>
        <w:autoSpaceDE w:val="0"/>
        <w:autoSpaceDN w:val="0"/>
        <w:spacing w:after="120" w:line="276" w:lineRule="auto"/>
        <w:ind w:left="360" w:right="180"/>
        <w:rPr>
          <w:rFonts w:ascii="Arial" w:eastAsiaTheme="minorHAnsi" w:hAnsi="Arial" w:cs="Arial"/>
          <w:lang w:eastAsia="en-US"/>
        </w:rPr>
      </w:pPr>
    </w:p>
    <w:p w:rsidR="00A72B61" w:rsidRPr="0014226A" w:rsidRDefault="00A72B61" w:rsidP="00A72B61">
      <w:pPr>
        <w:pStyle w:val="ListParagraph"/>
        <w:numPr>
          <w:ilvl w:val="0"/>
          <w:numId w:val="65"/>
        </w:numPr>
        <w:overflowPunct w:val="0"/>
        <w:autoSpaceDE w:val="0"/>
        <w:autoSpaceDN w:val="0"/>
        <w:spacing w:after="120" w:line="276" w:lineRule="auto"/>
        <w:ind w:right="180"/>
        <w:rPr>
          <w:rFonts w:ascii="Arial" w:eastAsiaTheme="minorHAnsi" w:hAnsi="Arial" w:cs="Arial"/>
          <w:lang w:eastAsia="en-US"/>
        </w:rPr>
      </w:pPr>
      <w:r w:rsidRPr="0014226A">
        <w:rPr>
          <w:rFonts w:ascii="Arial" w:eastAsiaTheme="minorHAnsi" w:hAnsi="Arial" w:cs="Arial"/>
          <w:lang w:eastAsia="en-US"/>
        </w:rPr>
        <w:t xml:space="preserve">An Ontario Power Generation (OPG) special purpose vehicle (SPV) / Trust that would not controlled by IESO and thus have no consolidation risk for IESO. </w:t>
      </w:r>
    </w:p>
    <w:p w:rsidR="00A72B61" w:rsidRPr="00CE63C3" w:rsidRDefault="00A72B61" w:rsidP="0014226A">
      <w:pPr>
        <w:rPr>
          <w:rFonts w:ascii="Arial" w:eastAsiaTheme="minorHAnsi" w:hAnsi="Arial" w:cs="Arial"/>
          <w:lang w:val="en-US" w:eastAsia="en-US"/>
        </w:rPr>
      </w:pPr>
      <w:r w:rsidRPr="00CE63C3">
        <w:rPr>
          <w:rFonts w:ascii="Arial" w:eastAsiaTheme="minorHAnsi" w:hAnsi="Arial" w:cs="Arial"/>
          <w:lang w:val="en-US" w:eastAsia="en-US"/>
        </w:rPr>
        <w:t>In addition, KMPG provided some commentary on the accounting requirement for the “derecognition” of the regulatory asset once it’s sold to OPG SPV/Trust.  KPMG advised that the regulatory asset should be derecognized upon transfer to the OPG SPV/Trust as IESO no longer has rights or obligations to the asset (i.e., the transformation from a regulatory asset to an investment asset).</w:t>
      </w:r>
    </w:p>
    <w:p w:rsidR="00A72B61" w:rsidRPr="00CE63C3" w:rsidRDefault="00A72B61" w:rsidP="00A72B61">
      <w:pPr>
        <w:ind w:left="360"/>
        <w:rPr>
          <w:rFonts w:ascii="Arial" w:eastAsiaTheme="minorHAnsi" w:hAnsi="Arial" w:cs="Arial"/>
          <w:lang w:val="en-US" w:eastAsia="en-US"/>
        </w:rPr>
      </w:pPr>
    </w:p>
    <w:p w:rsidR="00A72B61" w:rsidRPr="006C63AE" w:rsidRDefault="00A72B61" w:rsidP="0014226A">
      <w:pPr>
        <w:rPr>
          <w:rFonts w:ascii="Arial" w:eastAsiaTheme="minorHAnsi" w:hAnsi="Arial"/>
          <w:u w:val="single"/>
          <w:lang w:val="en-US"/>
        </w:rPr>
      </w:pPr>
      <w:r w:rsidRPr="006C63AE">
        <w:rPr>
          <w:rFonts w:ascii="Arial" w:eastAsiaTheme="minorHAnsi" w:hAnsi="Arial"/>
          <w:u w:val="single"/>
          <w:lang w:val="en-US"/>
        </w:rPr>
        <w:t>OPG</w:t>
      </w:r>
      <w:r w:rsidR="00BE3176" w:rsidRPr="00263F99">
        <w:rPr>
          <w:rFonts w:ascii="Arial" w:eastAsiaTheme="minorHAnsi" w:hAnsi="Arial" w:cs="Arial"/>
          <w:u w:val="single"/>
          <w:lang w:eastAsia="en-US"/>
        </w:rPr>
        <w:t>/ E&amp;Y</w:t>
      </w:r>
      <w:r w:rsidRPr="006C63AE">
        <w:rPr>
          <w:rFonts w:ascii="Arial" w:eastAsiaTheme="minorHAnsi" w:hAnsi="Arial"/>
          <w:u w:val="single"/>
          <w:lang w:val="en-US"/>
        </w:rPr>
        <w:t xml:space="preserve"> </w:t>
      </w:r>
    </w:p>
    <w:p w:rsidR="00A72B61" w:rsidRPr="00CE63C3" w:rsidRDefault="00A72B61" w:rsidP="00A72B61">
      <w:pPr>
        <w:rPr>
          <w:rFonts w:ascii="Arial" w:eastAsiaTheme="minorHAnsi" w:hAnsi="Arial" w:cs="Arial"/>
          <w:lang w:val="en-US" w:eastAsia="en-US"/>
        </w:rPr>
      </w:pPr>
    </w:p>
    <w:p w:rsidR="00A72B61" w:rsidRPr="00CE63C3" w:rsidRDefault="00A72B61" w:rsidP="0014226A">
      <w:pPr>
        <w:rPr>
          <w:rFonts w:ascii="Arial" w:eastAsiaTheme="minorHAnsi" w:hAnsi="Arial" w:cs="Arial"/>
          <w:lang w:val="en-US" w:eastAsia="en-US"/>
        </w:rPr>
      </w:pPr>
      <w:r w:rsidRPr="00E75C68">
        <w:rPr>
          <w:rFonts w:ascii="Arial" w:eastAsiaTheme="minorHAnsi" w:hAnsi="Arial" w:cs="Arial"/>
          <w:lang w:val="en-US" w:eastAsia="en-US"/>
        </w:rPr>
        <w:t>As reported in the TB/MBC submission of May 9, 2017</w:t>
      </w:r>
      <w:r>
        <w:rPr>
          <w:rFonts w:ascii="Arial" w:eastAsiaTheme="minorHAnsi" w:hAnsi="Arial" w:cs="Arial"/>
          <w:lang w:val="en-US" w:eastAsia="en-US"/>
        </w:rPr>
        <w:t>, t</w:t>
      </w:r>
      <w:r w:rsidRPr="00CE63C3">
        <w:rPr>
          <w:rFonts w:ascii="Arial" w:eastAsiaTheme="minorHAnsi" w:hAnsi="Arial" w:cs="Arial"/>
          <w:lang w:val="en-US" w:eastAsia="en-US"/>
        </w:rPr>
        <w:t>he Ministry has worked closely with Ontario Power Generation (OPG) and E&amp;Y, on the accounting requirements to enable GA Refinancing with respect to consolidation (i.e., legislation, applications of accounting standards/principles, establishing a special SPV / Trust).</w:t>
      </w:r>
    </w:p>
    <w:p w:rsidR="00A72B61" w:rsidRPr="00CE63C3" w:rsidRDefault="00A72B61" w:rsidP="00A72B61">
      <w:pPr>
        <w:ind w:left="360"/>
        <w:rPr>
          <w:rFonts w:ascii="Arial" w:eastAsiaTheme="minorHAnsi" w:hAnsi="Arial" w:cs="Arial"/>
          <w:lang w:val="en-US" w:eastAsia="en-US"/>
        </w:rPr>
      </w:pPr>
    </w:p>
    <w:p w:rsidR="0069189C" w:rsidRDefault="00A72B61" w:rsidP="0069189C">
      <w:pPr>
        <w:rPr>
          <w:rFonts w:ascii="Arial" w:eastAsiaTheme="minorHAnsi" w:hAnsi="Arial" w:cs="Arial"/>
          <w:lang w:eastAsia="en-US"/>
        </w:rPr>
      </w:pPr>
      <w:r w:rsidRPr="00CE63C3">
        <w:rPr>
          <w:rFonts w:ascii="Arial" w:eastAsiaTheme="minorHAnsi" w:hAnsi="Arial" w:cs="Arial"/>
          <w:lang w:val="en-US" w:eastAsia="en-US"/>
        </w:rPr>
        <w:t xml:space="preserve">The legislation and the associated amendments to the Electricity Act, 1998, enable OPG to create OPG’s SPV/Trust as a stand-alone entity able to conduct business separately under a Trust agreement.  Note: To further support the operations and mechanics of the OPG SPV/Trust, additional work will be done through the regulations and supporting agreements/documents.   </w:t>
      </w:r>
    </w:p>
    <w:p w:rsidR="0069189C" w:rsidRDefault="0069189C" w:rsidP="0069189C">
      <w:pPr>
        <w:rPr>
          <w:rFonts w:ascii="Arial" w:eastAsiaTheme="minorHAnsi" w:hAnsi="Arial" w:cs="Arial"/>
          <w:lang w:eastAsia="en-US"/>
        </w:rPr>
      </w:pPr>
    </w:p>
    <w:p w:rsidR="0069189C" w:rsidRPr="0069189C" w:rsidRDefault="00A72B61" w:rsidP="0069189C">
      <w:pPr>
        <w:pStyle w:val="ListParagraph"/>
        <w:numPr>
          <w:ilvl w:val="0"/>
          <w:numId w:val="67"/>
        </w:numPr>
        <w:rPr>
          <w:rFonts w:ascii="Arial" w:eastAsiaTheme="minorHAnsi" w:hAnsi="Arial" w:cs="Arial"/>
          <w:lang w:val="en-US" w:eastAsia="en-US"/>
        </w:rPr>
      </w:pPr>
      <w:r w:rsidRPr="0069189C">
        <w:rPr>
          <w:rFonts w:ascii="Arial" w:eastAsiaTheme="minorHAnsi" w:hAnsi="Arial" w:cs="Arial"/>
          <w:lang w:eastAsia="en-US"/>
        </w:rPr>
        <w:t xml:space="preserve">OPG will have the authority to set up the SPV/Trust and assign it with powers regarding decision-making, funding and ongoing operation. </w:t>
      </w:r>
    </w:p>
    <w:p w:rsidR="0069189C" w:rsidRPr="0069189C" w:rsidRDefault="0069189C" w:rsidP="0069189C">
      <w:pPr>
        <w:pStyle w:val="ListParagraph"/>
        <w:rPr>
          <w:rFonts w:ascii="Arial" w:eastAsiaTheme="minorHAnsi" w:hAnsi="Arial" w:cs="Arial"/>
          <w:lang w:val="en-US" w:eastAsia="en-US"/>
        </w:rPr>
      </w:pPr>
    </w:p>
    <w:p w:rsidR="00A72B61" w:rsidRPr="00AB6C6E" w:rsidRDefault="00A72B61" w:rsidP="0069189C">
      <w:pPr>
        <w:pStyle w:val="ListParagraph"/>
        <w:numPr>
          <w:ilvl w:val="0"/>
          <w:numId w:val="67"/>
        </w:numPr>
        <w:rPr>
          <w:rFonts w:ascii="Arial" w:eastAsiaTheme="minorHAnsi" w:hAnsi="Arial" w:cs="Arial"/>
          <w:lang w:val="en-US" w:eastAsia="en-US"/>
        </w:rPr>
      </w:pPr>
      <w:r w:rsidRPr="0069189C">
        <w:rPr>
          <w:rFonts w:ascii="Arial" w:eastAsiaTheme="minorHAnsi" w:hAnsi="Arial" w:cs="Arial"/>
          <w:lang w:eastAsia="en-US"/>
        </w:rPr>
        <w:t>OPG and IESO are developing a process that will allow interest payments to occur under GA Refinancing.</w:t>
      </w:r>
    </w:p>
    <w:p w:rsidR="00AB6C6E" w:rsidRDefault="00AB6C6E" w:rsidP="00AB6C6E">
      <w:pPr>
        <w:rPr>
          <w:rFonts w:ascii="Arial" w:eastAsiaTheme="minorHAnsi" w:hAnsi="Arial" w:cs="Arial"/>
          <w:lang w:val="en-US" w:eastAsia="en-US"/>
        </w:rPr>
      </w:pPr>
    </w:p>
    <w:p w:rsidR="00A72B61" w:rsidRPr="00CE63C3" w:rsidRDefault="00A72B61" w:rsidP="00AB6C6E">
      <w:pPr>
        <w:rPr>
          <w:rFonts w:ascii="Arial" w:eastAsiaTheme="minorHAnsi" w:hAnsi="Arial" w:cs="Arial"/>
          <w:lang w:val="en-US" w:eastAsia="en-US"/>
        </w:rPr>
      </w:pPr>
      <w:r w:rsidRPr="00CE63C3">
        <w:rPr>
          <w:rFonts w:ascii="Arial" w:eastAsiaTheme="minorHAnsi" w:hAnsi="Arial" w:cs="Arial"/>
          <w:lang w:val="en-US" w:eastAsia="en-US"/>
        </w:rPr>
        <w:t xml:space="preserve">Based on the legislation, key operating conditions being addressed in regulations and supporting agreements/documents and no introduction of new conditions that would conflict with OPG’s control of the SPV/Trust, E&amp;Y concurs with OPG’s assessment that the accounting requirements to support “consolidation” of OPG SPV / Trust with OPG Inc. can be met.  </w:t>
      </w:r>
    </w:p>
    <w:p w:rsidR="00AB6C6E" w:rsidRDefault="00AB6C6E" w:rsidP="00A72B61">
      <w:pPr>
        <w:ind w:left="360"/>
        <w:rPr>
          <w:rFonts w:ascii="Arial" w:hAnsi="Arial" w:cs="Arial"/>
          <w:u w:val="single"/>
          <w:lang w:val="en-US"/>
        </w:rPr>
      </w:pPr>
    </w:p>
    <w:p w:rsidR="00A72B61" w:rsidRPr="00263F99" w:rsidRDefault="00A72B61" w:rsidP="00AB6C6E">
      <w:pPr>
        <w:rPr>
          <w:rFonts w:ascii="Arial" w:hAnsi="Arial"/>
          <w:b/>
          <w:i/>
          <w:lang w:val="en-US"/>
        </w:rPr>
      </w:pPr>
      <w:r w:rsidRPr="00263F99">
        <w:rPr>
          <w:rFonts w:ascii="Arial" w:hAnsi="Arial"/>
          <w:i/>
          <w:lang w:val="en-US"/>
        </w:rPr>
        <w:t>Legal</w:t>
      </w:r>
      <w:r w:rsidRPr="00263F99">
        <w:rPr>
          <w:rFonts w:ascii="Arial" w:hAnsi="Arial" w:cs="Arial"/>
          <w:i/>
          <w:lang w:val="en-US"/>
        </w:rPr>
        <w:t xml:space="preserve"> </w:t>
      </w:r>
    </w:p>
    <w:p w:rsidR="00AB6C6E" w:rsidRDefault="00AB6C6E" w:rsidP="00A72B61">
      <w:pPr>
        <w:kinsoku w:val="0"/>
        <w:overflowPunct w:val="0"/>
        <w:ind w:left="360"/>
        <w:textAlignment w:val="baseline"/>
        <w:rPr>
          <w:rFonts w:ascii="Arial" w:hAnsi="Arial" w:cs="Arial"/>
          <w:u w:val="single"/>
          <w:lang w:val="en-US"/>
        </w:rPr>
      </w:pPr>
    </w:p>
    <w:p w:rsidR="00961AAA" w:rsidRDefault="00961AAA" w:rsidP="00AB6C6E">
      <w:pPr>
        <w:kinsoku w:val="0"/>
        <w:overflowPunct w:val="0"/>
        <w:textAlignment w:val="baseline"/>
        <w:rPr>
          <w:rFonts w:ascii="Arial" w:eastAsia="MS PGothic" w:hAnsi="Arial" w:cs="Arial"/>
          <w:color w:val="000000" w:themeColor="text1"/>
          <w:spacing w:val="-1"/>
        </w:rPr>
      </w:pPr>
      <w:r>
        <w:rPr>
          <w:rFonts w:ascii="Arial" w:eastAsia="MS PGothic" w:hAnsi="Arial" w:cs="Arial"/>
          <w:color w:val="000000" w:themeColor="text1"/>
          <w:spacing w:val="-1"/>
        </w:rPr>
        <w:t>The legal risks flagged in</w:t>
      </w:r>
      <w:r w:rsidR="00A72B61">
        <w:rPr>
          <w:rFonts w:ascii="Arial" w:eastAsia="MS PGothic" w:hAnsi="Arial" w:cs="Arial"/>
          <w:color w:val="000000" w:themeColor="text1"/>
          <w:spacing w:val="-1"/>
        </w:rPr>
        <w:t xml:space="preserve"> the May 9, 2017 submission to TB/MBC</w:t>
      </w:r>
      <w:r>
        <w:rPr>
          <w:rFonts w:ascii="Arial" w:eastAsia="MS PGothic" w:hAnsi="Arial" w:cs="Arial"/>
          <w:color w:val="000000" w:themeColor="text1"/>
          <w:spacing w:val="-1"/>
        </w:rPr>
        <w:t xml:space="preserve"> have not changed.</w:t>
      </w:r>
      <w:r w:rsidR="00A72B61">
        <w:rPr>
          <w:rFonts w:ascii="Arial" w:eastAsia="MS PGothic" w:hAnsi="Arial" w:cs="Arial"/>
          <w:color w:val="000000" w:themeColor="text1"/>
          <w:spacing w:val="-1"/>
        </w:rPr>
        <w:t xml:space="preserve"> </w:t>
      </w:r>
    </w:p>
    <w:p w:rsidR="00961AAA" w:rsidRDefault="00961AAA" w:rsidP="00A72B61">
      <w:pPr>
        <w:kinsoku w:val="0"/>
        <w:overflowPunct w:val="0"/>
        <w:ind w:left="360"/>
        <w:textAlignment w:val="baseline"/>
        <w:rPr>
          <w:rFonts w:ascii="Arial" w:eastAsia="MS PGothic" w:hAnsi="Arial" w:cs="Arial"/>
          <w:color w:val="000000" w:themeColor="text1"/>
          <w:spacing w:val="-1"/>
        </w:rPr>
      </w:pPr>
    </w:p>
    <w:p w:rsidR="00A72B61" w:rsidRPr="00CE63C3" w:rsidRDefault="00A72B61" w:rsidP="00AB6C6E">
      <w:pPr>
        <w:kinsoku w:val="0"/>
        <w:overflowPunct w:val="0"/>
        <w:textAlignment w:val="baseline"/>
        <w:rPr>
          <w:rFonts w:ascii="Arial" w:hAnsi="Arial" w:cs="Arial"/>
        </w:rPr>
      </w:pPr>
      <w:r w:rsidRPr="00CE63C3">
        <w:rPr>
          <w:rFonts w:ascii="Arial" w:eastAsia="MS PGothic" w:hAnsi="Arial" w:cs="Arial"/>
          <w:color w:val="000000" w:themeColor="text1"/>
          <w:spacing w:val="-1"/>
        </w:rPr>
        <w:t xml:space="preserve">In principle, refinancing the Global Adjustment (GA) to spread the costs of generation and conservation assets over the useful life of the assets presents only a “low” risk of being an unconstitutional tax, as each cohort of consumers pays for a proportion of the GA cost roughly equal to the proportion of the benefit they receive from the useful life of the assets. </w:t>
      </w:r>
    </w:p>
    <w:p w:rsidR="00A72B61" w:rsidRPr="00CE63C3" w:rsidRDefault="00A72B61" w:rsidP="00A72B61">
      <w:pPr>
        <w:kinsoku w:val="0"/>
        <w:overflowPunct w:val="0"/>
        <w:ind w:left="360"/>
        <w:textAlignment w:val="baseline"/>
        <w:rPr>
          <w:rFonts w:ascii="Arial" w:eastAsia="MS PGothic" w:hAnsi="Arial" w:cs="Arial"/>
          <w:color w:val="000000" w:themeColor="text1"/>
        </w:rPr>
      </w:pPr>
    </w:p>
    <w:p w:rsidR="00A72B61" w:rsidRPr="00CE63C3" w:rsidRDefault="00A72B61" w:rsidP="00AB6C6E">
      <w:pPr>
        <w:kinsoku w:val="0"/>
        <w:overflowPunct w:val="0"/>
        <w:textAlignment w:val="baseline"/>
        <w:rPr>
          <w:rFonts w:ascii="Arial" w:hAnsi="Arial" w:cs="Arial"/>
        </w:rPr>
      </w:pPr>
      <w:r w:rsidRPr="00CE63C3">
        <w:rPr>
          <w:rFonts w:ascii="Arial" w:eastAsia="MS PGothic" w:hAnsi="Arial" w:cs="Arial"/>
          <w:color w:val="000000" w:themeColor="text1"/>
        </w:rPr>
        <w:t xml:space="preserve">Legal risk arises if it becomes apparent that the Government is not spreading cost so that it is shared proportionately by future consumers who cause a need for or benefit from the generation asset, but rather is doing so in order to lower the price in the “short” term by increasing the price in the long term. If the </w:t>
      </w:r>
      <w:r w:rsidR="005073C1">
        <w:rPr>
          <w:rFonts w:ascii="Arial" w:eastAsia="MS PGothic" w:hAnsi="Arial" w:cs="Arial"/>
          <w:color w:val="000000" w:themeColor="text1"/>
        </w:rPr>
        <w:t xml:space="preserve">proposed </w:t>
      </w:r>
      <w:r w:rsidRPr="00CE63C3">
        <w:rPr>
          <w:rFonts w:ascii="Arial" w:eastAsia="MS PGothic" w:hAnsi="Arial" w:cs="Arial"/>
          <w:color w:val="000000" w:themeColor="text1"/>
        </w:rPr>
        <w:t xml:space="preserve">financing served to encumber future consumers with a premium payment to cover the GA financing in order to subsidize current ratepayers, then there would be a moderately high constitutional risk that the financing proposal would result in an unconstitutional tax. </w:t>
      </w:r>
    </w:p>
    <w:p w:rsidR="00A72B61" w:rsidRPr="00CE63C3" w:rsidRDefault="00A72B61" w:rsidP="00A72B61">
      <w:pPr>
        <w:kinsoku w:val="0"/>
        <w:overflowPunct w:val="0"/>
        <w:ind w:left="360"/>
        <w:textAlignment w:val="baseline"/>
        <w:rPr>
          <w:rFonts w:ascii="Arial" w:eastAsia="MS PGothic" w:hAnsi="Arial" w:cs="Arial"/>
          <w:color w:val="000000" w:themeColor="text1"/>
        </w:rPr>
      </w:pPr>
    </w:p>
    <w:p w:rsidR="00A72B61" w:rsidRPr="00CE63C3" w:rsidRDefault="00A72B61" w:rsidP="00B71C18">
      <w:pPr>
        <w:kinsoku w:val="0"/>
        <w:overflowPunct w:val="0"/>
        <w:textAlignment w:val="baseline"/>
        <w:rPr>
          <w:rFonts w:ascii="Arial" w:eastAsia="MS PGothic" w:hAnsi="Arial" w:cs="Arial"/>
          <w:color w:val="000000" w:themeColor="text1"/>
        </w:rPr>
      </w:pPr>
      <w:r w:rsidRPr="00CE63C3">
        <w:rPr>
          <w:rFonts w:ascii="Arial" w:eastAsia="MS PGothic" w:hAnsi="Arial" w:cs="Arial"/>
          <w:color w:val="000000" w:themeColor="text1"/>
        </w:rPr>
        <w:t xml:space="preserve">Former Supreme Court Justice Ian Binnie has provided a legal opinion concluding that the current proposal is at a moderately high risk of being a tax, for the following reasons: </w:t>
      </w:r>
    </w:p>
    <w:p w:rsidR="00A72B61" w:rsidRPr="00CE63C3" w:rsidRDefault="00A72B61" w:rsidP="00A72B61">
      <w:pPr>
        <w:kinsoku w:val="0"/>
        <w:overflowPunct w:val="0"/>
        <w:ind w:left="360"/>
        <w:textAlignment w:val="baseline"/>
        <w:rPr>
          <w:rFonts w:ascii="Arial" w:hAnsi="Arial" w:cs="Arial"/>
        </w:rPr>
      </w:pPr>
    </w:p>
    <w:p w:rsidR="00A72B61" w:rsidRPr="00CE63C3" w:rsidRDefault="00A72B61" w:rsidP="006C63AE">
      <w:pPr>
        <w:kinsoku w:val="0"/>
        <w:overflowPunct w:val="0"/>
        <w:textAlignment w:val="baseline"/>
        <w:rPr>
          <w:rFonts w:ascii="Arial" w:eastAsiaTheme="minorHAnsi" w:hAnsi="Arial" w:cs="Arial"/>
          <w:lang w:eastAsia="en-US"/>
        </w:rPr>
      </w:pPr>
      <w:r w:rsidRPr="00CE63C3">
        <w:rPr>
          <w:rFonts w:ascii="Arial" w:eastAsiaTheme="minorHAnsi" w:hAnsi="Arial" w:cs="Arial"/>
          <w:lang w:eastAsia="en-US"/>
        </w:rPr>
        <w:t>The degree of constitutional risk is in direct proportion to the extent the government is not able to show a proper match between the cost of providing facilities for electricity generation and the group of consumers who benefit year to year from electricity generated by those facilities.</w:t>
      </w:r>
    </w:p>
    <w:p w:rsidR="00A72B61" w:rsidRDefault="00A72B61" w:rsidP="006C63AE">
      <w:pPr>
        <w:kinsoku w:val="0"/>
        <w:overflowPunct w:val="0"/>
        <w:ind w:left="360"/>
        <w:textAlignment w:val="baseline"/>
        <w:rPr>
          <w:rFonts w:ascii="Arial" w:hAnsi="Arial" w:cs="Arial"/>
        </w:rPr>
      </w:pPr>
    </w:p>
    <w:p w:rsidR="00A72B61" w:rsidRPr="00CE63C3" w:rsidRDefault="00A72B61" w:rsidP="006C63AE">
      <w:pPr>
        <w:kinsoku w:val="0"/>
        <w:overflowPunct w:val="0"/>
        <w:textAlignment w:val="baseline"/>
        <w:rPr>
          <w:rFonts w:ascii="Arial" w:hAnsi="Arial" w:cs="Arial"/>
        </w:rPr>
      </w:pPr>
      <w:r w:rsidRPr="00CE63C3">
        <w:rPr>
          <w:rFonts w:ascii="Arial" w:eastAsiaTheme="minorHAnsi" w:hAnsi="Arial" w:cs="Arial"/>
          <w:lang w:eastAsia="en-US"/>
        </w:rPr>
        <w:t>If the government fails to establish that the relevant electricity generating assets will continue to perform economically over the 30-year period, or if the GA charge is in the opinion of the Court</w:t>
      </w:r>
      <w:r w:rsidRPr="00CE63C3">
        <w:rPr>
          <w:rFonts w:ascii="Arial" w:eastAsia="MS PGothic" w:hAnsi="Arial" w:cs="Arial"/>
          <w:color w:val="000000" w:themeColor="text1"/>
        </w:rPr>
        <w:t xml:space="preserve"> disproportionately backend loaded, the GA will not qualify as a regulatory charge (and would be characterized as a tax).</w:t>
      </w:r>
    </w:p>
    <w:p w:rsidR="00A72B61" w:rsidRPr="00CE63C3" w:rsidRDefault="00A72B61" w:rsidP="006C63AE">
      <w:pPr>
        <w:kinsoku w:val="0"/>
        <w:overflowPunct w:val="0"/>
        <w:ind w:left="360"/>
        <w:textAlignment w:val="baseline"/>
        <w:rPr>
          <w:rFonts w:ascii="Arial" w:eastAsia="MS PGothic" w:hAnsi="Arial" w:cs="Arial"/>
          <w:color w:val="000000" w:themeColor="text1"/>
        </w:rPr>
      </w:pPr>
    </w:p>
    <w:p w:rsidR="00A72B61" w:rsidRPr="00841828" w:rsidRDefault="00A72B61" w:rsidP="006C63AE">
      <w:pPr>
        <w:kinsoku w:val="0"/>
        <w:overflowPunct w:val="0"/>
        <w:textAlignment w:val="baseline"/>
        <w:rPr>
          <w:rFonts w:ascii="Arial" w:eastAsiaTheme="minorHAnsi" w:hAnsi="Arial" w:cs="Arial"/>
          <w:lang w:eastAsia="en-US"/>
        </w:rPr>
      </w:pPr>
      <w:r w:rsidRPr="00841828">
        <w:rPr>
          <w:rFonts w:ascii="Arial" w:eastAsiaTheme="minorHAnsi" w:hAnsi="Arial" w:cs="Arial"/>
          <w:lang w:eastAsia="en-US"/>
        </w:rPr>
        <w:t>By shifting costs to the 20-30 year customers, the government may in reality be disproportionately back-end loading the GA with the effect that the 20-30 year consumers will be subsidizing the 1-20 year consumers.</w:t>
      </w:r>
    </w:p>
    <w:p w:rsidR="00A72B61" w:rsidRPr="00841828" w:rsidRDefault="00A72B61" w:rsidP="006C63AE">
      <w:pPr>
        <w:kinsoku w:val="0"/>
        <w:overflowPunct w:val="0"/>
        <w:ind w:left="360"/>
        <w:textAlignment w:val="baseline"/>
        <w:rPr>
          <w:rFonts w:ascii="Arial" w:eastAsia="MS PGothic" w:hAnsi="Arial" w:cs="Arial"/>
          <w:color w:val="000000" w:themeColor="text1"/>
        </w:rPr>
      </w:pPr>
    </w:p>
    <w:p w:rsidR="00A72B61" w:rsidRPr="00841828" w:rsidRDefault="00A72B61" w:rsidP="006C63AE">
      <w:pPr>
        <w:kinsoku w:val="0"/>
        <w:overflowPunct w:val="0"/>
        <w:textAlignment w:val="baseline"/>
        <w:rPr>
          <w:rFonts w:ascii="Arial" w:eastAsiaTheme="minorHAnsi" w:hAnsi="Arial" w:cs="Arial"/>
          <w:lang w:eastAsia="en-US"/>
        </w:rPr>
      </w:pPr>
      <w:r w:rsidRPr="00841828">
        <w:rPr>
          <w:rFonts w:ascii="Arial" w:eastAsiaTheme="minorHAnsi" w:hAnsi="Arial" w:cs="Arial"/>
          <w:lang w:eastAsia="en-US"/>
        </w:rPr>
        <w:t xml:space="preserve">The judges can be expected to be aware of the difficult political problem of high energy costs in in Ontario, and will take a careful look at the government’s evidence in support of the re-allocation of the GA. </w:t>
      </w:r>
    </w:p>
    <w:p w:rsidR="00263F99" w:rsidRDefault="00263F99" w:rsidP="00263F99">
      <w:pPr>
        <w:rPr>
          <w:rFonts w:ascii="Arial" w:eastAsia="MS PGothic" w:hAnsi="Arial" w:cs="Arial"/>
        </w:rPr>
      </w:pPr>
    </w:p>
    <w:p w:rsidR="00A72B61" w:rsidRPr="00841828" w:rsidRDefault="00A72B61" w:rsidP="00263F99">
      <w:pPr>
        <w:rPr>
          <w:rFonts w:ascii="Calibri" w:hAnsi="Calibri"/>
          <w:lang w:val="en-US" w:eastAsia="en-US"/>
        </w:rPr>
      </w:pPr>
      <w:r w:rsidRPr="00841828">
        <w:rPr>
          <w:rFonts w:ascii="Arial" w:hAnsi="Arial" w:cs="Arial"/>
          <w:lang w:val="en-US" w:eastAsia="en-US"/>
        </w:rPr>
        <w:t>The legislation contains provisions to mitigate the constitutional law risks, including requiring the Minister of Energy to reallocate estimated clean energy costs attributable to each reference period in a way that takes into account the need to align those costs with the estimated clean energy benefits attributable to the same period. Limiting the near-term rate reductions to such amounts which can be justified as counterbalancing disproportionate GA payments during the 2005-2017 period ensures that the statutory 25% reduction is consistent with proportionate reallocation.</w:t>
      </w:r>
    </w:p>
    <w:p w:rsidR="00A72B61" w:rsidRPr="00CE63C3" w:rsidRDefault="00A72B61" w:rsidP="00A72B61">
      <w:pPr>
        <w:kinsoku w:val="0"/>
        <w:overflowPunct w:val="0"/>
        <w:textAlignment w:val="baseline"/>
        <w:rPr>
          <w:rFonts w:ascii="Arial" w:eastAsia="MS PGothic" w:hAnsi="Arial" w:cs="Arial"/>
          <w:spacing w:val="-1"/>
        </w:rPr>
      </w:pPr>
    </w:p>
    <w:p w:rsidR="00A72B61" w:rsidRPr="00AD1460" w:rsidRDefault="00A72B61" w:rsidP="008040BB">
      <w:pPr>
        <w:rPr>
          <w:rFonts w:ascii="Arial" w:eastAsiaTheme="minorHAnsi" w:hAnsi="Arial" w:cs="Arial"/>
          <w:b/>
          <w:u w:val="single"/>
          <w:lang w:val="en-US" w:eastAsia="en-US"/>
        </w:rPr>
      </w:pPr>
      <w:r w:rsidRPr="00A16109">
        <w:rPr>
          <w:rFonts w:ascii="Arial" w:eastAsiaTheme="minorHAnsi" w:hAnsi="Arial" w:cs="Arial"/>
          <w:u w:val="single"/>
          <w:lang w:val="en-US" w:eastAsia="en-US"/>
        </w:rPr>
        <w:t xml:space="preserve">Navigant Analysis </w:t>
      </w:r>
      <w:r w:rsidR="00812A7E">
        <w:rPr>
          <w:rFonts w:ascii="Arial" w:eastAsiaTheme="minorHAnsi" w:hAnsi="Arial" w:cs="Arial"/>
          <w:u w:val="single"/>
          <w:lang w:val="en-US" w:eastAsia="en-US"/>
        </w:rPr>
        <w:t xml:space="preserve"> </w:t>
      </w:r>
    </w:p>
    <w:p w:rsidR="00A72B61" w:rsidRPr="00AD1460" w:rsidRDefault="00A72B61" w:rsidP="00581020">
      <w:pPr>
        <w:ind w:left="360"/>
        <w:rPr>
          <w:rFonts w:asciiTheme="minorHAnsi" w:eastAsiaTheme="minorHAnsi" w:hAnsiTheme="minorHAnsi"/>
          <w:sz w:val="22"/>
        </w:rPr>
      </w:pPr>
    </w:p>
    <w:p w:rsidR="00A72B61" w:rsidRDefault="00A72B61" w:rsidP="008040BB">
      <w:pPr>
        <w:rPr>
          <w:rFonts w:ascii="Arial" w:eastAsiaTheme="minorHAnsi" w:hAnsi="Arial" w:cs="Arial"/>
          <w:szCs w:val="22"/>
          <w:lang w:eastAsia="en-US"/>
        </w:rPr>
      </w:pPr>
      <w:r w:rsidRPr="004C16EA">
        <w:rPr>
          <w:rFonts w:ascii="Arial" w:eastAsiaTheme="minorHAnsi" w:hAnsi="Arial" w:cs="Arial"/>
          <w:szCs w:val="22"/>
          <w:lang w:eastAsia="en-US"/>
        </w:rPr>
        <w:t xml:space="preserve">Navigant Consulting, Inc. </w:t>
      </w:r>
      <w:r>
        <w:rPr>
          <w:rFonts w:ascii="Arial" w:eastAsiaTheme="minorHAnsi" w:hAnsi="Arial" w:cs="Arial"/>
          <w:szCs w:val="22"/>
          <w:lang w:eastAsia="en-US"/>
        </w:rPr>
        <w:t xml:space="preserve">has been </w:t>
      </w:r>
      <w:r w:rsidRPr="004C16EA">
        <w:rPr>
          <w:rFonts w:ascii="Arial" w:eastAsiaTheme="minorHAnsi" w:hAnsi="Arial" w:cs="Arial"/>
          <w:szCs w:val="22"/>
          <w:lang w:eastAsia="en-US"/>
        </w:rPr>
        <w:t xml:space="preserve">retained to </w:t>
      </w:r>
      <w:r w:rsidR="00CF5035">
        <w:rPr>
          <w:rFonts w:ascii="Arial" w:eastAsiaTheme="minorHAnsi" w:hAnsi="Arial" w:cs="Arial"/>
          <w:szCs w:val="22"/>
          <w:lang w:eastAsia="en-US"/>
        </w:rPr>
        <w:t>provide its assessment of the expected lives of clean energy asset, as well as a fair allocation of the costs of these assets over the expected lives</w:t>
      </w:r>
      <w:r w:rsidRPr="004C16EA">
        <w:rPr>
          <w:rFonts w:ascii="Arial" w:eastAsiaTheme="minorHAnsi" w:hAnsi="Arial" w:cs="Arial"/>
          <w:szCs w:val="22"/>
          <w:lang w:eastAsia="en-US"/>
        </w:rPr>
        <w:t>.</w:t>
      </w:r>
    </w:p>
    <w:p w:rsidR="00A72B61" w:rsidRPr="00FD5B04" w:rsidRDefault="00A72B61" w:rsidP="00A72B61">
      <w:pPr>
        <w:ind w:left="360"/>
        <w:rPr>
          <w:rFonts w:ascii="Arial" w:eastAsiaTheme="minorHAnsi" w:hAnsi="Arial" w:cs="Arial"/>
          <w:szCs w:val="22"/>
          <w:lang w:eastAsia="en-US"/>
        </w:rPr>
      </w:pPr>
    </w:p>
    <w:p w:rsidR="00A72B61" w:rsidRDefault="00A72B61" w:rsidP="008040BB">
      <w:pPr>
        <w:rPr>
          <w:rFonts w:ascii="Arial" w:eastAsiaTheme="minorHAnsi" w:hAnsi="Arial" w:cs="Arial"/>
          <w:szCs w:val="22"/>
          <w:lang w:eastAsia="en-US"/>
        </w:rPr>
      </w:pPr>
      <w:r w:rsidRPr="004C16EA">
        <w:rPr>
          <w:rFonts w:ascii="Arial" w:eastAsiaTheme="minorHAnsi" w:hAnsi="Arial" w:cs="Arial"/>
          <w:szCs w:val="22"/>
          <w:lang w:eastAsia="en-US"/>
        </w:rPr>
        <w:t xml:space="preserve">Navigant </w:t>
      </w:r>
      <w:r w:rsidR="001A10F9">
        <w:rPr>
          <w:rFonts w:ascii="Arial" w:eastAsiaTheme="minorHAnsi" w:hAnsi="Arial" w:cs="Arial"/>
          <w:szCs w:val="22"/>
          <w:lang w:eastAsia="en-US"/>
        </w:rPr>
        <w:t xml:space="preserve">has </w:t>
      </w:r>
      <w:r w:rsidRPr="004C16EA">
        <w:rPr>
          <w:rFonts w:ascii="Arial" w:eastAsiaTheme="minorHAnsi" w:hAnsi="Arial" w:cs="Arial"/>
          <w:szCs w:val="22"/>
          <w:lang w:eastAsia="en-US"/>
        </w:rPr>
        <w:t>focused on the costs and benefits of</w:t>
      </w:r>
      <w:r>
        <w:rPr>
          <w:rFonts w:ascii="Arial" w:eastAsiaTheme="minorHAnsi" w:hAnsi="Arial" w:cs="Arial"/>
          <w:szCs w:val="22"/>
          <w:lang w:eastAsia="en-US"/>
        </w:rPr>
        <w:t xml:space="preserve"> </w:t>
      </w:r>
      <w:r w:rsidRPr="004C16EA">
        <w:rPr>
          <w:rFonts w:ascii="Arial" w:eastAsiaTheme="minorHAnsi" w:hAnsi="Arial" w:cs="Arial"/>
          <w:szCs w:val="22"/>
          <w:lang w:eastAsia="en-US"/>
        </w:rPr>
        <w:t>procuring natural gas, wind, and solar generation, as well as costs associated with conservation and the</w:t>
      </w:r>
      <w:r>
        <w:rPr>
          <w:rFonts w:ascii="Arial" w:eastAsiaTheme="minorHAnsi" w:hAnsi="Arial" w:cs="Arial"/>
          <w:szCs w:val="22"/>
          <w:lang w:eastAsia="en-US"/>
        </w:rPr>
        <w:t xml:space="preserve"> </w:t>
      </w:r>
      <w:r w:rsidRPr="004C16EA">
        <w:rPr>
          <w:rFonts w:ascii="Arial" w:eastAsiaTheme="minorHAnsi" w:hAnsi="Arial" w:cs="Arial"/>
          <w:szCs w:val="22"/>
          <w:lang w:eastAsia="en-US"/>
        </w:rPr>
        <w:t xml:space="preserve">early retirement of Ontario’s coal assets. </w:t>
      </w:r>
    </w:p>
    <w:p w:rsidR="00FD5B04" w:rsidRDefault="00FD5B04" w:rsidP="008040BB">
      <w:pPr>
        <w:rPr>
          <w:rFonts w:ascii="Arial" w:eastAsiaTheme="minorHAnsi" w:hAnsi="Arial" w:cs="Arial"/>
          <w:szCs w:val="22"/>
          <w:lang w:eastAsia="en-US"/>
        </w:rPr>
      </w:pPr>
    </w:p>
    <w:p w:rsidR="00762AA4" w:rsidRPr="00453792" w:rsidRDefault="00762AA4" w:rsidP="00FD5B04">
      <w:pPr>
        <w:pStyle w:val="BodyText"/>
        <w:rPr>
          <w:rFonts w:ascii="Arial" w:eastAsiaTheme="minorHAnsi" w:hAnsi="Arial" w:cs="Arial"/>
          <w:szCs w:val="22"/>
        </w:rPr>
      </w:pPr>
      <w:r w:rsidRPr="00453792">
        <w:rPr>
          <w:rFonts w:ascii="Arial" w:eastAsiaTheme="minorHAnsi" w:hAnsi="Arial" w:cs="Arial"/>
          <w:szCs w:val="22"/>
        </w:rPr>
        <w:t xml:space="preserve">The Navigant scope of work includes: </w:t>
      </w:r>
    </w:p>
    <w:p w:rsidR="00FD5B04" w:rsidRPr="001B216C" w:rsidRDefault="00762AA4" w:rsidP="001B216C">
      <w:pPr>
        <w:pStyle w:val="ListParagraph"/>
        <w:numPr>
          <w:ilvl w:val="0"/>
          <w:numId w:val="67"/>
        </w:numPr>
        <w:rPr>
          <w:rFonts w:ascii="Arial" w:eastAsiaTheme="minorHAnsi" w:hAnsi="Arial" w:cs="Arial"/>
          <w:lang w:eastAsia="en-US"/>
        </w:rPr>
      </w:pPr>
      <w:r w:rsidRPr="001B216C">
        <w:rPr>
          <w:rFonts w:ascii="Arial" w:eastAsiaTheme="minorHAnsi" w:hAnsi="Arial" w:cs="Arial"/>
          <w:lang w:eastAsia="en-US"/>
        </w:rPr>
        <w:t>R</w:t>
      </w:r>
      <w:r w:rsidR="00FD5B04" w:rsidRPr="001B216C">
        <w:rPr>
          <w:rFonts w:ascii="Arial" w:eastAsiaTheme="minorHAnsi" w:hAnsi="Arial" w:cs="Arial"/>
          <w:lang w:eastAsia="en-US"/>
        </w:rPr>
        <w:t>esearch and analysis to ascertain the likely service lives of gas generating</w:t>
      </w:r>
      <w:r w:rsidRPr="001B216C">
        <w:rPr>
          <w:rFonts w:ascii="Arial" w:eastAsiaTheme="minorHAnsi" w:hAnsi="Arial" w:cs="Arial"/>
          <w:lang w:eastAsia="en-US"/>
        </w:rPr>
        <w:t>, solar and wind</w:t>
      </w:r>
      <w:r w:rsidR="00FD5B04" w:rsidRPr="001B216C">
        <w:rPr>
          <w:rFonts w:ascii="Arial" w:eastAsiaTheme="minorHAnsi" w:hAnsi="Arial" w:cs="Arial"/>
          <w:lang w:eastAsia="en-US"/>
        </w:rPr>
        <w:t xml:space="preserve"> facilities from a largely technical point of view</w:t>
      </w:r>
      <w:r w:rsidR="00453792" w:rsidRPr="001B216C">
        <w:rPr>
          <w:rFonts w:ascii="Arial" w:eastAsiaTheme="minorHAnsi" w:hAnsi="Arial" w:cs="Arial"/>
          <w:lang w:eastAsia="en-US"/>
        </w:rPr>
        <w:t>;</w:t>
      </w:r>
      <w:r w:rsidR="00FD5B04" w:rsidRPr="001B216C">
        <w:rPr>
          <w:rFonts w:ascii="Arial" w:eastAsiaTheme="minorHAnsi" w:hAnsi="Arial" w:cs="Arial"/>
          <w:lang w:eastAsia="en-US"/>
        </w:rPr>
        <w:t xml:space="preserve"> </w:t>
      </w:r>
    </w:p>
    <w:p w:rsidR="00CB474B" w:rsidRPr="001B216C" w:rsidRDefault="00CB474B" w:rsidP="001B216C">
      <w:pPr>
        <w:pStyle w:val="ListParagraph"/>
        <w:numPr>
          <w:ilvl w:val="0"/>
          <w:numId w:val="67"/>
        </w:numPr>
        <w:rPr>
          <w:rFonts w:ascii="Arial" w:eastAsiaTheme="minorHAnsi" w:hAnsi="Arial" w:cs="Arial"/>
          <w:lang w:eastAsia="en-US"/>
        </w:rPr>
      </w:pPr>
      <w:r w:rsidRPr="001B216C">
        <w:rPr>
          <w:rFonts w:ascii="Arial" w:eastAsiaTheme="minorHAnsi" w:hAnsi="Arial" w:cs="Arial"/>
          <w:lang w:eastAsia="en-US"/>
        </w:rPr>
        <w:t>Analysis related to the expected cost of extending the service lives of facilities under contract with IESO</w:t>
      </w:r>
      <w:r w:rsidR="00453792" w:rsidRPr="001B216C">
        <w:rPr>
          <w:rFonts w:ascii="Arial" w:eastAsiaTheme="minorHAnsi" w:hAnsi="Arial" w:cs="Arial"/>
          <w:lang w:eastAsia="en-US"/>
        </w:rPr>
        <w:t>; and</w:t>
      </w:r>
    </w:p>
    <w:p w:rsidR="00CB474B" w:rsidRPr="001B216C" w:rsidRDefault="00CB474B" w:rsidP="001B216C">
      <w:pPr>
        <w:pStyle w:val="ListParagraph"/>
        <w:numPr>
          <w:ilvl w:val="0"/>
          <w:numId w:val="67"/>
        </w:numPr>
        <w:rPr>
          <w:rFonts w:ascii="Arial" w:eastAsiaTheme="minorHAnsi" w:hAnsi="Arial" w:cs="Arial"/>
          <w:lang w:eastAsia="en-US"/>
        </w:rPr>
      </w:pPr>
      <w:r w:rsidRPr="001B216C">
        <w:rPr>
          <w:rFonts w:ascii="Arial" w:eastAsiaTheme="minorHAnsi" w:hAnsi="Arial" w:cs="Arial"/>
          <w:lang w:eastAsia="en-US"/>
        </w:rPr>
        <w:t xml:space="preserve">Determining the annual cost of a refinanced contract that provides the same value as each generator’s actual contract but is extended over the expected life of each generator.  </w:t>
      </w:r>
    </w:p>
    <w:p w:rsidR="00A72B61" w:rsidRDefault="00A72B61" w:rsidP="00A72B61">
      <w:pPr>
        <w:ind w:left="360"/>
        <w:rPr>
          <w:rFonts w:ascii="Arial" w:eastAsiaTheme="minorHAnsi" w:hAnsi="Arial" w:cs="Arial"/>
          <w:szCs w:val="22"/>
          <w:lang w:eastAsia="en-US"/>
        </w:rPr>
      </w:pPr>
    </w:p>
    <w:p w:rsidR="00A72B61" w:rsidRDefault="00A72B61" w:rsidP="008040BB">
      <w:pPr>
        <w:rPr>
          <w:rFonts w:ascii="Arial" w:eastAsiaTheme="minorHAnsi" w:hAnsi="Arial" w:cs="Arial"/>
          <w:szCs w:val="22"/>
          <w:lang w:eastAsia="en-US"/>
        </w:rPr>
      </w:pPr>
      <w:r w:rsidRPr="004C16EA">
        <w:rPr>
          <w:rFonts w:ascii="Arial" w:eastAsiaTheme="minorHAnsi" w:hAnsi="Arial" w:cs="Arial"/>
          <w:szCs w:val="22"/>
          <w:lang w:eastAsia="en-US"/>
        </w:rPr>
        <w:t>Ontario ratepayers currently pay for the costs of its gas, wind,</w:t>
      </w:r>
      <w:r>
        <w:rPr>
          <w:rFonts w:ascii="Arial" w:eastAsiaTheme="minorHAnsi" w:hAnsi="Arial" w:cs="Arial"/>
          <w:szCs w:val="22"/>
          <w:lang w:eastAsia="en-US"/>
        </w:rPr>
        <w:t xml:space="preserve"> </w:t>
      </w:r>
      <w:r w:rsidRPr="004C16EA">
        <w:rPr>
          <w:rFonts w:ascii="Arial" w:eastAsiaTheme="minorHAnsi" w:hAnsi="Arial" w:cs="Arial"/>
          <w:szCs w:val="22"/>
          <w:lang w:eastAsia="en-US"/>
        </w:rPr>
        <w:t>and solar generators over the life of power purchase agreements (PPAs), which generally run for twenty</w:t>
      </w:r>
      <w:r>
        <w:rPr>
          <w:rFonts w:ascii="Arial" w:eastAsiaTheme="minorHAnsi" w:hAnsi="Arial" w:cs="Arial"/>
          <w:szCs w:val="22"/>
          <w:lang w:eastAsia="en-US"/>
        </w:rPr>
        <w:t xml:space="preserve"> </w:t>
      </w:r>
      <w:r w:rsidRPr="004C16EA">
        <w:rPr>
          <w:rFonts w:ascii="Arial" w:eastAsiaTheme="minorHAnsi" w:hAnsi="Arial" w:cs="Arial"/>
          <w:szCs w:val="22"/>
          <w:lang w:eastAsia="en-US"/>
        </w:rPr>
        <w:t>years. Provincial ratepayers also pay for conservation procurement as costs are incurred, and over the</w:t>
      </w:r>
      <w:r>
        <w:rPr>
          <w:rFonts w:ascii="Arial" w:eastAsiaTheme="minorHAnsi" w:hAnsi="Arial" w:cs="Arial"/>
          <w:szCs w:val="22"/>
          <w:lang w:eastAsia="en-US"/>
        </w:rPr>
        <w:t xml:space="preserve"> </w:t>
      </w:r>
      <w:r w:rsidRPr="004C16EA">
        <w:rPr>
          <w:rFonts w:ascii="Arial" w:eastAsiaTheme="minorHAnsi" w:hAnsi="Arial" w:cs="Arial"/>
          <w:szCs w:val="22"/>
          <w:lang w:eastAsia="en-US"/>
        </w:rPr>
        <w:t>period of 2009-2014 paid for the early shutdown of provincial coal plants on an accelerated schedule.</w:t>
      </w:r>
      <w:r>
        <w:rPr>
          <w:rFonts w:ascii="Arial" w:eastAsiaTheme="minorHAnsi" w:hAnsi="Arial" w:cs="Arial"/>
          <w:szCs w:val="22"/>
          <w:lang w:eastAsia="en-US"/>
        </w:rPr>
        <w:t xml:space="preserve"> </w:t>
      </w:r>
    </w:p>
    <w:p w:rsidR="00A72B61" w:rsidRDefault="00A72B61" w:rsidP="00A72B61">
      <w:pPr>
        <w:ind w:left="360"/>
        <w:rPr>
          <w:rFonts w:ascii="Arial" w:eastAsiaTheme="minorHAnsi" w:hAnsi="Arial" w:cs="Arial"/>
          <w:szCs w:val="22"/>
          <w:lang w:eastAsia="en-US"/>
        </w:rPr>
      </w:pPr>
    </w:p>
    <w:p w:rsidR="00323877" w:rsidRDefault="00A72B61" w:rsidP="008040BB">
      <w:pPr>
        <w:rPr>
          <w:rFonts w:ascii="Arial" w:eastAsiaTheme="minorHAnsi" w:hAnsi="Arial" w:cs="Arial"/>
          <w:szCs w:val="22"/>
          <w:lang w:eastAsia="en-US"/>
        </w:rPr>
      </w:pPr>
      <w:r>
        <w:rPr>
          <w:rFonts w:ascii="Arial" w:eastAsiaTheme="minorHAnsi" w:hAnsi="Arial" w:cs="Arial"/>
          <w:szCs w:val="22"/>
          <w:lang w:eastAsia="en-US"/>
        </w:rPr>
        <w:t xml:space="preserve">Given that the clean energy and conservation benefits associated with the assets occur over the entire of life of the asset, there </w:t>
      </w:r>
      <w:r w:rsidR="001A10F9">
        <w:rPr>
          <w:rFonts w:ascii="Arial" w:eastAsiaTheme="minorHAnsi" w:hAnsi="Arial" w:cs="Arial"/>
          <w:szCs w:val="22"/>
          <w:lang w:eastAsia="en-US"/>
        </w:rPr>
        <w:t>is an</w:t>
      </w:r>
      <w:r>
        <w:rPr>
          <w:rFonts w:ascii="Arial" w:eastAsiaTheme="minorHAnsi" w:hAnsi="Arial" w:cs="Arial"/>
          <w:szCs w:val="22"/>
          <w:lang w:eastAsia="en-US"/>
        </w:rPr>
        <w:t xml:space="preserve"> opportunity to define an alternative financing methodology that better aligns the costs with benefits.</w:t>
      </w:r>
    </w:p>
    <w:p w:rsidR="00F949F9" w:rsidRDefault="00F949F9" w:rsidP="00AD1460">
      <w:pPr>
        <w:ind w:left="360"/>
        <w:rPr>
          <w:rFonts w:ascii="Arial" w:eastAsiaTheme="minorHAnsi" w:hAnsi="Arial" w:cs="Arial"/>
          <w:szCs w:val="22"/>
          <w:lang w:eastAsia="en-US"/>
        </w:rPr>
      </w:pPr>
    </w:p>
    <w:p w:rsidR="00F949F9" w:rsidRDefault="00F949F9" w:rsidP="008040BB">
      <w:pPr>
        <w:rPr>
          <w:rFonts w:ascii="Arial" w:eastAsiaTheme="minorHAnsi" w:hAnsi="Arial" w:cs="Arial"/>
          <w:szCs w:val="22"/>
          <w:lang w:eastAsia="en-US"/>
        </w:rPr>
      </w:pPr>
      <w:r>
        <w:rPr>
          <w:rFonts w:ascii="Arial" w:eastAsiaTheme="minorHAnsi" w:hAnsi="Arial" w:cs="Arial"/>
          <w:szCs w:val="22"/>
          <w:lang w:eastAsia="en-US"/>
        </w:rPr>
        <w:t xml:space="preserve">Navigant is in the process of finalizing its work. </w:t>
      </w:r>
    </w:p>
    <w:p w:rsidR="008040BB" w:rsidRDefault="008040BB" w:rsidP="008040BB">
      <w:pPr>
        <w:rPr>
          <w:rFonts w:ascii="Arial" w:eastAsiaTheme="minorHAnsi" w:hAnsi="Arial" w:cs="Arial"/>
          <w:szCs w:val="22"/>
          <w:lang w:eastAsia="en-US"/>
        </w:rPr>
      </w:pPr>
    </w:p>
    <w:p w:rsidR="00581020" w:rsidRDefault="00581020" w:rsidP="00AD1460">
      <w:pPr>
        <w:rPr>
          <w:rFonts w:ascii="Arial" w:eastAsiaTheme="minorHAnsi" w:hAnsi="Arial" w:cs="Arial"/>
          <w:lang w:eastAsia="en-US"/>
        </w:rPr>
      </w:pPr>
    </w:p>
    <w:p w:rsidR="009A40ED" w:rsidRPr="00AD1460" w:rsidRDefault="00B33507" w:rsidP="00AD1460">
      <w:pPr>
        <w:pStyle w:val="ListParagraph"/>
        <w:numPr>
          <w:ilvl w:val="0"/>
          <w:numId w:val="5"/>
        </w:numPr>
        <w:rPr>
          <w:rFonts w:ascii="Arial" w:hAnsi="Arial" w:cs="Arial"/>
          <w:b/>
          <w:lang w:val="en-US"/>
        </w:rPr>
      </w:pPr>
      <w:r w:rsidRPr="00AD1460">
        <w:rPr>
          <w:rFonts w:ascii="Arial" w:hAnsi="Arial" w:cs="Arial"/>
          <w:b/>
          <w:lang w:val="en-US"/>
        </w:rPr>
        <w:t>Social Programs</w:t>
      </w:r>
      <w:r w:rsidR="00175762" w:rsidRPr="00AD1460">
        <w:rPr>
          <w:rFonts w:ascii="Arial" w:hAnsi="Arial" w:cs="Arial"/>
          <w:b/>
          <w:lang w:val="en-US"/>
        </w:rPr>
        <w:t>:</w:t>
      </w:r>
      <w:r w:rsidRPr="00AD1460">
        <w:rPr>
          <w:rFonts w:ascii="Arial" w:hAnsi="Arial" w:cs="Arial"/>
          <w:b/>
          <w:lang w:val="en-US"/>
        </w:rPr>
        <w:t xml:space="preserve"> </w:t>
      </w:r>
      <w:r w:rsidR="00A72B61" w:rsidRPr="00AD1460">
        <w:rPr>
          <w:rFonts w:ascii="Arial" w:hAnsi="Arial" w:cs="Arial"/>
          <w:b/>
          <w:lang w:val="en-US"/>
        </w:rPr>
        <w:t>PLACEHOLDER FOR SNAP UPDATES</w:t>
      </w:r>
    </w:p>
    <w:p w:rsidR="00833EFF" w:rsidRPr="00CE63C3" w:rsidRDefault="00833EFF" w:rsidP="00833EFF">
      <w:pPr>
        <w:rPr>
          <w:rFonts w:ascii="Arial" w:hAnsi="Arial" w:cs="Arial"/>
          <w:lang w:eastAsia="en-US"/>
        </w:rPr>
      </w:pPr>
    </w:p>
    <w:p w:rsidR="00833EFF" w:rsidRPr="00CE63C3" w:rsidRDefault="00833EFF" w:rsidP="00833EFF">
      <w:pPr>
        <w:ind w:left="360"/>
        <w:rPr>
          <w:rFonts w:ascii="Arial" w:hAnsi="Arial" w:cs="Arial"/>
          <w:u w:val="single"/>
          <w:lang w:val="en-US" w:eastAsia="en-US"/>
        </w:rPr>
      </w:pPr>
      <w:r w:rsidRPr="00CE63C3">
        <w:rPr>
          <w:rFonts w:ascii="Arial" w:hAnsi="Arial" w:cs="Arial"/>
          <w:u w:val="single"/>
          <w:lang w:val="en-US" w:eastAsia="en-US"/>
        </w:rPr>
        <w:t xml:space="preserve">Program Design </w:t>
      </w:r>
    </w:p>
    <w:p w:rsidR="005001D3" w:rsidRDefault="005001D3" w:rsidP="00AD1460">
      <w:pPr>
        <w:rPr>
          <w:rFonts w:ascii="Arial" w:hAnsi="Arial" w:cs="Arial"/>
        </w:rPr>
      </w:pPr>
    </w:p>
    <w:p w:rsidR="005001D3" w:rsidRPr="00CE63C3" w:rsidRDefault="005001D3" w:rsidP="005001D3">
      <w:pPr>
        <w:ind w:left="360"/>
        <w:rPr>
          <w:rFonts w:ascii="Arial" w:hAnsi="Arial" w:cs="Arial"/>
          <w:i/>
          <w:lang w:val="en-US" w:eastAsia="en-US"/>
        </w:rPr>
      </w:pPr>
      <w:r w:rsidRPr="00CE63C3">
        <w:rPr>
          <w:rFonts w:ascii="Arial" w:hAnsi="Arial" w:cs="Arial"/>
          <w:i/>
          <w:lang w:val="en-US" w:eastAsia="en-US"/>
        </w:rPr>
        <w:t>Ontario Electricity Support Program (OESP)</w:t>
      </w:r>
    </w:p>
    <w:p w:rsidR="005001D3" w:rsidRPr="00CE63C3" w:rsidRDefault="005001D3" w:rsidP="005001D3">
      <w:pPr>
        <w:rPr>
          <w:rFonts w:ascii="Arial" w:hAnsi="Arial" w:cs="Arial"/>
          <w:lang w:eastAsia="en-US"/>
        </w:rPr>
      </w:pPr>
    </w:p>
    <w:p w:rsidR="005001D3" w:rsidRPr="00CE63C3" w:rsidRDefault="005001D3" w:rsidP="005001D3">
      <w:pPr>
        <w:ind w:left="360"/>
        <w:rPr>
          <w:rFonts w:ascii="Arial" w:hAnsi="Arial" w:cs="Arial"/>
          <w:lang w:eastAsia="en-US"/>
        </w:rPr>
      </w:pPr>
      <w:r w:rsidRPr="00CE63C3">
        <w:rPr>
          <w:rFonts w:ascii="Arial" w:hAnsi="Arial" w:cs="Arial"/>
          <w:lang w:eastAsia="en-US"/>
        </w:rPr>
        <w:t>The OESP is an income-tested, application</w:t>
      </w:r>
      <w:r w:rsidR="000D146B">
        <w:rPr>
          <w:rFonts w:ascii="Arial" w:hAnsi="Arial" w:cs="Arial"/>
          <w:lang w:eastAsia="en-US"/>
        </w:rPr>
        <w:t>-</w:t>
      </w:r>
      <w:r w:rsidRPr="00CE63C3">
        <w:rPr>
          <w:rFonts w:ascii="Arial" w:hAnsi="Arial" w:cs="Arial"/>
          <w:lang w:eastAsia="en-US"/>
        </w:rPr>
        <w:t>based program that lowers electricity costs of the most vulnerable consumers by a rebate directly on bills. The OESP is currently funded by the rate base.</w:t>
      </w:r>
    </w:p>
    <w:p w:rsidR="005001D3" w:rsidRPr="00CE63C3" w:rsidRDefault="005001D3" w:rsidP="005001D3">
      <w:pPr>
        <w:numPr>
          <w:ilvl w:val="1"/>
          <w:numId w:val="17"/>
        </w:numPr>
        <w:rPr>
          <w:rFonts w:ascii="Arial" w:hAnsi="Arial" w:cs="Arial"/>
          <w:lang w:eastAsia="en-US"/>
        </w:rPr>
      </w:pPr>
    </w:p>
    <w:p w:rsidR="005001D3" w:rsidRPr="00CE63C3" w:rsidRDefault="005001D3" w:rsidP="005001D3">
      <w:pPr>
        <w:ind w:left="360"/>
        <w:rPr>
          <w:rFonts w:ascii="Arial" w:hAnsi="Arial" w:cs="Arial"/>
          <w:lang w:eastAsia="en-US"/>
        </w:rPr>
      </w:pPr>
      <w:r w:rsidRPr="00CE63C3">
        <w:rPr>
          <w:rFonts w:ascii="Arial" w:hAnsi="Arial" w:cs="Arial"/>
          <w:lang w:eastAsia="en-US"/>
        </w:rPr>
        <w:t xml:space="preserve">OESP credits vary by income level and family size, and there are two credit scales that include: </w:t>
      </w:r>
    </w:p>
    <w:p w:rsidR="005001D3" w:rsidRPr="00CE63C3" w:rsidRDefault="005001D3" w:rsidP="005001D3">
      <w:pPr>
        <w:rPr>
          <w:rFonts w:ascii="Arial" w:hAnsi="Arial" w:cs="Arial"/>
          <w:lang w:eastAsia="en-US"/>
        </w:rPr>
      </w:pPr>
    </w:p>
    <w:p w:rsidR="00C3710C" w:rsidRDefault="005001D3" w:rsidP="00C3710C">
      <w:pPr>
        <w:pStyle w:val="ListParagraph"/>
        <w:numPr>
          <w:ilvl w:val="0"/>
          <w:numId w:val="68"/>
        </w:numPr>
        <w:rPr>
          <w:rFonts w:ascii="Arial" w:hAnsi="Arial" w:cs="Arial"/>
          <w:lang w:eastAsia="en-US"/>
        </w:rPr>
      </w:pPr>
      <w:r w:rsidRPr="00C3710C">
        <w:rPr>
          <w:rFonts w:ascii="Arial" w:hAnsi="Arial" w:cs="Arial"/>
          <w:lang w:eastAsia="en-US"/>
        </w:rPr>
        <w:t xml:space="preserve">The basic program credit originally ranged from $30/month to $50/month.  The new credit amounts </w:t>
      </w:r>
      <w:r w:rsidR="00041BC1" w:rsidRPr="00C3710C">
        <w:rPr>
          <w:rFonts w:ascii="Arial" w:hAnsi="Arial" w:cs="Arial"/>
          <w:lang w:eastAsia="en-US"/>
        </w:rPr>
        <w:t>came into effect</w:t>
      </w:r>
      <w:r w:rsidRPr="00C3710C">
        <w:rPr>
          <w:rFonts w:ascii="Arial" w:hAnsi="Arial" w:cs="Arial"/>
          <w:lang w:eastAsia="en-US"/>
        </w:rPr>
        <w:t xml:space="preserve"> May 1, 2017 </w:t>
      </w:r>
      <w:r w:rsidR="00041BC1" w:rsidRPr="00C3710C">
        <w:rPr>
          <w:rFonts w:ascii="Arial" w:hAnsi="Arial" w:cs="Arial"/>
          <w:lang w:eastAsia="en-US"/>
        </w:rPr>
        <w:t xml:space="preserve">and </w:t>
      </w:r>
      <w:r w:rsidRPr="00C3710C">
        <w:rPr>
          <w:rFonts w:ascii="Arial" w:hAnsi="Arial" w:cs="Arial"/>
          <w:lang w:eastAsia="en-US"/>
        </w:rPr>
        <w:t>range from $</w:t>
      </w:r>
      <w:r w:rsidR="001D7481" w:rsidRPr="00C3710C">
        <w:rPr>
          <w:rFonts w:ascii="Arial" w:hAnsi="Arial" w:cs="Arial"/>
          <w:lang w:eastAsia="en-US"/>
        </w:rPr>
        <w:t>35</w:t>
      </w:r>
      <w:r w:rsidRPr="00C3710C">
        <w:rPr>
          <w:rFonts w:ascii="Arial" w:hAnsi="Arial" w:cs="Arial"/>
          <w:lang w:eastAsia="en-US"/>
        </w:rPr>
        <w:t>/month to $75/month.</w:t>
      </w:r>
    </w:p>
    <w:p w:rsidR="00C3710C" w:rsidRDefault="00C3710C" w:rsidP="00C3710C">
      <w:pPr>
        <w:pStyle w:val="ListParagraph"/>
        <w:rPr>
          <w:rFonts w:ascii="Arial" w:hAnsi="Arial" w:cs="Arial"/>
          <w:lang w:eastAsia="en-US"/>
        </w:rPr>
      </w:pPr>
    </w:p>
    <w:p w:rsidR="005001D3" w:rsidRPr="00C3710C" w:rsidRDefault="005001D3" w:rsidP="00C3710C">
      <w:pPr>
        <w:pStyle w:val="ListParagraph"/>
        <w:numPr>
          <w:ilvl w:val="0"/>
          <w:numId w:val="68"/>
        </w:numPr>
        <w:rPr>
          <w:rFonts w:ascii="Arial" w:hAnsi="Arial" w:cs="Arial"/>
          <w:lang w:eastAsia="en-US"/>
        </w:rPr>
      </w:pPr>
      <w:r w:rsidRPr="00C3710C">
        <w:rPr>
          <w:rFonts w:ascii="Arial" w:hAnsi="Arial" w:cs="Arial"/>
          <w:lang w:eastAsia="en-US"/>
        </w:rPr>
        <w:t xml:space="preserve">An enhanced credit, which originally ranged from $45/month to $75/month for consumers that are either Indigenous, use electric heat or use certain electrically intensive medical devices.  The new credit amounts </w:t>
      </w:r>
      <w:r w:rsidR="00041BC1" w:rsidRPr="00C3710C">
        <w:rPr>
          <w:rFonts w:ascii="Arial" w:hAnsi="Arial" w:cs="Arial"/>
          <w:lang w:eastAsia="en-US"/>
        </w:rPr>
        <w:t xml:space="preserve">came into effect on </w:t>
      </w:r>
      <w:r w:rsidRPr="00C3710C">
        <w:rPr>
          <w:rFonts w:ascii="Arial" w:hAnsi="Arial" w:cs="Arial"/>
          <w:lang w:eastAsia="en-US"/>
        </w:rPr>
        <w:t xml:space="preserve">May 1, 2017 </w:t>
      </w:r>
      <w:r w:rsidR="00041BC1" w:rsidRPr="00C3710C">
        <w:rPr>
          <w:rFonts w:ascii="Arial" w:hAnsi="Arial" w:cs="Arial"/>
          <w:lang w:eastAsia="en-US"/>
        </w:rPr>
        <w:t xml:space="preserve">and </w:t>
      </w:r>
      <w:r w:rsidRPr="00C3710C">
        <w:rPr>
          <w:rFonts w:ascii="Arial" w:hAnsi="Arial" w:cs="Arial"/>
          <w:lang w:eastAsia="en-US"/>
        </w:rPr>
        <w:t>range from $52/month to $113/month.</w:t>
      </w:r>
    </w:p>
    <w:p w:rsidR="005001D3" w:rsidRPr="00CE63C3" w:rsidRDefault="005001D3" w:rsidP="005001D3">
      <w:pPr>
        <w:pStyle w:val="ListParagraph"/>
        <w:rPr>
          <w:rFonts w:ascii="Arial" w:hAnsi="Arial" w:cs="Arial"/>
          <w:lang w:eastAsia="en-US"/>
        </w:rPr>
      </w:pPr>
    </w:p>
    <w:p w:rsidR="005001D3" w:rsidRPr="00CE63C3" w:rsidRDefault="005001D3" w:rsidP="005001D3">
      <w:pPr>
        <w:ind w:left="360"/>
        <w:rPr>
          <w:rFonts w:ascii="Arial" w:hAnsi="Arial" w:cs="Arial"/>
          <w:lang w:val="en-US"/>
        </w:rPr>
      </w:pPr>
      <w:r w:rsidRPr="00CE63C3">
        <w:rPr>
          <w:rFonts w:ascii="Arial" w:hAnsi="Arial" w:cs="Arial"/>
        </w:rPr>
        <w:t xml:space="preserve">Ontario’s </w:t>
      </w:r>
      <w:r w:rsidRPr="00CE63C3">
        <w:rPr>
          <w:rFonts w:ascii="Arial" w:hAnsi="Arial" w:cs="Arial"/>
          <w:lang w:val="en-US"/>
        </w:rPr>
        <w:t>Fair Hydro Plan (OFHP) committed to move the program from the rate base to the tax base, and to expand the OESP by increasing the credit amounts by 50 per cent, making more Ontarians eligible for the program, and aligning the OESP with other social assistance programs to increase uptake.</w:t>
      </w:r>
      <w:r>
        <w:rPr>
          <w:rFonts w:ascii="Arial" w:hAnsi="Arial" w:cs="Arial"/>
          <w:lang w:val="en-US"/>
        </w:rPr>
        <w:t xml:space="preserve">  Recently approved legislative changes have enabled the transition of the program to the tax base, which will be enacted by a subsequent proclamation and associated regulatory changes.</w:t>
      </w:r>
    </w:p>
    <w:p w:rsidR="005001D3" w:rsidRPr="00CE63C3" w:rsidRDefault="005001D3" w:rsidP="005001D3">
      <w:pPr>
        <w:rPr>
          <w:rFonts w:ascii="Arial" w:hAnsi="Arial" w:cs="Arial"/>
          <w:lang w:val="en-US"/>
        </w:rPr>
      </w:pPr>
    </w:p>
    <w:p w:rsidR="00812FB0" w:rsidRDefault="005001D3" w:rsidP="005001D3">
      <w:pPr>
        <w:ind w:left="360"/>
        <w:rPr>
          <w:rFonts w:ascii="Arial" w:hAnsi="Arial" w:cs="Arial"/>
          <w:lang w:val="en-US"/>
        </w:rPr>
      </w:pPr>
      <w:r>
        <w:rPr>
          <w:rFonts w:ascii="Arial" w:hAnsi="Arial" w:cs="Arial"/>
          <w:lang w:val="en-US"/>
        </w:rPr>
        <w:t>In the meantime, amendments to the OESP regulation (O. Reg. 314/15) are being proposed in order to enable alignment of OESP delivery with social assistance programs delivered by MCSS.</w:t>
      </w:r>
      <w:r w:rsidRPr="00AA5D5A">
        <w:rPr>
          <w:rFonts w:ascii="Arial" w:hAnsi="Arial" w:cs="Arial"/>
          <w:lang w:val="en-US"/>
        </w:rPr>
        <w:t xml:space="preserve"> </w:t>
      </w:r>
      <w:r>
        <w:rPr>
          <w:rFonts w:ascii="Arial" w:hAnsi="Arial" w:cs="Arial"/>
          <w:lang w:val="en-US"/>
        </w:rPr>
        <w:t xml:space="preserve"> </w:t>
      </w:r>
    </w:p>
    <w:p w:rsidR="00812FB0" w:rsidRDefault="00812FB0" w:rsidP="005001D3">
      <w:pPr>
        <w:ind w:left="360"/>
        <w:rPr>
          <w:rFonts w:ascii="Arial" w:hAnsi="Arial" w:cs="Arial"/>
          <w:lang w:val="en-US"/>
        </w:rPr>
      </w:pPr>
    </w:p>
    <w:p w:rsidR="00812FB0" w:rsidRPr="00AD1460" w:rsidRDefault="00812FB0" w:rsidP="005001D3">
      <w:pPr>
        <w:ind w:left="360"/>
        <w:rPr>
          <w:rFonts w:ascii="Arial" w:hAnsi="Arial" w:cs="Arial"/>
          <w:sz w:val="28"/>
          <w:lang w:val="en-US"/>
        </w:rPr>
      </w:pPr>
      <w:r w:rsidRPr="00AD1460">
        <w:rPr>
          <w:rFonts w:ascii="Arial" w:hAnsi="Arial" w:cs="Arial"/>
          <w:szCs w:val="22"/>
          <w:lang w:val="en-US"/>
        </w:rPr>
        <w:t xml:space="preserve">The proposed amendments to O. Reg. 314/15 will facilitate the processing of OESP applications by MCSS on behalf of SA clients pursuant to an agreement with the Minister or the OEB,   and help meet the government’s goal of substantially increasing uptake in the OESP.  </w:t>
      </w:r>
    </w:p>
    <w:p w:rsidR="00C05B4C" w:rsidRPr="00CE63C3" w:rsidRDefault="00C05B4C" w:rsidP="00833EFF">
      <w:pPr>
        <w:rPr>
          <w:rFonts w:ascii="Arial" w:hAnsi="Arial" w:cs="Arial"/>
          <w:i/>
          <w:u w:val="single"/>
          <w:lang w:val="en-US" w:eastAsia="en-US"/>
        </w:rPr>
      </w:pPr>
    </w:p>
    <w:p w:rsidR="00833EFF" w:rsidRPr="00CE63C3" w:rsidRDefault="00833EFF" w:rsidP="00833EFF">
      <w:pPr>
        <w:ind w:left="360"/>
        <w:rPr>
          <w:rFonts w:ascii="Arial" w:hAnsi="Arial" w:cs="Arial"/>
          <w:u w:val="single"/>
          <w:lang w:eastAsia="en-US"/>
        </w:rPr>
      </w:pPr>
      <w:r w:rsidRPr="00CE63C3">
        <w:rPr>
          <w:rFonts w:ascii="Arial" w:hAnsi="Arial" w:cs="Arial"/>
          <w:u w:val="single"/>
          <w:lang w:eastAsia="en-US"/>
        </w:rPr>
        <w:t>Roles and Responsibilities</w:t>
      </w:r>
    </w:p>
    <w:p w:rsidR="005001D3" w:rsidRDefault="005001D3" w:rsidP="00AD1460">
      <w:pPr>
        <w:rPr>
          <w:rFonts w:ascii="Arial" w:hAnsi="Arial" w:cs="Arial"/>
        </w:rPr>
      </w:pPr>
    </w:p>
    <w:p w:rsidR="005001D3" w:rsidRPr="005001D3" w:rsidRDefault="005001D3" w:rsidP="005001D3">
      <w:pPr>
        <w:ind w:left="360"/>
        <w:rPr>
          <w:rFonts w:ascii="Arial" w:hAnsi="Arial" w:cs="Arial"/>
          <w:i/>
        </w:rPr>
      </w:pPr>
      <w:r w:rsidRPr="005001D3">
        <w:rPr>
          <w:rFonts w:ascii="Arial" w:hAnsi="Arial" w:cs="Arial"/>
          <w:i/>
        </w:rPr>
        <w:t xml:space="preserve">Ontario Electricity Support Program </w:t>
      </w:r>
    </w:p>
    <w:p w:rsidR="005001D3" w:rsidRPr="005001D3" w:rsidRDefault="005001D3" w:rsidP="005001D3">
      <w:pPr>
        <w:ind w:left="360"/>
        <w:rPr>
          <w:rFonts w:ascii="Arial" w:hAnsi="Arial" w:cs="Arial"/>
        </w:rPr>
      </w:pPr>
    </w:p>
    <w:p w:rsidR="002500B6" w:rsidRDefault="005001D3" w:rsidP="005001D3">
      <w:pPr>
        <w:ind w:left="360"/>
        <w:rPr>
          <w:rFonts w:ascii="Arial" w:hAnsi="Arial" w:cs="Arial"/>
        </w:rPr>
      </w:pPr>
      <w:r w:rsidRPr="005001D3">
        <w:rPr>
          <w:rFonts w:ascii="Arial" w:hAnsi="Arial" w:cs="Arial"/>
        </w:rPr>
        <w:t>The OEB will continue to deliver the OESP under the current legislative framework until the variance account is depleted.  When legislative changes to shift the program from the rate base to the tax base are proclaimed, the OEB will continue to administer the program, but certain decision making responsibilities and oversights will shift to the Minister of Energy</w:t>
      </w:r>
      <w:r w:rsidR="000D146B">
        <w:rPr>
          <w:rFonts w:ascii="Arial" w:hAnsi="Arial" w:cs="Arial"/>
        </w:rPr>
        <w:t>.</w:t>
      </w:r>
    </w:p>
    <w:p w:rsidR="002500B6" w:rsidRDefault="002500B6" w:rsidP="005001D3">
      <w:pPr>
        <w:ind w:left="360"/>
        <w:rPr>
          <w:rFonts w:ascii="Arial" w:hAnsi="Arial" w:cs="Arial"/>
        </w:rPr>
      </w:pPr>
    </w:p>
    <w:p w:rsidR="002500B6" w:rsidRPr="00AD1460" w:rsidRDefault="002500B6" w:rsidP="00AD1460">
      <w:pPr>
        <w:spacing w:after="120"/>
        <w:ind w:left="360"/>
        <w:rPr>
          <w:rFonts w:ascii="Arial" w:hAnsi="Arial" w:cs="Arial"/>
          <w:szCs w:val="22"/>
          <w:lang w:val="en-US"/>
        </w:rPr>
      </w:pPr>
      <w:r w:rsidRPr="00AD1460">
        <w:rPr>
          <w:rFonts w:ascii="Arial" w:hAnsi="Arial" w:cs="Arial"/>
          <w:szCs w:val="22"/>
          <w:lang w:val="en-US"/>
        </w:rPr>
        <w:t xml:space="preserve">Second, OEB and its OESP delivery consultant – ICF Consulting – will help MCSS to expeditiously prepare for implementation by providing training materials and technical support for MCSS system changes. The amount of the original contract between ICF and the OEB is $12 million. Cost impacts are expected to be minimal and are covered by the OEB’s existing authorities to cover administration costs related to the OESP using the OESP variance account. </w:t>
      </w:r>
    </w:p>
    <w:p w:rsidR="005001D3" w:rsidRPr="005001D3" w:rsidRDefault="005001D3" w:rsidP="00AD1460">
      <w:pPr>
        <w:rPr>
          <w:rFonts w:ascii="Arial" w:hAnsi="Arial" w:cs="Arial"/>
        </w:rPr>
      </w:pPr>
    </w:p>
    <w:p w:rsidR="00812FB0" w:rsidRPr="00AD1460" w:rsidRDefault="00812FB0" w:rsidP="005001D3">
      <w:pPr>
        <w:ind w:left="360"/>
        <w:rPr>
          <w:rFonts w:ascii="Arial" w:hAnsi="Arial" w:cs="Arial"/>
          <w:szCs w:val="22"/>
          <w:lang w:val="en-US"/>
        </w:rPr>
      </w:pPr>
      <w:r w:rsidRPr="00AD1460">
        <w:rPr>
          <w:rFonts w:ascii="Arial" w:hAnsi="Arial" w:cs="Arial"/>
          <w:szCs w:val="22"/>
          <w:lang w:val="en-US"/>
        </w:rPr>
        <w:t xml:space="preserve">MCSS will be responsible for implementing the proposed regulatory changes once an agreement has been entered into between the Minister and/or the OEB and MCSS, which were designed to support a strategy jointly developed by ENERGY, the OEB, and MCSS to meet the government’s objective of substantially increasing OESP uptake by aligning it with SA program delivery.  </w:t>
      </w:r>
    </w:p>
    <w:p w:rsidR="005001D3" w:rsidRPr="005001D3" w:rsidRDefault="005001D3" w:rsidP="00AD1460">
      <w:pPr>
        <w:rPr>
          <w:rFonts w:ascii="Arial" w:hAnsi="Arial" w:cs="Arial"/>
        </w:rPr>
      </w:pPr>
    </w:p>
    <w:p w:rsidR="005001D3" w:rsidRPr="005001D3" w:rsidRDefault="005001D3" w:rsidP="005001D3">
      <w:pPr>
        <w:ind w:left="360"/>
        <w:rPr>
          <w:rFonts w:ascii="Arial" w:hAnsi="Arial" w:cs="Arial"/>
        </w:rPr>
      </w:pPr>
      <w:r w:rsidRPr="005001D3">
        <w:rPr>
          <w:rFonts w:ascii="Arial" w:hAnsi="Arial" w:cs="Arial"/>
        </w:rPr>
        <w:t xml:space="preserve">The IESO will continue to manage payments to utilities, unit sub-meter providers, and the OEB in relation to OESP credit delivery and program administration costs.  When legislative changes are proclaimed, IESO will begin reporting costs to the Ministry to support forecasting and audit. </w:t>
      </w:r>
    </w:p>
    <w:p w:rsidR="00230F59" w:rsidRPr="00CE63C3" w:rsidRDefault="00230F59" w:rsidP="00B20020">
      <w:pPr>
        <w:rPr>
          <w:rFonts w:ascii="Arial" w:hAnsi="Arial" w:cs="Arial"/>
          <w:i/>
          <w:u w:val="single"/>
          <w:lang w:eastAsia="en-US"/>
        </w:rPr>
      </w:pPr>
    </w:p>
    <w:p w:rsidR="001D35D0" w:rsidRPr="00635907" w:rsidRDefault="00CA7DD8" w:rsidP="00D92872">
      <w:pPr>
        <w:spacing w:before="120"/>
        <w:ind w:hanging="720"/>
        <w:rPr>
          <w:rFonts w:ascii="Arial" w:hAnsi="Arial" w:cs="Arial"/>
          <w:color w:val="FF0000"/>
        </w:rPr>
      </w:pPr>
      <w:r w:rsidRPr="00CE63C3">
        <w:rPr>
          <w:rFonts w:ascii="Helvetica" w:hAnsi="Helvetica" w:cs="Arial"/>
          <w:b/>
          <w:caps/>
        </w:rPr>
        <w:t>4.0</w:t>
      </w:r>
      <w:r w:rsidRPr="00CE63C3">
        <w:rPr>
          <w:rFonts w:ascii="Helvetica" w:hAnsi="Helvetica" w:cs="Arial"/>
          <w:b/>
          <w:caps/>
        </w:rPr>
        <w:tab/>
        <w:t>background</w:t>
      </w:r>
      <w:r w:rsidR="00F41524">
        <w:rPr>
          <w:rFonts w:ascii="Helvetica" w:hAnsi="Helvetica" w:cs="Arial"/>
          <w:b/>
          <w:caps/>
        </w:rPr>
        <w:t xml:space="preserve"> </w:t>
      </w:r>
    </w:p>
    <w:p w:rsidR="004D2E21" w:rsidRPr="00CE63C3" w:rsidRDefault="004D2E21" w:rsidP="00394C1B">
      <w:pPr>
        <w:rPr>
          <w:rFonts w:ascii="Arial" w:hAnsi="Arial" w:cs="Arial"/>
          <w:b/>
          <w:lang w:eastAsia="en-US"/>
        </w:rPr>
      </w:pPr>
    </w:p>
    <w:p w:rsidR="00006396" w:rsidRPr="00CE63C3" w:rsidRDefault="005B2B67" w:rsidP="00006396">
      <w:pPr>
        <w:rPr>
          <w:rFonts w:ascii="Arial" w:hAnsi="Arial" w:cs="Arial"/>
          <w:u w:val="single"/>
          <w:lang w:eastAsia="en-US"/>
        </w:rPr>
      </w:pPr>
      <w:r w:rsidRPr="00CE63C3">
        <w:rPr>
          <w:rFonts w:ascii="Arial" w:hAnsi="Arial" w:cs="Arial"/>
          <w:u w:val="single"/>
          <w:lang w:eastAsia="en-US"/>
        </w:rPr>
        <w:t xml:space="preserve">Legislation to </w:t>
      </w:r>
      <w:r w:rsidR="00323877">
        <w:rPr>
          <w:rFonts w:ascii="Arial" w:hAnsi="Arial" w:cs="Arial"/>
          <w:u w:val="single"/>
          <w:lang w:eastAsia="en-US"/>
        </w:rPr>
        <w:t>Implement Ontario’s Fair Hydro Plan</w:t>
      </w:r>
      <w:r w:rsidR="00006396" w:rsidRPr="00CE63C3">
        <w:rPr>
          <w:rFonts w:ascii="Arial" w:hAnsi="Arial" w:cs="Arial"/>
          <w:u w:val="single"/>
          <w:lang w:eastAsia="en-US"/>
        </w:rPr>
        <w:t xml:space="preserve"> </w:t>
      </w:r>
    </w:p>
    <w:p w:rsidR="00F23E06" w:rsidRDefault="00F23E06" w:rsidP="00006396">
      <w:pPr>
        <w:rPr>
          <w:rFonts w:ascii="Arial" w:eastAsia="+mn-ea" w:hAnsi="Arial" w:cs="Arial"/>
          <w:spacing w:val="-1"/>
          <w:kern w:val="24"/>
        </w:rPr>
      </w:pPr>
    </w:p>
    <w:p w:rsidR="00F23E06" w:rsidRPr="00C05B4C" w:rsidRDefault="00F23E06" w:rsidP="00F23E06">
      <w:pPr>
        <w:ind w:right="14"/>
        <w:rPr>
          <w:rFonts w:ascii="Arial" w:hAnsi="Arial" w:cs="Arial"/>
          <w:lang w:val="en-US"/>
        </w:rPr>
      </w:pPr>
      <w:r w:rsidRPr="00C05B4C">
        <w:rPr>
          <w:rFonts w:ascii="Arial" w:hAnsi="Arial" w:cs="Arial"/>
        </w:rPr>
        <w:t>On May 1</w:t>
      </w:r>
      <w:r w:rsidR="00D5623A">
        <w:rPr>
          <w:rFonts w:ascii="Arial" w:hAnsi="Arial" w:cs="Arial"/>
        </w:rPr>
        <w:t>1</w:t>
      </w:r>
      <w:r w:rsidRPr="00C05B4C">
        <w:rPr>
          <w:rFonts w:ascii="Arial" w:hAnsi="Arial" w:cs="Arial"/>
        </w:rPr>
        <w:t xml:space="preserve">, 2017, the government introduced Bill 132, </w:t>
      </w:r>
      <w:r w:rsidRPr="00C05B4C">
        <w:rPr>
          <w:rFonts w:ascii="Arial" w:hAnsi="Arial" w:cs="Arial"/>
          <w:i/>
        </w:rPr>
        <w:t xml:space="preserve">Fair Hydro Act, 2017 </w:t>
      </w:r>
      <w:r w:rsidRPr="00C05B4C">
        <w:rPr>
          <w:rFonts w:ascii="Arial" w:hAnsi="Arial" w:cs="Arial"/>
          <w:sz w:val="22"/>
          <w:szCs w:val="22"/>
          <w:lang w:val="en-US"/>
        </w:rPr>
        <w:t>(</w:t>
      </w:r>
      <w:r w:rsidRPr="00C05B4C">
        <w:rPr>
          <w:rFonts w:ascii="Arial" w:hAnsi="Arial" w:cs="Arial"/>
          <w:lang w:val="en-US"/>
        </w:rPr>
        <w:t xml:space="preserve">FHA) which is comprised of two Schedules:  </w:t>
      </w:r>
    </w:p>
    <w:p w:rsidR="00F23E06" w:rsidRPr="00C05B4C" w:rsidRDefault="00F23E06" w:rsidP="00F23E06">
      <w:pPr>
        <w:ind w:right="14"/>
        <w:rPr>
          <w:rFonts w:ascii="Arial" w:hAnsi="Arial" w:cs="Arial"/>
          <w:lang w:val="en-US"/>
        </w:rPr>
      </w:pPr>
    </w:p>
    <w:p w:rsidR="00F23E06" w:rsidRPr="00C05B4C" w:rsidRDefault="00F23E06" w:rsidP="00B517C1">
      <w:pPr>
        <w:pStyle w:val="ListParagraph"/>
        <w:numPr>
          <w:ilvl w:val="0"/>
          <w:numId w:val="33"/>
        </w:numPr>
        <w:spacing w:after="120"/>
        <w:rPr>
          <w:rFonts w:ascii="Arial" w:hAnsi="Arial" w:cs="Arial"/>
          <w:lang w:val="en-US" w:eastAsia="en-US"/>
        </w:rPr>
      </w:pPr>
      <w:r w:rsidRPr="00C05B4C">
        <w:rPr>
          <w:rFonts w:ascii="Arial" w:hAnsi="Arial" w:cs="Arial"/>
          <w:lang w:val="en-US" w:eastAsia="en-US"/>
        </w:rPr>
        <w:t xml:space="preserve">Schedule 1 – is the </w:t>
      </w:r>
      <w:r w:rsidRPr="00C05B4C">
        <w:rPr>
          <w:rFonts w:ascii="Arial" w:hAnsi="Arial" w:cs="Arial"/>
          <w:i/>
          <w:lang w:val="en-US" w:eastAsia="en-US"/>
        </w:rPr>
        <w:t>Ontario Fair Hydro Plan Act, 2017</w:t>
      </w:r>
      <w:r w:rsidRPr="00C05B4C">
        <w:rPr>
          <w:rFonts w:ascii="Arial" w:hAnsi="Arial" w:cs="Arial"/>
          <w:lang w:val="en-US" w:eastAsia="en-US"/>
        </w:rPr>
        <w:t xml:space="preserve"> (OFHPA) and related amendments to the </w:t>
      </w:r>
      <w:r w:rsidRPr="00C05B4C">
        <w:rPr>
          <w:rFonts w:ascii="Arial" w:hAnsi="Arial" w:cs="Arial"/>
          <w:i/>
          <w:lang w:val="en-US" w:eastAsia="en-US"/>
        </w:rPr>
        <w:t>Electricity Act, 1998</w:t>
      </w:r>
      <w:r w:rsidRPr="00C05B4C">
        <w:rPr>
          <w:rFonts w:ascii="Arial" w:hAnsi="Arial" w:cs="Arial"/>
          <w:lang w:val="en-US" w:eastAsia="en-US"/>
        </w:rPr>
        <w:t xml:space="preserve"> and the </w:t>
      </w:r>
      <w:r w:rsidRPr="00C05B4C">
        <w:rPr>
          <w:rFonts w:ascii="Arial" w:hAnsi="Arial" w:cs="Arial"/>
          <w:i/>
          <w:lang w:val="en-US" w:eastAsia="en-US"/>
        </w:rPr>
        <w:t>Ontario Energy Board Act, 1998</w:t>
      </w:r>
      <w:r w:rsidRPr="00C05B4C">
        <w:rPr>
          <w:rFonts w:ascii="Arial" w:hAnsi="Arial" w:cs="Arial"/>
          <w:lang w:val="en-US" w:eastAsia="en-US"/>
        </w:rPr>
        <w:t xml:space="preserve"> (OEBA); and</w:t>
      </w:r>
    </w:p>
    <w:p w:rsidR="00F23E06" w:rsidRPr="00C05B4C" w:rsidRDefault="00F23E06" w:rsidP="00F23E06">
      <w:pPr>
        <w:pStyle w:val="ListParagraph"/>
        <w:spacing w:after="120"/>
        <w:ind w:left="360"/>
        <w:rPr>
          <w:rFonts w:ascii="Arial" w:hAnsi="Arial" w:cs="Arial"/>
          <w:lang w:val="en-US" w:eastAsia="en-US"/>
        </w:rPr>
      </w:pPr>
    </w:p>
    <w:p w:rsidR="00F23E06" w:rsidRPr="00C05B4C" w:rsidRDefault="00F23E06" w:rsidP="00B517C1">
      <w:pPr>
        <w:pStyle w:val="ListParagraph"/>
        <w:numPr>
          <w:ilvl w:val="0"/>
          <w:numId w:val="33"/>
        </w:numPr>
        <w:spacing w:after="120"/>
        <w:rPr>
          <w:rFonts w:ascii="Arial" w:hAnsi="Arial" w:cs="Arial"/>
          <w:lang w:val="en-US" w:eastAsia="en-US"/>
        </w:rPr>
      </w:pPr>
      <w:r w:rsidRPr="00C05B4C">
        <w:rPr>
          <w:rFonts w:ascii="Arial" w:hAnsi="Arial" w:cs="Arial"/>
          <w:lang w:val="en-US" w:eastAsia="en-US"/>
        </w:rPr>
        <w:t xml:space="preserve">Schedule 2 – includes the electricity social program-related amendments to the </w:t>
      </w:r>
      <w:r w:rsidRPr="00C05B4C">
        <w:rPr>
          <w:rFonts w:ascii="Arial" w:hAnsi="Arial" w:cs="Arial"/>
          <w:i/>
          <w:lang w:val="en-US" w:eastAsia="en-US"/>
        </w:rPr>
        <w:t>Ontario Energy Board Act, 1998.</w:t>
      </w:r>
      <w:r w:rsidRPr="00C05B4C">
        <w:rPr>
          <w:rFonts w:ascii="Arial" w:hAnsi="Arial" w:cs="Arial"/>
          <w:lang w:val="en-US" w:eastAsia="en-US"/>
        </w:rPr>
        <w:t xml:space="preserve"> </w:t>
      </w:r>
    </w:p>
    <w:p w:rsidR="00F23E06" w:rsidRPr="006A5108" w:rsidRDefault="00F23E06" w:rsidP="00F23E06">
      <w:pPr>
        <w:pStyle w:val="NoSpacing"/>
        <w:rPr>
          <w:lang w:eastAsia="en-US"/>
        </w:rPr>
      </w:pPr>
    </w:p>
    <w:p w:rsidR="00F23E06" w:rsidRDefault="00F23E06" w:rsidP="00F23E06">
      <w:pPr>
        <w:spacing w:after="120"/>
        <w:rPr>
          <w:rFonts w:ascii="Arial" w:hAnsi="Arial" w:cs="Arial"/>
          <w:lang w:val="en-US" w:eastAsia="en-US"/>
        </w:rPr>
      </w:pPr>
      <w:r w:rsidRPr="00C05B4C">
        <w:rPr>
          <w:rFonts w:ascii="Arial" w:hAnsi="Arial" w:cs="Arial"/>
          <w:lang w:val="en-US" w:eastAsia="en-US"/>
        </w:rPr>
        <w:t xml:space="preserve">On May </w:t>
      </w:r>
      <w:r w:rsidR="00E6095D">
        <w:rPr>
          <w:rFonts w:ascii="Arial" w:hAnsi="Arial" w:cs="Arial"/>
          <w:lang w:val="en-US" w:eastAsia="en-US"/>
        </w:rPr>
        <w:t>31</w:t>
      </w:r>
      <w:r w:rsidRPr="00C05B4C">
        <w:rPr>
          <w:rFonts w:ascii="Arial" w:hAnsi="Arial" w:cs="Arial"/>
          <w:lang w:val="en-US" w:eastAsia="en-US"/>
        </w:rPr>
        <w:t>, 2017, the Bill passed third reading and received Royal Assent on June 1, 2017.</w:t>
      </w:r>
    </w:p>
    <w:p w:rsidR="00323877" w:rsidRDefault="00323877" w:rsidP="00C05B4C">
      <w:pPr>
        <w:pStyle w:val="NoSpacing"/>
        <w:rPr>
          <w:lang w:val="en-US" w:eastAsia="en-US"/>
        </w:rPr>
      </w:pPr>
    </w:p>
    <w:p w:rsidR="00323877" w:rsidRPr="00C05B4C" w:rsidRDefault="00C05B4C" w:rsidP="00F23E06">
      <w:pPr>
        <w:spacing w:after="120"/>
        <w:rPr>
          <w:rFonts w:ascii="Arial" w:hAnsi="Arial" w:cs="Arial"/>
          <w:u w:val="single"/>
          <w:lang w:val="en-US" w:eastAsia="en-US"/>
        </w:rPr>
      </w:pPr>
      <w:r w:rsidRPr="00C05B4C">
        <w:rPr>
          <w:rFonts w:ascii="Arial" w:hAnsi="Arial" w:cs="Arial"/>
          <w:u w:val="single"/>
          <w:lang w:val="en-US" w:eastAsia="en-US"/>
        </w:rPr>
        <w:t xml:space="preserve">Legislation to Implement </w:t>
      </w:r>
      <w:r w:rsidR="00323877" w:rsidRPr="00C05B4C">
        <w:rPr>
          <w:rFonts w:ascii="Arial" w:hAnsi="Arial" w:cs="Arial"/>
          <w:u w:val="single"/>
          <w:lang w:val="en-US" w:eastAsia="en-US"/>
        </w:rPr>
        <w:t>GA Refinancing</w:t>
      </w:r>
      <w:r w:rsidR="00A72B61">
        <w:rPr>
          <w:rFonts w:ascii="Arial" w:hAnsi="Arial" w:cs="Arial"/>
          <w:u w:val="single"/>
          <w:lang w:val="en-US" w:eastAsia="en-US"/>
        </w:rPr>
        <w:t xml:space="preserve"> </w:t>
      </w:r>
    </w:p>
    <w:p w:rsidR="00F23E06" w:rsidRDefault="00F23E06" w:rsidP="00006396">
      <w:pPr>
        <w:ind w:right="14"/>
        <w:rPr>
          <w:rFonts w:ascii="Arial" w:hAnsi="Arial" w:cs="Arial"/>
        </w:rPr>
      </w:pPr>
    </w:p>
    <w:p w:rsidR="00006396" w:rsidRPr="00CE63C3" w:rsidRDefault="00006396" w:rsidP="00006396">
      <w:pPr>
        <w:ind w:right="14"/>
        <w:rPr>
          <w:rFonts w:ascii="Arial" w:hAnsi="Arial" w:cs="Arial"/>
        </w:rPr>
      </w:pPr>
      <w:r w:rsidRPr="00CE63C3">
        <w:rPr>
          <w:rFonts w:ascii="Arial" w:hAnsi="Arial" w:cs="Arial"/>
        </w:rPr>
        <w:t xml:space="preserve">To enable </w:t>
      </w:r>
      <w:r w:rsidR="0012392E" w:rsidRPr="00CE63C3">
        <w:rPr>
          <w:rFonts w:ascii="Arial" w:hAnsi="Arial" w:cs="Arial"/>
        </w:rPr>
        <w:t xml:space="preserve">implementation of </w:t>
      </w:r>
      <w:r w:rsidRPr="00CE63C3">
        <w:rPr>
          <w:rFonts w:ascii="Arial" w:hAnsi="Arial" w:cs="Arial"/>
        </w:rPr>
        <w:t>GA refinancing</w:t>
      </w:r>
      <w:r w:rsidR="0012392E" w:rsidRPr="00CE63C3">
        <w:rPr>
          <w:rFonts w:ascii="Arial" w:hAnsi="Arial" w:cs="Arial"/>
        </w:rPr>
        <w:t xml:space="preserve"> and mitigate financing</w:t>
      </w:r>
      <w:r w:rsidRPr="00CE63C3">
        <w:rPr>
          <w:rFonts w:ascii="Arial" w:hAnsi="Arial" w:cs="Arial"/>
        </w:rPr>
        <w:t>,</w:t>
      </w:r>
      <w:r w:rsidR="0012392E" w:rsidRPr="00CE63C3">
        <w:rPr>
          <w:rFonts w:ascii="Arial" w:hAnsi="Arial" w:cs="Arial"/>
        </w:rPr>
        <w:t xml:space="preserve"> accounting and legal risks,</w:t>
      </w:r>
      <w:r w:rsidRPr="00CE63C3">
        <w:rPr>
          <w:rFonts w:ascii="Arial" w:hAnsi="Arial" w:cs="Arial"/>
        </w:rPr>
        <w:t xml:space="preserve"> </w:t>
      </w:r>
      <w:r w:rsidR="00B157F5">
        <w:rPr>
          <w:rFonts w:ascii="Arial" w:hAnsi="Arial" w:cs="Arial"/>
        </w:rPr>
        <w:t xml:space="preserve">the </w:t>
      </w:r>
      <w:r w:rsidR="00B157F5" w:rsidRPr="00F23E06">
        <w:rPr>
          <w:rFonts w:ascii="Arial" w:hAnsi="Arial" w:cs="Arial"/>
          <w:i/>
        </w:rPr>
        <w:t>Ontario Fair Hydro Plan Act, 2017</w:t>
      </w:r>
      <w:r w:rsidRPr="00CE63C3">
        <w:rPr>
          <w:rFonts w:ascii="Arial" w:hAnsi="Arial" w:cs="Arial"/>
        </w:rPr>
        <w:t xml:space="preserve"> outlines: </w:t>
      </w:r>
    </w:p>
    <w:p w:rsidR="00006396" w:rsidRPr="00CE63C3" w:rsidRDefault="00006396" w:rsidP="00006396">
      <w:pPr>
        <w:ind w:left="720" w:right="14"/>
        <w:rPr>
          <w:rFonts w:ascii="Arial" w:hAnsi="Arial" w:cs="Arial"/>
        </w:rPr>
      </w:pPr>
    </w:p>
    <w:p w:rsidR="00006396" w:rsidRPr="00CE63C3" w:rsidRDefault="00006396" w:rsidP="00B517C1">
      <w:pPr>
        <w:pStyle w:val="ListParagraph"/>
        <w:numPr>
          <w:ilvl w:val="0"/>
          <w:numId w:val="10"/>
        </w:numPr>
        <w:ind w:right="14"/>
        <w:rPr>
          <w:rFonts w:ascii="Arial" w:hAnsi="Arial" w:cs="Arial"/>
        </w:rPr>
      </w:pPr>
      <w:r w:rsidRPr="00CE63C3">
        <w:rPr>
          <w:rFonts w:ascii="Arial" w:hAnsi="Arial" w:cs="Arial"/>
        </w:rPr>
        <w:t xml:space="preserve">Roles and responsibilities for the OEB, IESO, OPG and the </w:t>
      </w:r>
      <w:r w:rsidR="007569CA" w:rsidRPr="00CE63C3">
        <w:rPr>
          <w:rFonts w:ascii="Arial" w:hAnsi="Arial" w:cs="Arial"/>
        </w:rPr>
        <w:t>Province</w:t>
      </w:r>
      <w:r w:rsidRPr="00CE63C3">
        <w:rPr>
          <w:rFonts w:ascii="Arial" w:hAnsi="Arial" w:cs="Arial"/>
        </w:rPr>
        <w:t>;</w:t>
      </w:r>
    </w:p>
    <w:p w:rsidR="0033488D" w:rsidRPr="00CE63C3" w:rsidRDefault="0033488D" w:rsidP="0033488D">
      <w:pPr>
        <w:pStyle w:val="ListParagraph"/>
        <w:ind w:right="14"/>
        <w:rPr>
          <w:rFonts w:ascii="Arial" w:hAnsi="Arial" w:cs="Arial"/>
        </w:rPr>
      </w:pPr>
    </w:p>
    <w:p w:rsidR="00006396" w:rsidRPr="00CE63C3" w:rsidRDefault="00006396" w:rsidP="00B517C1">
      <w:pPr>
        <w:pStyle w:val="ListParagraph"/>
        <w:numPr>
          <w:ilvl w:val="0"/>
          <w:numId w:val="10"/>
        </w:numPr>
        <w:ind w:right="14"/>
        <w:rPr>
          <w:rFonts w:ascii="Arial" w:hAnsi="Arial" w:cs="Arial"/>
        </w:rPr>
      </w:pPr>
      <w:r w:rsidRPr="00CE63C3">
        <w:rPr>
          <w:rFonts w:ascii="Arial" w:hAnsi="Arial" w:cs="Arial"/>
        </w:rPr>
        <w:t>A detailed Preamble, Purpose and Definitions;</w:t>
      </w:r>
    </w:p>
    <w:p w:rsidR="0033488D" w:rsidRPr="00CE63C3" w:rsidRDefault="0033488D" w:rsidP="0033488D">
      <w:pPr>
        <w:pStyle w:val="ListParagraph"/>
        <w:ind w:right="14"/>
        <w:rPr>
          <w:rFonts w:ascii="Arial" w:hAnsi="Arial" w:cs="Arial"/>
        </w:rPr>
      </w:pPr>
    </w:p>
    <w:p w:rsidR="00006396" w:rsidRPr="00CE63C3" w:rsidRDefault="00006396" w:rsidP="00B517C1">
      <w:pPr>
        <w:pStyle w:val="ListParagraph"/>
        <w:numPr>
          <w:ilvl w:val="0"/>
          <w:numId w:val="10"/>
        </w:numPr>
        <w:ind w:right="14"/>
        <w:rPr>
          <w:rFonts w:ascii="Arial" w:hAnsi="Arial" w:cs="Arial"/>
        </w:rPr>
      </w:pPr>
      <w:r w:rsidRPr="00CE63C3">
        <w:rPr>
          <w:rFonts w:ascii="Arial" w:hAnsi="Arial" w:cs="Arial"/>
        </w:rPr>
        <w:t xml:space="preserve">Details with respect to Fair Adjustment, Clean Energy Adjustment, </w:t>
      </w:r>
      <w:r w:rsidR="007569CA" w:rsidRPr="00CE63C3">
        <w:rPr>
          <w:rFonts w:ascii="Arial" w:hAnsi="Arial" w:cs="Arial"/>
        </w:rPr>
        <w:t xml:space="preserve">Implementation (i.e., </w:t>
      </w:r>
      <w:r w:rsidRPr="00CE63C3">
        <w:rPr>
          <w:rFonts w:ascii="Arial" w:hAnsi="Arial" w:cs="Arial"/>
        </w:rPr>
        <w:t>Financial Services Manager, Fair Allocation Amount, Financing Plan</w:t>
      </w:r>
      <w:r w:rsidR="007569CA" w:rsidRPr="00CE63C3">
        <w:rPr>
          <w:rFonts w:ascii="Arial" w:hAnsi="Arial" w:cs="Arial"/>
        </w:rPr>
        <w:t>)</w:t>
      </w:r>
      <w:r w:rsidRPr="00CE63C3">
        <w:rPr>
          <w:rFonts w:ascii="Arial" w:hAnsi="Arial" w:cs="Arial"/>
        </w:rPr>
        <w:t xml:space="preserve">, Regulatory Asset and  Investment Asset; </w:t>
      </w:r>
    </w:p>
    <w:p w:rsidR="0033488D" w:rsidRPr="00CE63C3" w:rsidRDefault="0033488D" w:rsidP="0033488D">
      <w:pPr>
        <w:pStyle w:val="ListParagraph"/>
        <w:ind w:right="14"/>
        <w:rPr>
          <w:rFonts w:ascii="Arial" w:hAnsi="Arial" w:cs="Arial"/>
        </w:rPr>
      </w:pPr>
    </w:p>
    <w:p w:rsidR="00006396" w:rsidRPr="00CE63C3" w:rsidRDefault="00E32C78" w:rsidP="00B517C1">
      <w:pPr>
        <w:pStyle w:val="ListParagraph"/>
        <w:numPr>
          <w:ilvl w:val="0"/>
          <w:numId w:val="10"/>
        </w:numPr>
        <w:ind w:right="14"/>
        <w:rPr>
          <w:rFonts w:ascii="Arial" w:hAnsi="Arial" w:cs="Arial"/>
        </w:rPr>
      </w:pPr>
      <w:r w:rsidRPr="00CE63C3">
        <w:rPr>
          <w:rFonts w:ascii="Arial" w:eastAsia="MS PGothic" w:hAnsi="Arial" w:cs="Arial"/>
          <w:spacing w:val="-1"/>
        </w:rPr>
        <w:t>Scope of provincial undertaking and enabling the Province to provide guarantees and indemnities to back stop that undertaking</w:t>
      </w:r>
      <w:r w:rsidR="00006396" w:rsidRPr="00CE63C3">
        <w:rPr>
          <w:rFonts w:ascii="Arial" w:hAnsi="Arial" w:cs="Arial"/>
        </w:rPr>
        <w:t>;  and</w:t>
      </w:r>
    </w:p>
    <w:p w:rsidR="0033488D" w:rsidRPr="00CE63C3" w:rsidRDefault="0033488D" w:rsidP="0033488D">
      <w:pPr>
        <w:pStyle w:val="ListParagraph"/>
        <w:ind w:right="14"/>
        <w:rPr>
          <w:rFonts w:ascii="Arial" w:hAnsi="Arial" w:cs="Arial"/>
        </w:rPr>
      </w:pPr>
    </w:p>
    <w:p w:rsidR="00006396" w:rsidRPr="00CE63C3" w:rsidRDefault="00006396" w:rsidP="00B517C1">
      <w:pPr>
        <w:pStyle w:val="ListParagraph"/>
        <w:numPr>
          <w:ilvl w:val="0"/>
          <w:numId w:val="10"/>
        </w:numPr>
        <w:ind w:right="14"/>
        <w:rPr>
          <w:rFonts w:ascii="Arial" w:hAnsi="Arial" w:cs="Arial"/>
        </w:rPr>
      </w:pPr>
      <w:r w:rsidRPr="00CE63C3">
        <w:rPr>
          <w:rFonts w:ascii="Arial" w:hAnsi="Arial" w:cs="Arial"/>
        </w:rPr>
        <w:t xml:space="preserve">Amendments to other acts (i.e., </w:t>
      </w:r>
      <w:r w:rsidRPr="00CE63C3">
        <w:rPr>
          <w:rFonts w:ascii="Arial" w:hAnsi="Arial" w:cs="Arial"/>
          <w:i/>
        </w:rPr>
        <w:t>Electricity Act</w:t>
      </w:r>
      <w:r w:rsidRPr="00CE63C3">
        <w:rPr>
          <w:rFonts w:ascii="Arial" w:hAnsi="Arial" w:cs="Arial"/>
        </w:rPr>
        <w:t xml:space="preserve"> and </w:t>
      </w:r>
      <w:r w:rsidRPr="00CE63C3">
        <w:rPr>
          <w:rFonts w:ascii="Arial" w:hAnsi="Arial" w:cs="Arial"/>
          <w:i/>
        </w:rPr>
        <w:t>Ontario Energy Board</w:t>
      </w:r>
      <w:r w:rsidR="007569CA" w:rsidRPr="00CE63C3">
        <w:rPr>
          <w:rFonts w:ascii="Arial" w:hAnsi="Arial" w:cs="Arial"/>
          <w:i/>
        </w:rPr>
        <w:t>)</w:t>
      </w:r>
      <w:r w:rsidRPr="00CE63C3">
        <w:rPr>
          <w:rFonts w:ascii="Arial" w:hAnsi="Arial" w:cs="Arial"/>
        </w:rPr>
        <w:t xml:space="preserve">.   </w:t>
      </w:r>
    </w:p>
    <w:p w:rsidR="00006396" w:rsidRPr="00CE63C3" w:rsidRDefault="00006396" w:rsidP="00006396">
      <w:pPr>
        <w:pStyle w:val="ListParagraph"/>
        <w:ind w:left="1440" w:right="14"/>
        <w:rPr>
          <w:rFonts w:ascii="Arial" w:hAnsi="Arial" w:cs="Arial"/>
        </w:rPr>
      </w:pPr>
    </w:p>
    <w:p w:rsidR="00246DEE" w:rsidRPr="00CE63C3" w:rsidRDefault="00246DEE" w:rsidP="00006396">
      <w:pPr>
        <w:ind w:right="14"/>
        <w:rPr>
          <w:rFonts w:ascii="Arial" w:eastAsia="+mn-ea" w:hAnsi="Arial" w:cs="Arial"/>
          <w:spacing w:val="-1"/>
          <w:kern w:val="24"/>
        </w:rPr>
      </w:pPr>
      <w:r w:rsidRPr="00CE63C3">
        <w:rPr>
          <w:rFonts w:ascii="Arial" w:eastAsia="+mn-ea" w:hAnsi="Arial" w:cs="Arial"/>
          <w:spacing w:val="-1"/>
          <w:kern w:val="24"/>
        </w:rPr>
        <w:t xml:space="preserve">The legislation defines the mechanisms and framework that would achieve the refinancing of the </w:t>
      </w:r>
      <w:r w:rsidR="00F23E06">
        <w:rPr>
          <w:rFonts w:ascii="Arial" w:eastAsia="+mn-ea" w:hAnsi="Arial" w:cs="Arial"/>
          <w:spacing w:val="-1"/>
          <w:kern w:val="24"/>
        </w:rPr>
        <w:t>GA</w:t>
      </w:r>
      <w:r w:rsidRPr="00CE63C3">
        <w:rPr>
          <w:rFonts w:ascii="Arial" w:eastAsia="+mn-ea" w:hAnsi="Arial" w:cs="Arial"/>
          <w:spacing w:val="-1"/>
          <w:kern w:val="24"/>
        </w:rPr>
        <w:t xml:space="preserve">.  </w:t>
      </w:r>
    </w:p>
    <w:p w:rsidR="00246DEE" w:rsidRPr="00CE63C3" w:rsidRDefault="00246DEE" w:rsidP="00006396">
      <w:pPr>
        <w:ind w:right="14"/>
        <w:rPr>
          <w:rFonts w:ascii="Arial" w:eastAsia="+mn-ea" w:hAnsi="Arial" w:cs="Arial"/>
          <w:spacing w:val="-1"/>
          <w:kern w:val="24"/>
        </w:rPr>
      </w:pPr>
    </w:p>
    <w:p w:rsidR="00B157F5" w:rsidRPr="00CE63C3" w:rsidRDefault="00006396" w:rsidP="00006396">
      <w:pPr>
        <w:ind w:right="14"/>
        <w:rPr>
          <w:rFonts w:ascii="Arial" w:eastAsia="+mn-ea" w:hAnsi="Arial" w:cs="Arial"/>
          <w:spacing w:val="-1"/>
          <w:kern w:val="24"/>
        </w:rPr>
      </w:pPr>
      <w:r w:rsidRPr="00CE63C3">
        <w:rPr>
          <w:rFonts w:ascii="Arial" w:eastAsia="+mn-ea" w:hAnsi="Arial" w:cs="Arial"/>
          <w:spacing w:val="-1"/>
          <w:kern w:val="24"/>
        </w:rPr>
        <w:t>The Ministry has worked closely with key ministries (i.e., TBS-OPCD, MOF-OFA/IGS, MAG, CO), OEB, IESO, OPG and their independent advisors and third party financing in the development of the legislation.</w:t>
      </w:r>
    </w:p>
    <w:p w:rsidR="006638DC" w:rsidRPr="00CE63C3" w:rsidRDefault="006638DC" w:rsidP="00394C1B">
      <w:pPr>
        <w:rPr>
          <w:rFonts w:ascii="Arial" w:hAnsi="Arial" w:cs="Arial"/>
          <w:u w:val="single"/>
          <w:lang w:eastAsia="en-US"/>
        </w:rPr>
      </w:pPr>
    </w:p>
    <w:p w:rsidR="00A35F96" w:rsidRPr="00A20B5D" w:rsidRDefault="00A35F96" w:rsidP="00B66FEA">
      <w:pPr>
        <w:rPr>
          <w:rFonts w:ascii="Arial" w:hAnsi="Arial"/>
          <w:lang w:val="en-US"/>
        </w:rPr>
      </w:pPr>
      <w:r w:rsidRPr="00E94245">
        <w:rPr>
          <w:rFonts w:ascii="Arial" w:hAnsi="Arial"/>
          <w:lang w:val="en-US"/>
        </w:rPr>
        <w:t>To support the implementation of GA refinancing under the</w:t>
      </w:r>
      <w:r w:rsidR="00A20B5D">
        <w:rPr>
          <w:rFonts w:ascii="Arial" w:hAnsi="Arial"/>
          <w:lang w:val="en-US"/>
        </w:rPr>
        <w:t xml:space="preserve"> </w:t>
      </w:r>
      <w:r w:rsidRPr="00F23E06">
        <w:rPr>
          <w:rFonts w:ascii="Arial" w:hAnsi="Arial"/>
          <w:i/>
          <w:lang w:val="en-US"/>
        </w:rPr>
        <w:t>Fair Hydro Act, 2017</w:t>
      </w:r>
      <w:r w:rsidRPr="00E94245">
        <w:rPr>
          <w:rFonts w:ascii="Arial" w:hAnsi="Arial"/>
          <w:lang w:val="en-US"/>
        </w:rPr>
        <w:t xml:space="preserve">, the Ministry has </w:t>
      </w:r>
      <w:r w:rsidRPr="00A20B5D">
        <w:rPr>
          <w:rFonts w:ascii="Arial" w:hAnsi="Arial"/>
          <w:lang w:val="en-US"/>
        </w:rPr>
        <w:t>developed supporting regulation:</w:t>
      </w:r>
    </w:p>
    <w:p w:rsidR="00C57D11" w:rsidRPr="008040BB" w:rsidRDefault="00C57D11" w:rsidP="00A20B5D">
      <w:pPr>
        <w:rPr>
          <w:rFonts w:ascii="Arial" w:eastAsia="+mn-ea" w:hAnsi="Arial" w:cs="Arial"/>
          <w:spacing w:val="-1"/>
          <w:kern w:val="24"/>
        </w:rPr>
      </w:pPr>
    </w:p>
    <w:p w:rsidR="0041664A" w:rsidRPr="00A20B5D" w:rsidRDefault="00571EB9" w:rsidP="00571EB9">
      <w:pPr>
        <w:pStyle w:val="ListParagraph"/>
        <w:numPr>
          <w:ilvl w:val="0"/>
          <w:numId w:val="32"/>
        </w:numPr>
        <w:rPr>
          <w:rFonts w:ascii="Arial" w:hAnsi="Arial" w:cs="Arial"/>
          <w:lang w:val="en-US"/>
        </w:rPr>
      </w:pPr>
      <w:r w:rsidRPr="00571EB9">
        <w:rPr>
          <w:rFonts w:ascii="Arial" w:hAnsi="Arial" w:cs="Arial"/>
          <w:lang w:val="en-US"/>
        </w:rPr>
        <w:t>Creating a new Regulation (“General Regulation”) to be made under the Ontario Fair Hydro Plan Act</w:t>
      </w:r>
      <w:r w:rsidR="00F87617">
        <w:rPr>
          <w:rFonts w:ascii="Arial" w:hAnsi="Arial" w:cs="Arial"/>
          <w:lang w:val="en-US"/>
        </w:rPr>
        <w:t xml:space="preserve">, </w:t>
      </w:r>
      <w:r w:rsidRPr="00571EB9">
        <w:rPr>
          <w:rFonts w:ascii="Arial" w:hAnsi="Arial" w:cs="Arial"/>
          <w:lang w:val="en-US"/>
        </w:rPr>
        <w:t xml:space="preserve">which is Schedule 1 of the Fair Hydro Act, 2017. </w:t>
      </w:r>
    </w:p>
    <w:p w:rsidR="00543A8C" w:rsidRPr="00543A8C" w:rsidRDefault="00543A8C" w:rsidP="00543A8C">
      <w:pPr>
        <w:pStyle w:val="ListParagraph"/>
        <w:ind w:left="360"/>
        <w:rPr>
          <w:rFonts w:ascii="Arial" w:hAnsi="Arial" w:cs="Arial"/>
          <w:lang w:val="en-US"/>
        </w:rPr>
      </w:pPr>
    </w:p>
    <w:p w:rsidR="0048070A" w:rsidRPr="009A3710" w:rsidRDefault="0048070A" w:rsidP="0048070A">
      <w:pPr>
        <w:pStyle w:val="ListParagraph"/>
        <w:numPr>
          <w:ilvl w:val="0"/>
          <w:numId w:val="45"/>
        </w:numPr>
        <w:rPr>
          <w:rFonts w:ascii="Arial" w:hAnsi="Arial" w:cs="Arial"/>
          <w:lang w:val="en-US"/>
        </w:rPr>
      </w:pPr>
      <w:r>
        <w:rPr>
          <w:rFonts w:ascii="Arial" w:hAnsi="Arial" w:cs="Arial"/>
          <w:lang w:val="en-US"/>
        </w:rPr>
        <w:t>T</w:t>
      </w:r>
      <w:r w:rsidRPr="009A3710">
        <w:rPr>
          <w:rFonts w:ascii="Arial" w:hAnsi="Arial" w:cs="Arial"/>
          <w:lang w:val="en-US"/>
        </w:rPr>
        <w:t>he proposed regulation support</w:t>
      </w:r>
      <w:r>
        <w:rPr>
          <w:rFonts w:ascii="Arial" w:hAnsi="Arial" w:cs="Arial"/>
          <w:lang w:val="en-US"/>
        </w:rPr>
        <w:t>s</w:t>
      </w:r>
      <w:r w:rsidRPr="009A3710">
        <w:rPr>
          <w:rFonts w:ascii="Arial" w:hAnsi="Arial" w:cs="Arial"/>
          <w:lang w:val="en-US"/>
        </w:rPr>
        <w:t xml:space="preserve"> key aspects of the OFHPA including:</w:t>
      </w:r>
    </w:p>
    <w:p w:rsidR="0048070A" w:rsidRPr="001F0184" w:rsidRDefault="0048070A" w:rsidP="0048070A">
      <w:pPr>
        <w:ind w:left="720"/>
        <w:rPr>
          <w:rFonts w:ascii="Arial" w:hAnsi="Arial" w:cs="Arial"/>
          <w:lang w:val="en-US"/>
        </w:rPr>
      </w:pPr>
    </w:p>
    <w:p w:rsidR="0048070A" w:rsidRDefault="0048070A" w:rsidP="006C63AE">
      <w:pPr>
        <w:pStyle w:val="ListParagraph"/>
        <w:numPr>
          <w:ilvl w:val="0"/>
          <w:numId w:val="63"/>
        </w:numPr>
        <w:rPr>
          <w:rFonts w:ascii="Arial" w:hAnsi="Arial" w:cs="Arial"/>
          <w:lang w:val="en-US"/>
        </w:rPr>
      </w:pPr>
      <w:r>
        <w:rPr>
          <w:rFonts w:ascii="Arial" w:hAnsi="Arial" w:cs="Arial"/>
          <w:lang w:val="en-US"/>
        </w:rPr>
        <w:t>T</w:t>
      </w:r>
      <w:r w:rsidRPr="003E3CE5">
        <w:rPr>
          <w:rFonts w:ascii="Arial" w:hAnsi="Arial" w:cs="Arial"/>
          <w:lang w:val="en-US"/>
        </w:rPr>
        <w:t xml:space="preserve">he </w:t>
      </w:r>
      <w:r w:rsidR="00BF1D59">
        <w:rPr>
          <w:rFonts w:ascii="Arial" w:hAnsi="Arial" w:cs="Arial"/>
          <w:lang w:val="en-US"/>
        </w:rPr>
        <w:t xml:space="preserve">details around the </w:t>
      </w:r>
      <w:r w:rsidRPr="003E3CE5">
        <w:rPr>
          <w:rFonts w:ascii="Arial" w:hAnsi="Arial" w:cs="Arial"/>
          <w:lang w:val="en-US"/>
        </w:rPr>
        <w:t>establishment and transfer of portions of the regulatory asset</w:t>
      </w:r>
      <w:r>
        <w:rPr>
          <w:rFonts w:ascii="Arial" w:hAnsi="Arial" w:cs="Arial"/>
          <w:lang w:val="en-US"/>
        </w:rPr>
        <w:t>;</w:t>
      </w:r>
    </w:p>
    <w:p w:rsidR="0048070A" w:rsidRDefault="0048070A" w:rsidP="006C63AE">
      <w:pPr>
        <w:pStyle w:val="ListParagraph"/>
        <w:numPr>
          <w:ilvl w:val="0"/>
          <w:numId w:val="63"/>
        </w:numPr>
        <w:rPr>
          <w:rFonts w:ascii="Arial" w:hAnsi="Arial" w:cs="Arial"/>
          <w:lang w:val="en-US"/>
        </w:rPr>
      </w:pPr>
      <w:r>
        <w:rPr>
          <w:rFonts w:ascii="Arial" w:hAnsi="Arial" w:cs="Arial"/>
          <w:lang w:val="en-US"/>
        </w:rPr>
        <w:t>T</w:t>
      </w:r>
      <w:r w:rsidRPr="003E3CE5">
        <w:rPr>
          <w:rFonts w:ascii="Arial" w:hAnsi="Arial" w:cs="Arial"/>
          <w:lang w:val="en-US"/>
        </w:rPr>
        <w:t xml:space="preserve">he establishment </w:t>
      </w:r>
      <w:r>
        <w:rPr>
          <w:rFonts w:ascii="Arial" w:hAnsi="Arial" w:cs="Arial"/>
          <w:lang w:val="en-US"/>
        </w:rPr>
        <w:t>of the OFHPA-related deferral and</w:t>
      </w:r>
      <w:r w:rsidRPr="003E3CE5">
        <w:rPr>
          <w:rFonts w:ascii="Arial" w:hAnsi="Arial" w:cs="Arial"/>
          <w:lang w:val="en-US"/>
        </w:rPr>
        <w:t xml:space="preserve"> variance account</w:t>
      </w:r>
      <w:r>
        <w:rPr>
          <w:rFonts w:ascii="Arial" w:hAnsi="Arial" w:cs="Arial"/>
          <w:lang w:val="en-US"/>
        </w:rPr>
        <w:t xml:space="preserve"> to be held by the Independent Electricity System Operator (IESO);</w:t>
      </w:r>
    </w:p>
    <w:p w:rsidR="0048070A" w:rsidRDefault="0048070A" w:rsidP="006C63AE">
      <w:pPr>
        <w:pStyle w:val="ListParagraph"/>
        <w:numPr>
          <w:ilvl w:val="0"/>
          <w:numId w:val="63"/>
        </w:numPr>
        <w:rPr>
          <w:rFonts w:ascii="Arial" w:hAnsi="Arial" w:cs="Arial"/>
          <w:lang w:val="en-US"/>
        </w:rPr>
      </w:pPr>
      <w:r>
        <w:rPr>
          <w:rFonts w:ascii="Arial" w:hAnsi="Arial" w:cs="Arial"/>
          <w:lang w:val="en-US"/>
        </w:rPr>
        <w:t xml:space="preserve">The definition and details regarding  the “funding obligation” which relates to the recovery of moneys borrowed by OPG/SPV to fund GA refinancing; </w:t>
      </w:r>
    </w:p>
    <w:p w:rsidR="0048070A" w:rsidRDefault="0048070A" w:rsidP="006C63AE">
      <w:pPr>
        <w:pStyle w:val="ListParagraph"/>
        <w:numPr>
          <w:ilvl w:val="0"/>
          <w:numId w:val="63"/>
        </w:numPr>
        <w:rPr>
          <w:rFonts w:ascii="Arial" w:hAnsi="Arial" w:cs="Arial"/>
          <w:lang w:val="en-US"/>
        </w:rPr>
      </w:pPr>
      <w:r>
        <w:rPr>
          <w:rFonts w:ascii="Arial" w:hAnsi="Arial" w:cs="Arial"/>
          <w:lang w:val="en-US"/>
        </w:rPr>
        <w:t xml:space="preserve">Methodology related to the calculation of the Clean Energy Adjustment  (i.e., the total amount payable by electricity consumers each reference period); </w:t>
      </w:r>
    </w:p>
    <w:p w:rsidR="0048070A" w:rsidRDefault="0048070A" w:rsidP="006C63AE">
      <w:pPr>
        <w:pStyle w:val="ListParagraph"/>
        <w:numPr>
          <w:ilvl w:val="0"/>
          <w:numId w:val="63"/>
        </w:numPr>
        <w:rPr>
          <w:rFonts w:ascii="Arial" w:hAnsi="Arial" w:cs="Arial"/>
          <w:lang w:val="en-US"/>
        </w:rPr>
      </w:pPr>
      <w:r>
        <w:rPr>
          <w:rFonts w:ascii="Arial" w:hAnsi="Arial" w:cs="Arial"/>
          <w:lang w:val="en-US"/>
        </w:rPr>
        <w:t>Determination of rates and amounts related to the recovery of the Clean Energy Adjustment under which regulated rate consumers must be invoiced and which must be used in the calculation of rates for non-regulated consumers;</w:t>
      </w:r>
    </w:p>
    <w:p w:rsidR="0048070A" w:rsidRDefault="0048070A" w:rsidP="006C63AE">
      <w:pPr>
        <w:pStyle w:val="ListParagraph"/>
        <w:numPr>
          <w:ilvl w:val="0"/>
          <w:numId w:val="63"/>
        </w:numPr>
        <w:rPr>
          <w:rFonts w:ascii="Arial" w:hAnsi="Arial" w:cs="Arial"/>
          <w:lang w:val="en-US"/>
        </w:rPr>
      </w:pPr>
      <w:r>
        <w:rPr>
          <w:rFonts w:ascii="Arial" w:hAnsi="Arial" w:cs="Arial"/>
          <w:lang w:val="en-US"/>
        </w:rPr>
        <w:t>Requirements on the IESO, LDCs, retailers and unit sub-meter providers (USMPs) in relation to the collection of amounts in respect of the Clean Energy Adjustment from electricity consumers;</w:t>
      </w:r>
    </w:p>
    <w:p w:rsidR="0048070A" w:rsidRDefault="0048070A" w:rsidP="006C63AE">
      <w:pPr>
        <w:pStyle w:val="ListParagraph"/>
        <w:numPr>
          <w:ilvl w:val="0"/>
          <w:numId w:val="63"/>
        </w:numPr>
        <w:rPr>
          <w:rFonts w:ascii="Arial" w:hAnsi="Arial" w:cs="Arial"/>
          <w:lang w:val="en-US"/>
        </w:rPr>
      </w:pPr>
      <w:r>
        <w:rPr>
          <w:rFonts w:ascii="Arial" w:hAnsi="Arial" w:cs="Arial"/>
          <w:lang w:val="en-US"/>
        </w:rPr>
        <w:t>OEB’s role in the review of fees incurred by Financial Service Manager (i.e., the fees related to the ongoing operation of the Financial Services Manager during the period of GA Refinancing);</w:t>
      </w:r>
    </w:p>
    <w:p w:rsidR="0048070A" w:rsidRDefault="0048070A" w:rsidP="006C63AE">
      <w:pPr>
        <w:pStyle w:val="ListParagraph"/>
        <w:numPr>
          <w:ilvl w:val="0"/>
          <w:numId w:val="63"/>
        </w:numPr>
        <w:rPr>
          <w:rFonts w:ascii="Arial" w:hAnsi="Arial" w:cs="Arial"/>
          <w:lang w:val="en-US"/>
        </w:rPr>
      </w:pPr>
      <w:r>
        <w:rPr>
          <w:rFonts w:ascii="Arial" w:hAnsi="Arial" w:cs="Arial"/>
          <w:lang w:val="en-US"/>
        </w:rPr>
        <w:t>Details related to the methodology</w:t>
      </w:r>
      <w:r w:rsidRPr="003E3CE5">
        <w:rPr>
          <w:rFonts w:ascii="Arial" w:hAnsi="Arial" w:cs="Arial"/>
          <w:lang w:val="en-US"/>
        </w:rPr>
        <w:t xml:space="preserve"> t</w:t>
      </w:r>
      <w:r>
        <w:rPr>
          <w:rFonts w:ascii="Arial" w:hAnsi="Arial" w:cs="Arial"/>
          <w:lang w:val="en-US"/>
        </w:rPr>
        <w:t>o be used by the</w:t>
      </w:r>
      <w:r w:rsidRPr="003E3CE5">
        <w:rPr>
          <w:rFonts w:ascii="Arial" w:hAnsi="Arial" w:cs="Arial"/>
          <w:lang w:val="en-US"/>
        </w:rPr>
        <w:t xml:space="preserve"> Minister in the calculation of the Fair Allocation amount</w:t>
      </w:r>
      <w:r>
        <w:rPr>
          <w:rFonts w:ascii="Arial" w:hAnsi="Arial" w:cs="Arial"/>
          <w:lang w:val="en-US"/>
        </w:rPr>
        <w:t xml:space="preserve"> (i.e.</w:t>
      </w:r>
      <w:r w:rsidRPr="003E3CE5">
        <w:t xml:space="preserve"> </w:t>
      </w:r>
      <w:r>
        <w:rPr>
          <w:rFonts w:ascii="Arial" w:hAnsi="Arial" w:cs="Arial"/>
          <w:lang w:val="en-US"/>
        </w:rPr>
        <w:t>a calculation of the</w:t>
      </w:r>
      <w:r w:rsidRPr="003E3CE5">
        <w:rPr>
          <w:rFonts w:ascii="Arial" w:hAnsi="Arial" w:cs="Arial"/>
          <w:lang w:val="en-US"/>
        </w:rPr>
        <w:t xml:space="preserve"> fair allocation of clean energy costs over time</w:t>
      </w:r>
      <w:r>
        <w:rPr>
          <w:rFonts w:ascii="Arial" w:hAnsi="Arial" w:cs="Arial"/>
          <w:lang w:val="en-US"/>
        </w:rPr>
        <w:t>);</w:t>
      </w:r>
    </w:p>
    <w:p w:rsidR="0048070A" w:rsidRDefault="0048070A" w:rsidP="006C63AE">
      <w:pPr>
        <w:pStyle w:val="ListParagraph"/>
        <w:numPr>
          <w:ilvl w:val="0"/>
          <w:numId w:val="63"/>
        </w:numPr>
        <w:rPr>
          <w:rFonts w:ascii="Arial" w:hAnsi="Arial" w:cs="Arial"/>
          <w:lang w:val="en-US"/>
        </w:rPr>
      </w:pPr>
      <w:r>
        <w:rPr>
          <w:rFonts w:ascii="Arial" w:hAnsi="Arial" w:cs="Arial"/>
          <w:lang w:val="en-US"/>
        </w:rPr>
        <w:t>F</w:t>
      </w:r>
      <w:r w:rsidRPr="003E3CE5">
        <w:rPr>
          <w:rFonts w:ascii="Arial" w:hAnsi="Arial" w:cs="Arial"/>
          <w:lang w:val="en-US"/>
        </w:rPr>
        <w:t>urther criteria related to the development and implementation of the Financing Plan by the Financial Services Manager.</w:t>
      </w:r>
    </w:p>
    <w:p w:rsidR="0048070A" w:rsidRPr="00AD1460" w:rsidRDefault="0048070A" w:rsidP="00AD1460">
      <w:pPr>
        <w:rPr>
          <w:rFonts w:ascii="Arial" w:hAnsi="Arial"/>
          <w:u w:val="single"/>
          <w:lang w:val="en-US"/>
        </w:rPr>
      </w:pPr>
    </w:p>
    <w:p w:rsidR="005001D3" w:rsidRDefault="005001D3" w:rsidP="00466FBD">
      <w:pPr>
        <w:rPr>
          <w:rFonts w:ascii="Arial" w:hAnsi="Arial" w:cs="Arial"/>
          <w:lang w:val="en-US"/>
        </w:rPr>
      </w:pPr>
    </w:p>
    <w:p w:rsidR="005001D3" w:rsidRPr="00CE63C3" w:rsidRDefault="005001D3" w:rsidP="005001D3">
      <w:pPr>
        <w:rPr>
          <w:rFonts w:ascii="Arial" w:hAnsi="Arial" w:cs="Arial"/>
          <w:i/>
          <w:lang w:val="en-US"/>
        </w:rPr>
      </w:pPr>
      <w:r w:rsidRPr="00581020">
        <w:rPr>
          <w:rFonts w:ascii="Arial" w:hAnsi="Arial" w:cs="Arial"/>
          <w:u w:val="single"/>
          <w:lang w:val="en-US"/>
        </w:rPr>
        <w:t>Ontario Electricity Support Program (OESP</w:t>
      </w:r>
      <w:r w:rsidRPr="00581020">
        <w:rPr>
          <w:rFonts w:ascii="Arial" w:hAnsi="Arial" w:cs="Arial"/>
          <w:lang w:val="en-US"/>
        </w:rPr>
        <w:t>)</w:t>
      </w:r>
    </w:p>
    <w:p w:rsidR="005001D3" w:rsidRPr="00CE63C3" w:rsidRDefault="005001D3" w:rsidP="005001D3">
      <w:pPr>
        <w:rPr>
          <w:rFonts w:ascii="Arial" w:hAnsi="Arial" w:cs="Arial"/>
          <w:i/>
          <w:lang w:val="en-US"/>
        </w:rPr>
      </w:pPr>
    </w:p>
    <w:p w:rsidR="005001D3" w:rsidRPr="00CE63C3" w:rsidRDefault="005001D3" w:rsidP="005001D3">
      <w:pPr>
        <w:rPr>
          <w:rFonts w:ascii="Arial" w:hAnsi="Arial" w:cs="Arial"/>
          <w:lang w:val="en-US"/>
        </w:rPr>
      </w:pPr>
      <w:r w:rsidRPr="00CE63C3">
        <w:rPr>
          <w:rFonts w:ascii="Arial" w:hAnsi="Arial" w:cs="Arial"/>
          <w:lang w:val="en-US"/>
        </w:rPr>
        <w:t xml:space="preserve">The OESP launched on January 1, 2016.  By the end of </w:t>
      </w:r>
      <w:r w:rsidR="00041BC1">
        <w:rPr>
          <w:rFonts w:ascii="Arial" w:hAnsi="Arial" w:cs="Arial"/>
          <w:lang w:val="en-US"/>
        </w:rPr>
        <w:t xml:space="preserve">May </w:t>
      </w:r>
      <w:r w:rsidR="00041BC1" w:rsidRPr="00CE63C3">
        <w:rPr>
          <w:rFonts w:ascii="Arial" w:hAnsi="Arial" w:cs="Arial"/>
          <w:lang w:val="en-US"/>
        </w:rPr>
        <w:t>2017</w:t>
      </w:r>
      <w:r w:rsidRPr="00CE63C3">
        <w:rPr>
          <w:rFonts w:ascii="Arial" w:hAnsi="Arial" w:cs="Arial"/>
          <w:lang w:val="en-US"/>
        </w:rPr>
        <w:t>:</w:t>
      </w:r>
    </w:p>
    <w:p w:rsidR="005001D3" w:rsidRPr="00CE63C3" w:rsidRDefault="005001D3" w:rsidP="005001D3">
      <w:pPr>
        <w:rPr>
          <w:rFonts w:ascii="Arial" w:hAnsi="Arial" w:cs="Arial"/>
          <w:lang w:val="en-US"/>
        </w:rPr>
      </w:pPr>
    </w:p>
    <w:p w:rsidR="005001D3" w:rsidRPr="00CE63C3" w:rsidRDefault="005001D3" w:rsidP="005001D3">
      <w:pPr>
        <w:pStyle w:val="ListParagraph"/>
        <w:numPr>
          <w:ilvl w:val="0"/>
          <w:numId w:val="16"/>
        </w:numPr>
        <w:rPr>
          <w:rFonts w:ascii="Arial" w:hAnsi="Arial" w:cs="Arial"/>
          <w:lang w:val="en-US"/>
        </w:rPr>
      </w:pPr>
      <w:r w:rsidRPr="00CE63C3">
        <w:rPr>
          <w:rFonts w:ascii="Arial" w:hAnsi="Arial" w:cs="Arial"/>
          <w:lang w:val="en-US"/>
        </w:rPr>
        <w:t xml:space="preserve">Almost </w:t>
      </w:r>
      <w:r w:rsidR="005410CF">
        <w:rPr>
          <w:rFonts w:ascii="Arial" w:hAnsi="Arial" w:cs="Arial"/>
          <w:lang w:val="en-US"/>
        </w:rPr>
        <w:t>200, 000</w:t>
      </w:r>
      <w:r w:rsidRPr="00CE63C3">
        <w:rPr>
          <w:rFonts w:ascii="Arial" w:hAnsi="Arial" w:cs="Arial"/>
          <w:lang w:val="en-US"/>
        </w:rPr>
        <w:t xml:space="preserve"> have been enrolled in the program, which is approximately </w:t>
      </w:r>
      <w:r w:rsidR="005410CF">
        <w:rPr>
          <w:rFonts w:ascii="Arial" w:hAnsi="Arial" w:cs="Arial"/>
          <w:lang w:val="en-US"/>
        </w:rPr>
        <w:t>35%</w:t>
      </w:r>
      <w:r w:rsidRPr="00CE63C3">
        <w:rPr>
          <w:rFonts w:ascii="Arial" w:hAnsi="Arial" w:cs="Arial"/>
          <w:lang w:val="en-US"/>
        </w:rPr>
        <w:t xml:space="preserve"> of all potentially eligible low-income customers in Ontario.</w:t>
      </w:r>
    </w:p>
    <w:p w:rsidR="005001D3" w:rsidRPr="00CE63C3" w:rsidRDefault="005001D3" w:rsidP="005001D3">
      <w:pPr>
        <w:ind w:left="720"/>
        <w:rPr>
          <w:rFonts w:ascii="Arial" w:hAnsi="Arial" w:cs="Arial"/>
          <w:lang w:val="en-US"/>
        </w:rPr>
      </w:pPr>
    </w:p>
    <w:p w:rsidR="005001D3" w:rsidRPr="00CE63C3" w:rsidRDefault="005001D3" w:rsidP="005001D3">
      <w:pPr>
        <w:pStyle w:val="ListParagraph"/>
        <w:numPr>
          <w:ilvl w:val="0"/>
          <w:numId w:val="16"/>
        </w:numPr>
        <w:rPr>
          <w:rFonts w:ascii="Arial" w:hAnsi="Arial" w:cs="Arial"/>
          <w:lang w:val="en-US"/>
        </w:rPr>
      </w:pPr>
      <w:r w:rsidRPr="00CE63C3">
        <w:rPr>
          <w:rFonts w:ascii="Arial" w:hAnsi="Arial" w:cs="Arial"/>
          <w:lang w:val="en-US"/>
        </w:rPr>
        <w:t>Over $60 million in credits have been provided to vulnerable consumers.</w:t>
      </w:r>
    </w:p>
    <w:p w:rsidR="005001D3" w:rsidRPr="00CE63C3" w:rsidRDefault="005001D3" w:rsidP="005001D3">
      <w:pPr>
        <w:pStyle w:val="ListParagraph"/>
        <w:rPr>
          <w:rFonts w:ascii="Arial" w:hAnsi="Arial" w:cs="Arial"/>
          <w:lang w:val="en-US"/>
        </w:rPr>
      </w:pPr>
    </w:p>
    <w:p w:rsidR="005001D3" w:rsidRPr="00CE63C3" w:rsidRDefault="005001D3" w:rsidP="005001D3">
      <w:pPr>
        <w:pStyle w:val="ListParagraph"/>
        <w:numPr>
          <w:ilvl w:val="0"/>
          <w:numId w:val="16"/>
        </w:numPr>
        <w:rPr>
          <w:rFonts w:ascii="Arial" w:hAnsi="Arial" w:cs="Arial"/>
          <w:lang w:val="en-US"/>
        </w:rPr>
      </w:pPr>
      <w:r w:rsidRPr="00CE63C3">
        <w:rPr>
          <w:rFonts w:ascii="Arial" w:hAnsi="Arial" w:cs="Arial"/>
          <w:lang w:val="en-US"/>
        </w:rPr>
        <w:t>172 intake agencies have been mobilized to assist low income consumers to apply for the OESP.</w:t>
      </w:r>
    </w:p>
    <w:p w:rsidR="004472EC" w:rsidRDefault="004472EC" w:rsidP="00466FBD">
      <w:pPr>
        <w:rPr>
          <w:rFonts w:ascii="Arial" w:hAnsi="Arial" w:cs="Arial"/>
        </w:rPr>
      </w:pPr>
    </w:p>
    <w:p w:rsidR="00CB3896" w:rsidRPr="00CE63C3" w:rsidRDefault="00CB3896" w:rsidP="00466FBD">
      <w:pPr>
        <w:rPr>
          <w:rFonts w:ascii="Arial" w:hAnsi="Arial" w:cs="Arial"/>
        </w:rPr>
      </w:pPr>
    </w:p>
    <w:p w:rsidR="00466FBD" w:rsidRPr="00CE63C3" w:rsidRDefault="00466FBD" w:rsidP="00A72B61">
      <w:pPr>
        <w:pStyle w:val="ListParagraph"/>
        <w:numPr>
          <w:ilvl w:val="0"/>
          <w:numId w:val="2"/>
        </w:numPr>
        <w:spacing w:before="120"/>
        <w:outlineLvl w:val="0"/>
        <w:rPr>
          <w:rFonts w:ascii="Helvetica" w:hAnsi="Helvetica" w:cs="Arial"/>
          <w:b/>
          <w:caps/>
        </w:rPr>
      </w:pPr>
      <w:r w:rsidRPr="00CE63C3">
        <w:rPr>
          <w:rFonts w:ascii="Helvetica" w:hAnsi="Helvetica" w:cs="Arial"/>
          <w:b/>
          <w:caps/>
        </w:rPr>
        <w:tab/>
        <w:t>timing</w:t>
      </w:r>
      <w:r w:rsidR="00B157F5">
        <w:rPr>
          <w:rFonts w:ascii="Helvetica" w:hAnsi="Helvetica" w:cs="Arial"/>
          <w:b/>
          <w:caps/>
        </w:rPr>
        <w:t xml:space="preserve"> </w:t>
      </w:r>
    </w:p>
    <w:p w:rsidR="009A40ED" w:rsidRPr="00CE63C3" w:rsidRDefault="009A40ED" w:rsidP="00355075">
      <w:pPr>
        <w:rPr>
          <w:rFonts w:ascii="Arial" w:hAnsi="Arial" w:cs="Arial"/>
          <w:lang w:val="en-US"/>
        </w:rPr>
      </w:pPr>
    </w:p>
    <w:p w:rsidR="001D695C" w:rsidRPr="00CE63C3" w:rsidRDefault="00631246" w:rsidP="00AD1460">
      <w:pPr>
        <w:ind w:left="360"/>
        <w:rPr>
          <w:rFonts w:ascii="Arial" w:hAnsi="Arial" w:cs="Arial"/>
        </w:rPr>
      </w:pPr>
      <w:r w:rsidRPr="00631246">
        <w:rPr>
          <w:rFonts w:ascii="Arial" w:hAnsi="Arial" w:cs="Arial"/>
        </w:rPr>
        <w:t xml:space="preserve">Under the </w:t>
      </w:r>
      <w:r w:rsidRPr="00261893">
        <w:rPr>
          <w:rFonts w:ascii="Arial" w:hAnsi="Arial" w:cs="Arial"/>
          <w:i/>
        </w:rPr>
        <w:t>OFHPA</w:t>
      </w:r>
      <w:r w:rsidRPr="00631246">
        <w:rPr>
          <w:rFonts w:ascii="Arial" w:hAnsi="Arial" w:cs="Arial"/>
        </w:rPr>
        <w:t>, a portion of the GA will be refinanced in order to fairly allocate costs across present and future generations of electricity consumers with respect to investments made to decarbonize (i.e., phase-out coal) and modernize Ontario’s electricity system (i.e., build and maintain a reliable electricity system).</w:t>
      </w:r>
    </w:p>
    <w:p w:rsidR="005F1F8A" w:rsidRPr="00CE63C3" w:rsidRDefault="005F1F8A" w:rsidP="005F1F8A">
      <w:pPr>
        <w:rPr>
          <w:rFonts w:ascii="Arial" w:hAnsi="Arial" w:cs="Arial"/>
          <w:lang w:eastAsia="en-US"/>
        </w:rPr>
      </w:pPr>
    </w:p>
    <w:p w:rsidR="005F1F8A" w:rsidRDefault="005F1F8A" w:rsidP="005F1F8A">
      <w:pPr>
        <w:ind w:left="360"/>
        <w:rPr>
          <w:rFonts w:ascii="Arial" w:hAnsi="Arial" w:cs="Arial"/>
          <w:lang w:eastAsia="en-US"/>
        </w:rPr>
      </w:pPr>
      <w:r w:rsidRPr="00543A8C">
        <w:rPr>
          <w:rFonts w:ascii="Arial" w:hAnsi="Arial" w:cs="Arial"/>
          <w:lang w:eastAsia="en-US"/>
        </w:rPr>
        <w:t>Some of Ontario’s Fair Hydro Plan commitments for the OESP came into effect on May 1, 2017 (e.g., removal of the OESP charge from customer bills; expanding credit amounts and program eligibility).  Remaining changes associated with moving the program from the rate-base to the tax-base will be proclaimed at a later date when the OESP variance account is depleted.  Additional regulatory amendments needed to implement this legislative change will come into effect on the same date.</w:t>
      </w:r>
    </w:p>
    <w:p w:rsidR="00606354" w:rsidRDefault="00606354" w:rsidP="005F1F8A">
      <w:pPr>
        <w:ind w:left="360"/>
        <w:rPr>
          <w:rFonts w:ascii="Arial" w:hAnsi="Arial" w:cs="Arial"/>
          <w:lang w:eastAsia="en-US"/>
        </w:rPr>
      </w:pPr>
    </w:p>
    <w:p w:rsidR="003B1E5C" w:rsidRDefault="003B1E5C" w:rsidP="00261893">
      <w:pPr>
        <w:ind w:left="360"/>
        <w:rPr>
          <w:rFonts w:ascii="Arial" w:hAnsi="Arial" w:cs="Arial"/>
        </w:rPr>
      </w:pPr>
      <w:r w:rsidRPr="003B1E5C">
        <w:rPr>
          <w:rFonts w:ascii="Arial" w:hAnsi="Arial" w:cs="Arial"/>
        </w:rPr>
        <w:t>Further work to enable G</w:t>
      </w:r>
      <w:r w:rsidR="0048070A">
        <w:rPr>
          <w:rFonts w:ascii="Arial" w:hAnsi="Arial" w:cs="Arial"/>
        </w:rPr>
        <w:t>A refinancing to be undertaken Summer/F</w:t>
      </w:r>
      <w:r w:rsidRPr="003B1E5C">
        <w:rPr>
          <w:rFonts w:ascii="Arial" w:hAnsi="Arial" w:cs="Arial"/>
        </w:rPr>
        <w:t>all</w:t>
      </w:r>
      <w:r w:rsidR="0048070A">
        <w:rPr>
          <w:rFonts w:ascii="Arial" w:hAnsi="Arial" w:cs="Arial"/>
        </w:rPr>
        <w:t xml:space="preserve"> 2017</w:t>
      </w:r>
      <w:r w:rsidRPr="003B1E5C">
        <w:rPr>
          <w:rFonts w:ascii="Arial" w:hAnsi="Arial" w:cs="Arial"/>
        </w:rPr>
        <w:t>:</w:t>
      </w:r>
    </w:p>
    <w:p w:rsidR="003B1E5C" w:rsidRPr="003B1E5C" w:rsidRDefault="003B1E5C" w:rsidP="00261893">
      <w:pPr>
        <w:ind w:left="360"/>
        <w:rPr>
          <w:rFonts w:ascii="Arial" w:hAnsi="Arial" w:cs="Arial"/>
        </w:rPr>
      </w:pPr>
    </w:p>
    <w:p w:rsidR="003B1E5C" w:rsidRPr="003B1E5C" w:rsidRDefault="003B1E5C" w:rsidP="006C63AE">
      <w:pPr>
        <w:pStyle w:val="ListParagraph"/>
        <w:numPr>
          <w:ilvl w:val="0"/>
          <w:numId w:val="64"/>
        </w:numPr>
        <w:spacing w:after="200"/>
        <w:ind w:right="108"/>
        <w:contextualSpacing w:val="0"/>
        <w:rPr>
          <w:rFonts w:ascii="Arial" w:hAnsi="Arial" w:cs="Arial"/>
        </w:rPr>
      </w:pPr>
      <w:r w:rsidRPr="003B1E5C">
        <w:rPr>
          <w:rFonts w:ascii="Arial" w:hAnsi="Arial" w:cs="Arial"/>
        </w:rPr>
        <w:t>Minister to determine the Fair Allocation Amount for each reference period;</w:t>
      </w:r>
    </w:p>
    <w:p w:rsidR="003B1E5C" w:rsidRPr="003B1E5C" w:rsidRDefault="003B1E5C" w:rsidP="006C63AE">
      <w:pPr>
        <w:pStyle w:val="ListParagraph"/>
        <w:numPr>
          <w:ilvl w:val="0"/>
          <w:numId w:val="64"/>
        </w:numPr>
        <w:spacing w:after="200"/>
        <w:ind w:right="108"/>
        <w:contextualSpacing w:val="0"/>
        <w:rPr>
          <w:rFonts w:ascii="Arial" w:hAnsi="Arial" w:cs="Arial"/>
        </w:rPr>
      </w:pPr>
      <w:r w:rsidRPr="003B1E5C">
        <w:rPr>
          <w:rFonts w:ascii="Arial" w:hAnsi="Arial" w:cs="Arial"/>
        </w:rPr>
        <w:t>OPG/SPV to produce Financing Plans that would set out funding obligations for each reference period consistent with the Fair Allocation Amount;</w:t>
      </w:r>
    </w:p>
    <w:p w:rsidR="003B1E5C" w:rsidRPr="003B1E5C" w:rsidRDefault="003B1E5C" w:rsidP="006C63AE">
      <w:pPr>
        <w:pStyle w:val="ListParagraph"/>
        <w:numPr>
          <w:ilvl w:val="0"/>
          <w:numId w:val="64"/>
        </w:numPr>
        <w:spacing w:after="200"/>
        <w:ind w:right="108"/>
        <w:contextualSpacing w:val="0"/>
        <w:rPr>
          <w:rFonts w:ascii="Arial" w:hAnsi="Arial" w:cs="Arial"/>
        </w:rPr>
      </w:pPr>
      <w:r w:rsidRPr="003B1E5C">
        <w:rPr>
          <w:rFonts w:ascii="Arial" w:hAnsi="Arial" w:cs="Arial"/>
        </w:rPr>
        <w:t>IESO to record deferral amounts and establish the regulatory asset;</w:t>
      </w:r>
    </w:p>
    <w:p w:rsidR="003B1E5C" w:rsidRPr="003B1E5C" w:rsidRDefault="003B1E5C" w:rsidP="006C63AE">
      <w:pPr>
        <w:pStyle w:val="ListParagraph"/>
        <w:numPr>
          <w:ilvl w:val="0"/>
          <w:numId w:val="64"/>
        </w:numPr>
        <w:spacing w:after="200"/>
        <w:ind w:right="108"/>
        <w:contextualSpacing w:val="0"/>
        <w:rPr>
          <w:rFonts w:ascii="Arial" w:hAnsi="Arial" w:cs="Arial"/>
        </w:rPr>
      </w:pPr>
      <w:r w:rsidRPr="003B1E5C">
        <w:rPr>
          <w:rFonts w:ascii="Arial" w:hAnsi="Arial" w:cs="Arial"/>
        </w:rPr>
        <w:t>OPG/SPV to begin purchasing of investment asset; and</w:t>
      </w:r>
    </w:p>
    <w:p w:rsidR="00355075" w:rsidRDefault="003B1E5C" w:rsidP="00C05B4C">
      <w:pPr>
        <w:pStyle w:val="ListParagraph"/>
        <w:numPr>
          <w:ilvl w:val="0"/>
          <w:numId w:val="64"/>
        </w:numPr>
        <w:spacing w:after="200"/>
        <w:ind w:right="108"/>
        <w:contextualSpacing w:val="0"/>
        <w:rPr>
          <w:rFonts w:ascii="Arial" w:hAnsi="Arial" w:cs="Arial"/>
        </w:rPr>
      </w:pPr>
      <w:r w:rsidRPr="003B1E5C">
        <w:rPr>
          <w:rFonts w:ascii="Arial" w:hAnsi="Arial" w:cs="Arial"/>
        </w:rPr>
        <w:t>OPG to work with lenders and credit rating agencies in establishing the vehicles for selling of investment asset interests.</w:t>
      </w:r>
    </w:p>
    <w:p w:rsidR="00543A8C" w:rsidRPr="00543A8C" w:rsidRDefault="00543A8C" w:rsidP="00543A8C">
      <w:pPr>
        <w:pStyle w:val="ListParagraph"/>
        <w:spacing w:after="200"/>
        <w:ind w:left="1080" w:right="108"/>
        <w:contextualSpacing w:val="0"/>
        <w:rPr>
          <w:rFonts w:ascii="Arial" w:hAnsi="Arial" w:cs="Arial"/>
        </w:rPr>
      </w:pPr>
    </w:p>
    <w:p w:rsidR="00466FBD" w:rsidRPr="00CE63C3" w:rsidRDefault="00466FBD" w:rsidP="0098082B">
      <w:pPr>
        <w:numPr>
          <w:ilvl w:val="0"/>
          <w:numId w:val="1"/>
        </w:numPr>
        <w:tabs>
          <w:tab w:val="clear" w:pos="360"/>
          <w:tab w:val="num" w:pos="0"/>
        </w:tabs>
        <w:spacing w:before="120"/>
        <w:ind w:left="0" w:hanging="720"/>
        <w:rPr>
          <w:rFonts w:ascii="Helvetica" w:hAnsi="Helvetica" w:cs="Arial"/>
          <w:b/>
          <w:caps/>
        </w:rPr>
      </w:pPr>
      <w:r w:rsidRPr="00CE63C3">
        <w:rPr>
          <w:rFonts w:ascii="Helvetica" w:hAnsi="Helvetica" w:cs="Arial"/>
          <w:b/>
          <w:caps/>
        </w:rPr>
        <w:t>financial impact</w:t>
      </w:r>
      <w:r w:rsidR="00B157F5">
        <w:rPr>
          <w:rFonts w:ascii="Helvetica" w:hAnsi="Helvetica" w:cs="Arial"/>
          <w:b/>
          <w:caps/>
        </w:rPr>
        <w:t xml:space="preserve"> </w:t>
      </w:r>
    </w:p>
    <w:p w:rsidR="00DA028B" w:rsidRPr="00CE63C3" w:rsidRDefault="00DA028B" w:rsidP="00DA028B">
      <w:pPr>
        <w:rPr>
          <w:rFonts w:ascii="Arial" w:hAnsi="Arial" w:cs="Arial"/>
          <w:sz w:val="22"/>
          <w:szCs w:val="22"/>
        </w:rPr>
      </w:pPr>
    </w:p>
    <w:p w:rsidR="00A24CE5" w:rsidRPr="00194B08" w:rsidRDefault="00DA028B" w:rsidP="00B517C1">
      <w:pPr>
        <w:pStyle w:val="ListParagraph"/>
        <w:numPr>
          <w:ilvl w:val="0"/>
          <w:numId w:val="6"/>
        </w:numPr>
        <w:rPr>
          <w:rFonts w:ascii="Arial" w:hAnsi="Arial" w:cs="Arial"/>
          <w:b/>
        </w:rPr>
      </w:pPr>
      <w:r w:rsidRPr="00CE63C3">
        <w:rPr>
          <w:rFonts w:ascii="Arial" w:hAnsi="Arial" w:cs="Arial"/>
          <w:b/>
        </w:rPr>
        <w:t>G</w:t>
      </w:r>
      <w:r w:rsidR="00506788" w:rsidRPr="00CE63C3">
        <w:rPr>
          <w:rFonts w:ascii="Arial" w:hAnsi="Arial" w:cs="Arial"/>
          <w:b/>
        </w:rPr>
        <w:t xml:space="preserve">A </w:t>
      </w:r>
      <w:r w:rsidRPr="00CE63C3">
        <w:rPr>
          <w:rFonts w:ascii="Arial" w:hAnsi="Arial" w:cs="Arial"/>
          <w:b/>
        </w:rPr>
        <w:t>Refinancing</w:t>
      </w:r>
      <w:r w:rsidR="009B3787" w:rsidRPr="00CE63C3">
        <w:rPr>
          <w:rFonts w:ascii="Arial" w:hAnsi="Arial" w:cs="Arial"/>
          <w:b/>
        </w:rPr>
        <w:t>:</w:t>
      </w:r>
      <w:r w:rsidR="00B157F5" w:rsidRPr="00B157F5">
        <w:rPr>
          <w:rFonts w:ascii="Helvetica" w:hAnsi="Helvetica" w:cs="Arial"/>
          <w:b/>
          <w:caps/>
        </w:rPr>
        <w:t xml:space="preserve"> </w:t>
      </w:r>
    </w:p>
    <w:p w:rsidR="00194B08" w:rsidRPr="00261893" w:rsidRDefault="00194B08" w:rsidP="00194B08">
      <w:pPr>
        <w:pStyle w:val="ListParagraph"/>
        <w:ind w:left="360"/>
        <w:rPr>
          <w:rFonts w:ascii="Arial" w:hAnsi="Arial" w:cs="Arial"/>
          <w:b/>
        </w:rPr>
      </w:pPr>
    </w:p>
    <w:p w:rsidR="00194B08" w:rsidRPr="004472EC" w:rsidRDefault="00606354" w:rsidP="004472EC">
      <w:pPr>
        <w:pStyle w:val="ListParagraph"/>
        <w:ind w:left="360"/>
        <w:rPr>
          <w:rFonts w:ascii="Arial" w:hAnsi="Arial" w:cs="Arial"/>
          <w:lang w:val="en-US"/>
        </w:rPr>
      </w:pPr>
      <w:r>
        <w:rPr>
          <w:rFonts w:ascii="Arial" w:hAnsi="Arial" w:cs="Arial"/>
          <w:lang w:val="en-US"/>
        </w:rPr>
        <w:t xml:space="preserve">The </w:t>
      </w:r>
      <w:r w:rsidR="00DE7B54">
        <w:rPr>
          <w:rFonts w:ascii="Arial" w:hAnsi="Arial" w:cs="Arial"/>
          <w:lang w:val="en-US"/>
        </w:rPr>
        <w:t>General</w:t>
      </w:r>
      <w:r>
        <w:rPr>
          <w:rFonts w:ascii="Arial" w:hAnsi="Arial" w:cs="Arial"/>
          <w:lang w:val="en-US"/>
        </w:rPr>
        <w:t xml:space="preserve"> regulation would </w:t>
      </w:r>
      <w:r w:rsidR="00DE7B54">
        <w:rPr>
          <w:rFonts w:ascii="Arial" w:hAnsi="Arial" w:cs="Arial"/>
          <w:lang w:val="en-US"/>
        </w:rPr>
        <w:t>support the implementation of</w:t>
      </w:r>
      <w:r w:rsidR="00A24CE5">
        <w:rPr>
          <w:rFonts w:ascii="Arial" w:hAnsi="Arial" w:cs="Arial"/>
          <w:lang w:val="en-US"/>
        </w:rPr>
        <w:t xml:space="preserve"> GA refinancing</w:t>
      </w:r>
      <w:r w:rsidR="00DE7B54">
        <w:rPr>
          <w:rFonts w:ascii="Arial" w:hAnsi="Arial" w:cs="Arial"/>
          <w:lang w:val="en-US"/>
        </w:rPr>
        <w:t xml:space="preserve">, including </w:t>
      </w:r>
      <w:r w:rsidR="001E1060">
        <w:rPr>
          <w:rFonts w:ascii="Arial" w:hAnsi="Arial" w:cs="Arial"/>
          <w:lang w:val="en-US"/>
        </w:rPr>
        <w:t>methodology, principles and assumptions related to various aspects of the initiative (e.g., fair allocation amount)</w:t>
      </w:r>
      <w:r w:rsidR="00A24CE5">
        <w:rPr>
          <w:rFonts w:ascii="Arial" w:hAnsi="Arial" w:cs="Arial"/>
          <w:lang w:val="en-US"/>
        </w:rPr>
        <w:t xml:space="preserve">. </w:t>
      </w:r>
      <w:r w:rsidR="00194B08">
        <w:rPr>
          <w:rFonts w:ascii="Arial" w:hAnsi="Arial" w:cs="Arial"/>
          <w:lang w:val="en-US"/>
        </w:rPr>
        <w:t xml:space="preserve"> </w:t>
      </w:r>
      <w:r w:rsidR="004048AC">
        <w:rPr>
          <w:rFonts w:ascii="Arial" w:hAnsi="Arial" w:cs="Arial"/>
          <w:lang w:val="en-US"/>
        </w:rPr>
        <w:t>By achieving the accounting treatment described in this</w:t>
      </w:r>
      <w:r w:rsidR="00235840">
        <w:rPr>
          <w:rFonts w:ascii="Arial" w:hAnsi="Arial" w:cs="Arial"/>
          <w:lang w:val="en-US"/>
        </w:rPr>
        <w:t>,</w:t>
      </w:r>
      <w:r w:rsidR="004048AC">
        <w:rPr>
          <w:rFonts w:ascii="Arial" w:hAnsi="Arial" w:cs="Arial"/>
          <w:lang w:val="en-US"/>
        </w:rPr>
        <w:t xml:space="preserve"> and previous</w:t>
      </w:r>
      <w:r w:rsidR="00235840">
        <w:rPr>
          <w:rFonts w:ascii="Arial" w:hAnsi="Arial" w:cs="Arial"/>
          <w:lang w:val="en-US"/>
        </w:rPr>
        <w:t>,</w:t>
      </w:r>
      <w:r w:rsidR="004048AC">
        <w:rPr>
          <w:rFonts w:ascii="Arial" w:hAnsi="Arial" w:cs="Arial"/>
          <w:lang w:val="en-US"/>
        </w:rPr>
        <w:t xml:space="preserve"> submissions, </w:t>
      </w:r>
      <w:r w:rsidR="00235840">
        <w:rPr>
          <w:rFonts w:ascii="Arial" w:hAnsi="Arial" w:cs="Arial"/>
          <w:lang w:val="en-US"/>
        </w:rPr>
        <w:t>the initiative i</w:t>
      </w:r>
      <w:r w:rsidR="004048AC">
        <w:rPr>
          <w:rFonts w:ascii="Arial" w:hAnsi="Arial" w:cs="Arial"/>
          <w:lang w:val="en-US"/>
        </w:rPr>
        <w:t>s</w:t>
      </w:r>
      <w:r w:rsidR="00235840">
        <w:rPr>
          <w:rFonts w:ascii="Arial" w:hAnsi="Arial" w:cs="Arial"/>
          <w:lang w:val="en-US"/>
        </w:rPr>
        <w:t xml:space="preserve"> </w:t>
      </w:r>
      <w:r w:rsidR="00CF5035">
        <w:rPr>
          <w:rFonts w:ascii="Arial" w:hAnsi="Arial" w:cs="Arial"/>
          <w:lang w:val="en-US"/>
        </w:rPr>
        <w:t xml:space="preserve">not </w:t>
      </w:r>
      <w:r w:rsidR="004048AC">
        <w:rPr>
          <w:rFonts w:ascii="Arial" w:hAnsi="Arial" w:cs="Arial"/>
          <w:lang w:val="en-US"/>
        </w:rPr>
        <w:t xml:space="preserve">expected to have </w:t>
      </w:r>
      <w:r w:rsidR="00CF5035">
        <w:rPr>
          <w:rFonts w:ascii="Arial" w:hAnsi="Arial" w:cs="Arial"/>
          <w:lang w:val="en-US"/>
        </w:rPr>
        <w:t xml:space="preserve">a </w:t>
      </w:r>
      <w:r w:rsidR="00A24CE5">
        <w:rPr>
          <w:rFonts w:ascii="Arial" w:hAnsi="Arial" w:cs="Arial"/>
          <w:lang w:val="en-US"/>
        </w:rPr>
        <w:t>financial impact.</w:t>
      </w:r>
    </w:p>
    <w:p w:rsidR="00194B08" w:rsidRPr="00CE63C3" w:rsidRDefault="00194B08" w:rsidP="00261893">
      <w:pPr>
        <w:pStyle w:val="ListParagraph"/>
        <w:ind w:left="360"/>
        <w:rPr>
          <w:rFonts w:ascii="Arial" w:hAnsi="Arial" w:cs="Arial"/>
          <w:b/>
          <w:lang w:val="en-US"/>
        </w:rPr>
      </w:pPr>
    </w:p>
    <w:p w:rsidR="009B3787" w:rsidRPr="00CE63C3" w:rsidRDefault="009B3787" w:rsidP="00B517C1">
      <w:pPr>
        <w:pStyle w:val="ListParagraph"/>
        <w:numPr>
          <w:ilvl w:val="0"/>
          <w:numId w:val="7"/>
        </w:numPr>
        <w:rPr>
          <w:rFonts w:ascii="Arial" w:hAnsi="Arial" w:cs="Arial"/>
          <w:b/>
          <w:lang w:val="en-US"/>
        </w:rPr>
      </w:pPr>
      <w:r w:rsidRPr="00CE63C3">
        <w:rPr>
          <w:rFonts w:ascii="Arial" w:hAnsi="Arial" w:cs="Arial"/>
          <w:b/>
          <w:lang w:val="en-US"/>
        </w:rPr>
        <w:t>Social Programs:</w:t>
      </w:r>
      <w:r w:rsidR="00B157F5">
        <w:rPr>
          <w:rFonts w:ascii="Arial" w:hAnsi="Arial" w:cs="Arial"/>
          <w:b/>
          <w:lang w:val="en-US"/>
        </w:rPr>
        <w:t xml:space="preserve"> </w:t>
      </w:r>
    </w:p>
    <w:p w:rsidR="00987BFC" w:rsidRPr="00CE63C3" w:rsidRDefault="00987BFC" w:rsidP="009B3787">
      <w:pPr>
        <w:rPr>
          <w:rFonts w:ascii="Arial" w:hAnsi="Arial" w:cs="Arial"/>
        </w:rPr>
      </w:pPr>
    </w:p>
    <w:p w:rsidR="00B079D6" w:rsidRDefault="00B079D6" w:rsidP="00230F59">
      <w:pPr>
        <w:ind w:left="360"/>
        <w:rPr>
          <w:rFonts w:ascii="Arial" w:hAnsi="Arial" w:cs="Arial"/>
          <w:lang w:val="en-US"/>
        </w:rPr>
      </w:pPr>
      <w:r w:rsidRPr="00B079D6">
        <w:rPr>
          <w:rFonts w:ascii="Arial" w:hAnsi="Arial" w:cs="Arial"/>
          <w:lang w:val="en-US"/>
        </w:rPr>
        <w:t xml:space="preserve">Cost impacts for the amending O. Reg. 314/15 are expected to be negligible. There is significant overlap between the financial eligibility for the OESP and other social assistance programs, resulting in very few occurrences where SA clients do not meet the current OESP eligibility requirements.  </w:t>
      </w:r>
    </w:p>
    <w:p w:rsidR="00B079D6" w:rsidRDefault="00B079D6" w:rsidP="00230F59">
      <w:pPr>
        <w:ind w:left="360"/>
        <w:rPr>
          <w:rFonts w:ascii="Arial" w:hAnsi="Arial" w:cs="Arial"/>
          <w:lang w:val="en-US"/>
        </w:rPr>
      </w:pPr>
    </w:p>
    <w:p w:rsidR="00230F59" w:rsidRPr="00CE63C3" w:rsidRDefault="00865E76" w:rsidP="00230F59">
      <w:pPr>
        <w:ind w:left="360"/>
        <w:rPr>
          <w:rFonts w:ascii="Arial" w:hAnsi="Arial" w:cs="Arial"/>
          <w:lang w:val="en-US"/>
        </w:rPr>
      </w:pPr>
      <w:r>
        <w:rPr>
          <w:rFonts w:ascii="Arial" w:hAnsi="Arial" w:cs="Arial"/>
          <w:lang w:val="en-US"/>
        </w:rPr>
        <w:t>As reported in the TB/MBC submission of May 9, 2017 and a</w:t>
      </w:r>
      <w:r w:rsidR="005108C9" w:rsidRPr="00CE63C3">
        <w:rPr>
          <w:rFonts w:ascii="Arial" w:hAnsi="Arial" w:cs="Arial"/>
          <w:lang w:val="en-US"/>
        </w:rPr>
        <w:t>s approved in the TB/MBC submission of Ma</w:t>
      </w:r>
      <w:r w:rsidR="000845F3">
        <w:rPr>
          <w:rFonts w:ascii="Arial" w:hAnsi="Arial" w:cs="Arial"/>
          <w:lang w:val="en-US"/>
        </w:rPr>
        <w:t>r</w:t>
      </w:r>
      <w:r w:rsidR="005108C9" w:rsidRPr="00CE63C3">
        <w:rPr>
          <w:rFonts w:ascii="Arial" w:hAnsi="Arial" w:cs="Arial"/>
          <w:lang w:val="en-US"/>
        </w:rPr>
        <w:t>ch 1, 2017 and confirmed in Vote-Item 2905-1, the financial impacts of the social programs for the period July 1 2017- March 31 2018 are as follows:</w:t>
      </w:r>
    </w:p>
    <w:p w:rsidR="005F0083" w:rsidRPr="00CE63C3" w:rsidRDefault="005F0083" w:rsidP="005108C9">
      <w:pPr>
        <w:rPr>
          <w:rFonts w:ascii="Arial" w:hAnsi="Arial" w:cs="Arial"/>
          <w:lang w:val="en-US"/>
        </w:rPr>
      </w:pPr>
    </w:p>
    <w:tbl>
      <w:tblPr>
        <w:tblStyle w:val="TableGrid"/>
        <w:tblW w:w="0" w:type="auto"/>
        <w:tblInd w:w="534" w:type="dxa"/>
        <w:tblLook w:val="04A0" w:firstRow="1" w:lastRow="0" w:firstColumn="1" w:lastColumn="0" w:noHBand="0" w:noVBand="1"/>
      </w:tblPr>
      <w:tblGrid>
        <w:gridCol w:w="3894"/>
        <w:gridCol w:w="4428"/>
      </w:tblGrid>
      <w:tr w:rsidR="005108C9" w:rsidRPr="00CE63C3" w:rsidTr="005108C9">
        <w:tc>
          <w:tcPr>
            <w:tcW w:w="3894" w:type="dxa"/>
            <w:shd w:val="pct20" w:color="auto" w:fill="auto"/>
          </w:tcPr>
          <w:p w:rsidR="005108C9" w:rsidRPr="00CE63C3" w:rsidRDefault="005108C9" w:rsidP="00BA0C1A">
            <w:pPr>
              <w:rPr>
                <w:rFonts w:ascii="Arial" w:hAnsi="Arial" w:cs="Arial"/>
                <w:b/>
                <w:sz w:val="20"/>
                <w:lang w:val="en-US"/>
              </w:rPr>
            </w:pPr>
            <w:r w:rsidRPr="00CE63C3">
              <w:rPr>
                <w:rFonts w:ascii="Arial" w:hAnsi="Arial" w:cs="Arial"/>
                <w:b/>
                <w:sz w:val="20"/>
                <w:lang w:val="en-US"/>
              </w:rPr>
              <w:t>Program</w:t>
            </w:r>
          </w:p>
        </w:tc>
        <w:tc>
          <w:tcPr>
            <w:tcW w:w="4428" w:type="dxa"/>
            <w:shd w:val="pct20" w:color="auto" w:fill="auto"/>
          </w:tcPr>
          <w:p w:rsidR="005108C9" w:rsidRPr="00CE63C3" w:rsidRDefault="005108C9" w:rsidP="00BA0C1A">
            <w:pPr>
              <w:rPr>
                <w:rFonts w:ascii="Arial" w:hAnsi="Arial" w:cs="Arial"/>
                <w:b/>
                <w:sz w:val="20"/>
                <w:lang w:val="en-US"/>
              </w:rPr>
            </w:pPr>
            <w:r w:rsidRPr="00CE63C3">
              <w:rPr>
                <w:rFonts w:ascii="Arial" w:hAnsi="Arial" w:cs="Arial"/>
                <w:b/>
                <w:sz w:val="20"/>
                <w:lang w:val="en-US"/>
              </w:rPr>
              <w:t>2017-18 Budget</w:t>
            </w:r>
          </w:p>
          <w:p w:rsidR="005108C9" w:rsidRPr="00CE63C3" w:rsidRDefault="005108C9" w:rsidP="00BA0C1A">
            <w:pPr>
              <w:rPr>
                <w:rFonts w:ascii="Arial" w:hAnsi="Arial" w:cs="Arial"/>
                <w:b/>
                <w:sz w:val="20"/>
                <w:lang w:val="en-US"/>
              </w:rPr>
            </w:pPr>
          </w:p>
        </w:tc>
      </w:tr>
      <w:tr w:rsidR="005F1F8A" w:rsidRPr="00CE63C3" w:rsidTr="005108C9">
        <w:tc>
          <w:tcPr>
            <w:tcW w:w="3894" w:type="dxa"/>
          </w:tcPr>
          <w:p w:rsidR="005F1F8A" w:rsidRPr="00CE63C3" w:rsidRDefault="005F1F8A" w:rsidP="00BA0C1A">
            <w:pPr>
              <w:rPr>
                <w:rFonts w:ascii="Arial" w:hAnsi="Arial" w:cs="Arial"/>
                <w:sz w:val="20"/>
                <w:lang w:val="en-US"/>
              </w:rPr>
            </w:pPr>
            <w:r w:rsidRPr="00CE63C3">
              <w:rPr>
                <w:rFonts w:ascii="Arial" w:hAnsi="Arial" w:cs="Arial"/>
                <w:sz w:val="20"/>
                <w:lang w:val="en-US"/>
              </w:rPr>
              <w:t>Ontario Electricity Support Program</w:t>
            </w:r>
          </w:p>
        </w:tc>
        <w:tc>
          <w:tcPr>
            <w:tcW w:w="4428" w:type="dxa"/>
          </w:tcPr>
          <w:p w:rsidR="005F1F8A" w:rsidRPr="00CE63C3" w:rsidRDefault="005F1F8A" w:rsidP="00BA0C1A">
            <w:pPr>
              <w:rPr>
                <w:rFonts w:ascii="Arial" w:hAnsi="Arial" w:cs="Arial"/>
                <w:sz w:val="20"/>
                <w:lang w:val="en-US"/>
              </w:rPr>
            </w:pPr>
            <w:r w:rsidRPr="00CE63C3">
              <w:rPr>
                <w:rFonts w:ascii="Arial" w:hAnsi="Arial" w:cs="Arial"/>
                <w:sz w:val="20"/>
                <w:lang w:val="en-US"/>
              </w:rPr>
              <w:t>140,000,000</w:t>
            </w:r>
          </w:p>
        </w:tc>
      </w:tr>
    </w:tbl>
    <w:p w:rsidR="005108C9" w:rsidRPr="00CE63C3" w:rsidRDefault="005108C9" w:rsidP="005108C9">
      <w:pPr>
        <w:rPr>
          <w:rFonts w:ascii="Arial" w:hAnsi="Arial" w:cs="Arial"/>
          <w:b/>
          <w:lang w:val="en-US"/>
        </w:rPr>
      </w:pPr>
    </w:p>
    <w:p w:rsidR="00A36FDE" w:rsidRDefault="00A36FDE" w:rsidP="005108C9">
      <w:pPr>
        <w:ind w:left="360"/>
        <w:rPr>
          <w:rFonts w:ascii="Arial" w:hAnsi="Arial" w:cs="Arial"/>
          <w:lang w:val="en-US"/>
        </w:rPr>
      </w:pPr>
      <w:r>
        <w:rPr>
          <w:rFonts w:ascii="Arial" w:hAnsi="Arial" w:cs="Arial"/>
          <w:lang w:val="en-US"/>
        </w:rPr>
        <w:t xml:space="preserve">The cost forecasts for these programs were made through a combination of Ministry analysis that </w:t>
      </w:r>
      <w:r w:rsidR="00B23109">
        <w:rPr>
          <w:rFonts w:ascii="Arial" w:hAnsi="Arial" w:cs="Arial"/>
          <w:lang w:val="en-US"/>
        </w:rPr>
        <w:t>utilized consumption data and local distribution company rates to estimate program costs, and information provided to the Ministry by the Ontario Energy Board. Cost forecasts are subject to some uncertainty surrounding consumer uptake, future consumption levels, and future rates as set by the OEB.</w:t>
      </w:r>
      <w:r w:rsidR="005F1F8A">
        <w:rPr>
          <w:rFonts w:ascii="Arial" w:hAnsi="Arial" w:cs="Arial"/>
          <w:lang w:val="en-US"/>
        </w:rPr>
        <w:t xml:space="preserve"> </w:t>
      </w:r>
    </w:p>
    <w:p w:rsidR="003B0FE7" w:rsidRDefault="003B0FE7" w:rsidP="005108C9">
      <w:pPr>
        <w:ind w:left="360"/>
        <w:rPr>
          <w:rFonts w:ascii="Arial" w:hAnsi="Arial" w:cs="Arial"/>
          <w:lang w:val="en-US"/>
        </w:rPr>
      </w:pPr>
    </w:p>
    <w:p w:rsidR="003B0FE7" w:rsidRDefault="003B0FE7" w:rsidP="005108C9">
      <w:pPr>
        <w:ind w:left="360"/>
        <w:rPr>
          <w:rFonts w:ascii="Arial" w:hAnsi="Arial" w:cs="Arial"/>
          <w:lang w:val="en-US"/>
        </w:rPr>
      </w:pPr>
      <w:r w:rsidRPr="003B0FE7">
        <w:rPr>
          <w:rFonts w:ascii="Arial" w:hAnsi="Arial" w:cs="Arial"/>
          <w:lang w:val="en-US"/>
        </w:rPr>
        <w:t>ENERGY will report back to TB/MBC in fall 2017-18 with an update on out-year projections following analysis on rate applications before the Ontario Energy Board.</w:t>
      </w:r>
    </w:p>
    <w:p w:rsidR="005F1F8A" w:rsidRDefault="00F300F2" w:rsidP="00AD1460">
      <w:pPr>
        <w:tabs>
          <w:tab w:val="left" w:pos="1393"/>
        </w:tabs>
        <w:ind w:left="360"/>
        <w:rPr>
          <w:rFonts w:ascii="Arial" w:hAnsi="Arial" w:cs="Arial"/>
          <w:lang w:val="en-US"/>
        </w:rPr>
      </w:pPr>
      <w:r>
        <w:rPr>
          <w:rFonts w:ascii="Arial" w:hAnsi="Arial" w:cs="Arial"/>
          <w:lang w:val="en-US"/>
        </w:rPr>
        <w:tab/>
      </w:r>
    </w:p>
    <w:p w:rsidR="005F1F8A" w:rsidRDefault="005F1F8A" w:rsidP="005F1F8A">
      <w:pPr>
        <w:ind w:left="360"/>
        <w:rPr>
          <w:rFonts w:ascii="Arial" w:hAnsi="Arial" w:cs="Arial"/>
          <w:lang w:val="en-US"/>
        </w:rPr>
      </w:pPr>
      <w:r w:rsidRPr="00CE63C3">
        <w:rPr>
          <w:rFonts w:ascii="Arial" w:hAnsi="Arial" w:cs="Arial"/>
          <w:lang w:val="en-US"/>
        </w:rPr>
        <w:t>The IESO manages a variance account for the OESP, which holds the difference between the amount of OESP charge collected from the rate base, and the amount of OESP paid out in the form of credits. The amount in the variance account is about $10</w:t>
      </w:r>
      <w:r w:rsidR="005410CF">
        <w:rPr>
          <w:rFonts w:ascii="Arial" w:hAnsi="Arial" w:cs="Arial"/>
          <w:lang w:val="en-US"/>
        </w:rPr>
        <w:t>6</w:t>
      </w:r>
      <w:r w:rsidRPr="00CE63C3">
        <w:rPr>
          <w:rFonts w:ascii="Arial" w:hAnsi="Arial" w:cs="Arial"/>
          <w:lang w:val="en-US"/>
        </w:rPr>
        <w:t xml:space="preserve"> million as of </w:t>
      </w:r>
      <w:r w:rsidR="005410CF">
        <w:rPr>
          <w:rFonts w:ascii="Arial" w:hAnsi="Arial" w:cs="Arial"/>
          <w:lang w:val="en-US"/>
        </w:rPr>
        <w:t>May</w:t>
      </w:r>
      <w:r w:rsidRPr="00CE63C3">
        <w:rPr>
          <w:rFonts w:ascii="Arial" w:hAnsi="Arial" w:cs="Arial"/>
          <w:lang w:val="en-US"/>
        </w:rPr>
        <w:t xml:space="preserve"> 2017. These funds will be used to fund the OESP program until the variance account is depleted, at which point the transfer payment line will be used to finance the program costs.  Due to the potential range in costs of the OESP, which will depend on program uptake and any costs associated with supporting increased participation, the set allocation is required despite the variance account.</w:t>
      </w:r>
    </w:p>
    <w:p w:rsidR="00B23109" w:rsidRDefault="00B23109" w:rsidP="00AD1460">
      <w:pPr>
        <w:ind w:left="360"/>
        <w:rPr>
          <w:rFonts w:ascii="Arial" w:hAnsi="Arial" w:cs="Arial"/>
          <w:lang w:val="en-US"/>
        </w:rPr>
      </w:pPr>
    </w:p>
    <w:p w:rsidR="00B23109" w:rsidRPr="00CE63C3" w:rsidRDefault="00B23109" w:rsidP="005108C9">
      <w:pPr>
        <w:ind w:left="360"/>
        <w:rPr>
          <w:rFonts w:ascii="Arial" w:hAnsi="Arial" w:cs="Arial"/>
          <w:lang w:val="en-US"/>
        </w:rPr>
      </w:pPr>
      <w:r>
        <w:rPr>
          <w:rFonts w:ascii="Arial" w:hAnsi="Arial" w:cs="Arial"/>
          <w:lang w:val="en-US"/>
        </w:rPr>
        <w:t xml:space="preserve">Per the </w:t>
      </w:r>
      <w:r w:rsidR="00E163E7">
        <w:rPr>
          <w:rFonts w:ascii="Arial" w:hAnsi="Arial" w:cs="Arial"/>
          <w:lang w:val="en-US"/>
        </w:rPr>
        <w:t>Regulations</w:t>
      </w:r>
      <w:r>
        <w:rPr>
          <w:rFonts w:ascii="Arial" w:hAnsi="Arial" w:cs="Arial"/>
          <w:lang w:val="en-US"/>
        </w:rPr>
        <w:t>, the Ministry has the authority to request social program costs forecasts from the OEB.</w:t>
      </w:r>
    </w:p>
    <w:p w:rsidR="00B23109" w:rsidRPr="00A20B5D" w:rsidRDefault="00B23109" w:rsidP="00A20B5D">
      <w:pPr>
        <w:ind w:left="360"/>
        <w:rPr>
          <w:rFonts w:ascii="Arial" w:hAnsi="Arial"/>
          <w:lang w:val="en-US"/>
        </w:rPr>
      </w:pPr>
    </w:p>
    <w:p w:rsidR="00194B08" w:rsidRPr="00CE63C3" w:rsidRDefault="00194B08" w:rsidP="00833EFF">
      <w:pPr>
        <w:rPr>
          <w:rFonts w:ascii="Arial" w:hAnsi="Arial"/>
          <w:lang w:eastAsia="en-US"/>
        </w:rPr>
      </w:pPr>
    </w:p>
    <w:p w:rsidR="00B20020" w:rsidRPr="00CE63C3" w:rsidRDefault="00466FBD" w:rsidP="00FB70B8">
      <w:pPr>
        <w:spacing w:before="120"/>
        <w:ind w:hanging="720"/>
        <w:outlineLvl w:val="0"/>
        <w:rPr>
          <w:rFonts w:ascii="Arial" w:hAnsi="Arial" w:cs="Arial"/>
          <w:b/>
        </w:rPr>
      </w:pPr>
      <w:r w:rsidRPr="00CE63C3">
        <w:rPr>
          <w:rFonts w:ascii="Arial" w:hAnsi="Arial" w:cs="Arial"/>
          <w:b/>
        </w:rPr>
        <w:t>7.0</w:t>
      </w:r>
      <w:r w:rsidRPr="00CE63C3">
        <w:rPr>
          <w:rFonts w:ascii="Arial" w:hAnsi="Arial" w:cs="Arial"/>
          <w:b/>
        </w:rPr>
        <w:tab/>
        <w:t>STAKEHOLDER ANALYSIS</w:t>
      </w:r>
      <w:r w:rsidR="00FB70B8" w:rsidRPr="00CE63C3">
        <w:rPr>
          <w:rFonts w:ascii="Arial" w:hAnsi="Arial" w:cs="Arial"/>
          <w:b/>
        </w:rPr>
        <w:t xml:space="preserve"> </w:t>
      </w:r>
    </w:p>
    <w:p w:rsidR="009D68B6" w:rsidRPr="00CE63C3" w:rsidRDefault="009D68B6" w:rsidP="00B20020">
      <w:pPr>
        <w:rPr>
          <w:rFonts w:ascii="Arial" w:hAnsi="Arial" w:cs="Arial"/>
          <w:lang w:val="en-US"/>
        </w:rPr>
      </w:pPr>
    </w:p>
    <w:tbl>
      <w:tblPr>
        <w:tblStyle w:val="TableGrid"/>
        <w:tblW w:w="9781" w:type="dxa"/>
        <w:tblInd w:w="108" w:type="dxa"/>
        <w:tblLook w:val="04A0" w:firstRow="1" w:lastRow="0" w:firstColumn="1" w:lastColumn="0" w:noHBand="0" w:noVBand="1"/>
      </w:tblPr>
      <w:tblGrid>
        <w:gridCol w:w="1701"/>
        <w:gridCol w:w="8080"/>
      </w:tblGrid>
      <w:tr w:rsidR="009D68B6" w:rsidRPr="00CE63C3" w:rsidTr="00C05B4C">
        <w:trPr>
          <w:tblHeader/>
        </w:trPr>
        <w:tc>
          <w:tcPr>
            <w:tcW w:w="1701" w:type="dxa"/>
            <w:shd w:val="pct20" w:color="auto" w:fill="auto"/>
          </w:tcPr>
          <w:p w:rsidR="009D68B6" w:rsidRPr="00CE63C3" w:rsidRDefault="009D68B6" w:rsidP="00B20020">
            <w:pPr>
              <w:rPr>
                <w:rFonts w:ascii="Arial" w:hAnsi="Arial" w:cs="Arial"/>
                <w:b/>
                <w:sz w:val="20"/>
                <w:szCs w:val="22"/>
                <w:lang w:val="en-US"/>
              </w:rPr>
            </w:pPr>
            <w:r w:rsidRPr="00CE63C3">
              <w:rPr>
                <w:rFonts w:ascii="Arial" w:hAnsi="Arial" w:cs="Arial"/>
                <w:b/>
                <w:sz w:val="20"/>
                <w:szCs w:val="22"/>
                <w:lang w:val="en-US"/>
              </w:rPr>
              <w:t>Stakeholder</w:t>
            </w:r>
          </w:p>
        </w:tc>
        <w:tc>
          <w:tcPr>
            <w:tcW w:w="8080" w:type="dxa"/>
            <w:shd w:val="pct20" w:color="auto" w:fill="auto"/>
          </w:tcPr>
          <w:p w:rsidR="009D68B6" w:rsidRPr="00CE63C3" w:rsidRDefault="009D68B6" w:rsidP="00B20020">
            <w:pPr>
              <w:rPr>
                <w:rFonts w:ascii="Arial" w:hAnsi="Arial" w:cs="Arial"/>
                <w:b/>
                <w:sz w:val="20"/>
                <w:szCs w:val="22"/>
                <w:lang w:val="en-US"/>
              </w:rPr>
            </w:pPr>
            <w:r w:rsidRPr="00CE63C3">
              <w:rPr>
                <w:rFonts w:ascii="Arial" w:hAnsi="Arial" w:cs="Arial"/>
                <w:b/>
                <w:sz w:val="20"/>
                <w:szCs w:val="22"/>
                <w:lang w:val="en-US"/>
              </w:rPr>
              <w:t>Comments</w:t>
            </w:r>
          </w:p>
          <w:p w:rsidR="009D68B6" w:rsidRPr="00CE63C3" w:rsidRDefault="009D68B6" w:rsidP="00B20020">
            <w:pPr>
              <w:rPr>
                <w:rFonts w:ascii="Arial" w:hAnsi="Arial" w:cs="Arial"/>
                <w:b/>
                <w:sz w:val="20"/>
                <w:szCs w:val="22"/>
                <w:lang w:val="en-US"/>
              </w:rPr>
            </w:pPr>
          </w:p>
        </w:tc>
      </w:tr>
      <w:tr w:rsidR="009D68B6" w:rsidRPr="00CE63C3" w:rsidTr="00C05B4C">
        <w:tc>
          <w:tcPr>
            <w:tcW w:w="1701" w:type="dxa"/>
          </w:tcPr>
          <w:p w:rsidR="009D68B6" w:rsidRPr="00CE63C3" w:rsidRDefault="009D68B6" w:rsidP="00B20020">
            <w:pPr>
              <w:rPr>
                <w:rFonts w:ascii="Arial" w:hAnsi="Arial" w:cs="Arial"/>
                <w:sz w:val="20"/>
                <w:szCs w:val="22"/>
                <w:lang w:val="en-US"/>
              </w:rPr>
            </w:pPr>
            <w:r w:rsidRPr="00CE63C3">
              <w:rPr>
                <w:rFonts w:ascii="Arial" w:hAnsi="Arial" w:cs="Arial"/>
                <w:sz w:val="20"/>
                <w:szCs w:val="22"/>
                <w:lang w:val="en-US"/>
              </w:rPr>
              <w:t xml:space="preserve">Eligible Electricity Consumers </w:t>
            </w:r>
          </w:p>
        </w:tc>
        <w:tc>
          <w:tcPr>
            <w:tcW w:w="8080" w:type="dxa"/>
          </w:tcPr>
          <w:p w:rsidR="0092220C" w:rsidRPr="00CE63C3" w:rsidRDefault="009D68B6" w:rsidP="00B517C1">
            <w:pPr>
              <w:pStyle w:val="ListParagraph"/>
              <w:numPr>
                <w:ilvl w:val="0"/>
                <w:numId w:val="8"/>
              </w:numPr>
              <w:rPr>
                <w:rFonts w:ascii="Arial" w:hAnsi="Arial" w:cs="Arial"/>
                <w:sz w:val="20"/>
                <w:szCs w:val="22"/>
                <w:lang w:val="en-US"/>
              </w:rPr>
            </w:pPr>
            <w:r w:rsidRPr="00CE63C3">
              <w:rPr>
                <w:rFonts w:ascii="Arial" w:hAnsi="Arial" w:cs="Arial"/>
                <w:sz w:val="20"/>
                <w:szCs w:val="22"/>
                <w:lang w:val="en-US"/>
              </w:rPr>
              <w:t>As a resul</w:t>
            </w:r>
            <w:r w:rsidR="00827BF2" w:rsidRPr="00CE63C3">
              <w:rPr>
                <w:rFonts w:ascii="Arial" w:hAnsi="Arial" w:cs="Arial"/>
                <w:sz w:val="20"/>
                <w:szCs w:val="22"/>
                <w:lang w:val="en-US"/>
              </w:rPr>
              <w:t>t of OFHP</w:t>
            </w:r>
            <w:r w:rsidRPr="00CE63C3">
              <w:rPr>
                <w:rFonts w:ascii="Arial" w:hAnsi="Arial" w:cs="Arial"/>
                <w:sz w:val="20"/>
                <w:szCs w:val="22"/>
                <w:lang w:val="en-US"/>
              </w:rPr>
              <w:t xml:space="preserve">, eligible electricity consumers will welcome the immediate reduction in electricity bills that they will experience in the short to medium term. </w:t>
            </w:r>
          </w:p>
        </w:tc>
      </w:tr>
      <w:tr w:rsidR="009D68B6" w:rsidRPr="00CE63C3" w:rsidTr="00C05B4C">
        <w:tc>
          <w:tcPr>
            <w:tcW w:w="1701" w:type="dxa"/>
          </w:tcPr>
          <w:p w:rsidR="009D68B6" w:rsidRPr="00CE63C3" w:rsidRDefault="009D68B6" w:rsidP="00B20020">
            <w:pPr>
              <w:rPr>
                <w:rFonts w:ascii="Arial" w:hAnsi="Arial" w:cs="Arial"/>
                <w:sz w:val="20"/>
                <w:szCs w:val="22"/>
                <w:lang w:val="en-US"/>
              </w:rPr>
            </w:pPr>
            <w:r w:rsidRPr="00CE63C3">
              <w:rPr>
                <w:rFonts w:ascii="Arial" w:hAnsi="Arial" w:cs="Arial"/>
                <w:sz w:val="20"/>
                <w:szCs w:val="22"/>
                <w:lang w:val="en-US"/>
              </w:rPr>
              <w:t xml:space="preserve">Electricity Agencies </w:t>
            </w:r>
          </w:p>
        </w:tc>
        <w:tc>
          <w:tcPr>
            <w:tcW w:w="8080" w:type="dxa"/>
          </w:tcPr>
          <w:p w:rsidR="00EC7CC5" w:rsidRPr="00CE63C3" w:rsidRDefault="009D68B6" w:rsidP="00B517C1">
            <w:pPr>
              <w:pStyle w:val="ListParagraph"/>
              <w:numPr>
                <w:ilvl w:val="0"/>
                <w:numId w:val="8"/>
              </w:numPr>
              <w:rPr>
                <w:rFonts w:ascii="Arial" w:hAnsi="Arial" w:cs="Arial"/>
                <w:sz w:val="20"/>
                <w:szCs w:val="22"/>
              </w:rPr>
            </w:pPr>
            <w:r w:rsidRPr="00CE63C3">
              <w:rPr>
                <w:rFonts w:ascii="Arial" w:hAnsi="Arial" w:cs="Arial"/>
                <w:sz w:val="20"/>
                <w:szCs w:val="22"/>
              </w:rPr>
              <w:t xml:space="preserve">In the development of legislation to </w:t>
            </w:r>
            <w:r w:rsidR="0092220C" w:rsidRPr="00CE63C3">
              <w:rPr>
                <w:rFonts w:ascii="Arial" w:hAnsi="Arial" w:cs="Arial"/>
                <w:sz w:val="20"/>
                <w:szCs w:val="22"/>
              </w:rPr>
              <w:t xml:space="preserve">enable implementation of </w:t>
            </w:r>
            <w:r w:rsidRPr="00CE63C3">
              <w:rPr>
                <w:rFonts w:ascii="Arial" w:hAnsi="Arial" w:cs="Arial"/>
                <w:sz w:val="20"/>
                <w:szCs w:val="22"/>
              </w:rPr>
              <w:t>OFHP, the Ministry has been working closely</w:t>
            </w:r>
            <w:r w:rsidR="00827BF2" w:rsidRPr="00CE63C3">
              <w:rPr>
                <w:rFonts w:ascii="Arial" w:hAnsi="Arial" w:cs="Arial"/>
                <w:sz w:val="20"/>
                <w:szCs w:val="22"/>
              </w:rPr>
              <w:t xml:space="preserve"> with OEB</w:t>
            </w:r>
            <w:r w:rsidRPr="00CE63C3">
              <w:rPr>
                <w:rFonts w:ascii="Arial" w:hAnsi="Arial" w:cs="Arial"/>
                <w:sz w:val="20"/>
                <w:szCs w:val="22"/>
              </w:rPr>
              <w:t xml:space="preserve">, </w:t>
            </w:r>
            <w:r w:rsidR="00827BF2" w:rsidRPr="00CE63C3">
              <w:rPr>
                <w:rFonts w:ascii="Arial" w:hAnsi="Arial" w:cs="Arial"/>
                <w:sz w:val="20"/>
                <w:szCs w:val="22"/>
              </w:rPr>
              <w:t>IESO and OPG</w:t>
            </w:r>
            <w:r w:rsidRPr="00CE63C3">
              <w:rPr>
                <w:rFonts w:ascii="Arial" w:hAnsi="Arial" w:cs="Arial"/>
                <w:sz w:val="20"/>
                <w:szCs w:val="22"/>
              </w:rPr>
              <w:t xml:space="preserve"> and their </w:t>
            </w:r>
            <w:r w:rsidR="0092220C" w:rsidRPr="00CE63C3">
              <w:rPr>
                <w:rFonts w:ascii="Arial" w:hAnsi="Arial" w:cs="Arial"/>
                <w:sz w:val="20"/>
                <w:szCs w:val="22"/>
              </w:rPr>
              <w:t xml:space="preserve">independent </w:t>
            </w:r>
            <w:r w:rsidRPr="00CE63C3">
              <w:rPr>
                <w:rFonts w:ascii="Arial" w:hAnsi="Arial" w:cs="Arial"/>
                <w:sz w:val="20"/>
                <w:szCs w:val="22"/>
              </w:rPr>
              <w:t>advisors</w:t>
            </w:r>
            <w:r w:rsidR="00A8604E" w:rsidRPr="00CE63C3">
              <w:rPr>
                <w:rFonts w:ascii="Arial" w:hAnsi="Arial" w:cs="Arial"/>
                <w:sz w:val="20"/>
                <w:szCs w:val="22"/>
              </w:rPr>
              <w:t>.</w:t>
            </w:r>
          </w:p>
        </w:tc>
      </w:tr>
      <w:tr w:rsidR="009D68B6" w:rsidRPr="00CE63C3" w:rsidTr="00C05B4C">
        <w:trPr>
          <w:trHeight w:val="238"/>
        </w:trPr>
        <w:tc>
          <w:tcPr>
            <w:tcW w:w="1701" w:type="dxa"/>
          </w:tcPr>
          <w:p w:rsidR="009D68B6" w:rsidRPr="00CE63C3" w:rsidRDefault="009D68B6" w:rsidP="00B20020">
            <w:pPr>
              <w:rPr>
                <w:rFonts w:ascii="Arial" w:hAnsi="Arial" w:cs="Arial"/>
                <w:sz w:val="20"/>
                <w:szCs w:val="22"/>
                <w:lang w:val="en-US"/>
              </w:rPr>
            </w:pPr>
            <w:r w:rsidRPr="00CE63C3">
              <w:rPr>
                <w:rFonts w:ascii="Arial" w:hAnsi="Arial" w:cs="Arial"/>
                <w:sz w:val="20"/>
                <w:szCs w:val="22"/>
                <w:lang w:val="en-US"/>
              </w:rPr>
              <w:t>Local Distribution Companies (LDCs)</w:t>
            </w:r>
          </w:p>
        </w:tc>
        <w:tc>
          <w:tcPr>
            <w:tcW w:w="8080" w:type="dxa"/>
          </w:tcPr>
          <w:p w:rsidR="00006396" w:rsidRPr="00CE63C3" w:rsidRDefault="009D68B6" w:rsidP="00B517C1">
            <w:pPr>
              <w:pStyle w:val="ListParagraph"/>
              <w:numPr>
                <w:ilvl w:val="0"/>
                <w:numId w:val="8"/>
              </w:numPr>
              <w:rPr>
                <w:rFonts w:ascii="Arial" w:hAnsi="Arial" w:cs="Arial"/>
                <w:sz w:val="20"/>
                <w:szCs w:val="22"/>
                <w:lang w:val="en-US"/>
              </w:rPr>
            </w:pPr>
            <w:r w:rsidRPr="00CE63C3">
              <w:rPr>
                <w:rFonts w:ascii="Arial" w:hAnsi="Arial" w:cs="Arial"/>
                <w:sz w:val="20"/>
                <w:szCs w:val="22"/>
                <w:lang w:val="en-US"/>
              </w:rPr>
              <w:t>The Minist</w:t>
            </w:r>
            <w:r w:rsidR="0092220C" w:rsidRPr="00CE63C3">
              <w:rPr>
                <w:rFonts w:ascii="Arial" w:hAnsi="Arial" w:cs="Arial"/>
                <w:sz w:val="20"/>
                <w:szCs w:val="22"/>
                <w:lang w:val="en-US"/>
              </w:rPr>
              <w:t xml:space="preserve">ry hosted LDC workshop sessions </w:t>
            </w:r>
            <w:r w:rsidRPr="00CE63C3">
              <w:rPr>
                <w:rFonts w:ascii="Arial" w:hAnsi="Arial" w:cs="Arial"/>
                <w:sz w:val="20"/>
                <w:szCs w:val="22"/>
                <w:lang w:val="en-US"/>
              </w:rPr>
              <w:t xml:space="preserve">on March </w:t>
            </w:r>
            <w:r w:rsidR="00833EFF" w:rsidRPr="00CE63C3">
              <w:rPr>
                <w:rFonts w:ascii="Arial" w:hAnsi="Arial" w:cs="Arial"/>
                <w:sz w:val="20"/>
                <w:szCs w:val="22"/>
                <w:lang w:val="en-US"/>
              </w:rPr>
              <w:t>16</w:t>
            </w:r>
            <w:r w:rsidR="00E163E7">
              <w:rPr>
                <w:rFonts w:ascii="Arial" w:hAnsi="Arial" w:cs="Arial"/>
                <w:sz w:val="20"/>
                <w:szCs w:val="22"/>
                <w:lang w:val="en-US"/>
              </w:rPr>
              <w:t xml:space="preserve">, </w:t>
            </w:r>
            <w:r w:rsidR="00833EFF" w:rsidRPr="00CE63C3">
              <w:rPr>
                <w:rFonts w:ascii="Arial" w:hAnsi="Arial" w:cs="Arial"/>
                <w:sz w:val="20"/>
                <w:szCs w:val="22"/>
                <w:lang w:val="en-US"/>
              </w:rPr>
              <w:t>April 19,</w:t>
            </w:r>
            <w:r w:rsidR="00865E76">
              <w:rPr>
                <w:rFonts w:ascii="Arial" w:hAnsi="Arial" w:cs="Arial"/>
                <w:sz w:val="20"/>
                <w:szCs w:val="22"/>
                <w:lang w:val="en-US"/>
              </w:rPr>
              <w:t xml:space="preserve"> and May 17,</w:t>
            </w:r>
            <w:r w:rsidR="00833EFF" w:rsidRPr="00CE63C3">
              <w:rPr>
                <w:rFonts w:ascii="Arial" w:hAnsi="Arial" w:cs="Arial"/>
                <w:sz w:val="20"/>
                <w:szCs w:val="22"/>
                <w:lang w:val="en-US"/>
              </w:rPr>
              <w:t xml:space="preserve"> 2017. Nearly 40</w:t>
            </w:r>
            <w:r w:rsidRPr="00CE63C3">
              <w:rPr>
                <w:rFonts w:ascii="Arial" w:hAnsi="Arial" w:cs="Arial"/>
                <w:sz w:val="20"/>
                <w:szCs w:val="22"/>
                <w:lang w:val="en-US"/>
              </w:rPr>
              <w:t xml:space="preserve"> LDC representatives attended in person or by phone and were briefed on </w:t>
            </w:r>
            <w:r w:rsidR="0092220C" w:rsidRPr="00CE63C3">
              <w:rPr>
                <w:rFonts w:ascii="Arial" w:hAnsi="Arial" w:cs="Arial"/>
                <w:sz w:val="20"/>
                <w:szCs w:val="22"/>
                <w:lang w:val="en-US"/>
              </w:rPr>
              <w:t>OFHP</w:t>
            </w:r>
            <w:r w:rsidRPr="00CE63C3">
              <w:rPr>
                <w:rFonts w:ascii="Arial" w:hAnsi="Arial" w:cs="Arial"/>
                <w:sz w:val="20"/>
                <w:szCs w:val="22"/>
                <w:lang w:val="en-US"/>
              </w:rPr>
              <w:t xml:space="preserve">, including implementation. </w:t>
            </w:r>
            <w:r w:rsidR="00B23109">
              <w:rPr>
                <w:rFonts w:ascii="Arial" w:hAnsi="Arial" w:cs="Arial"/>
                <w:sz w:val="20"/>
                <w:szCs w:val="22"/>
                <w:lang w:val="en-US"/>
              </w:rPr>
              <w:t xml:space="preserve">The Ministry has also held separate engagements with LDCs in </w:t>
            </w:r>
            <w:r w:rsidR="00E163E7">
              <w:rPr>
                <w:rFonts w:ascii="Arial" w:hAnsi="Arial" w:cs="Arial"/>
                <w:sz w:val="20"/>
                <w:szCs w:val="22"/>
                <w:lang w:val="en-US"/>
              </w:rPr>
              <w:t>particular</w:t>
            </w:r>
            <w:r w:rsidR="00B23109">
              <w:rPr>
                <w:rFonts w:ascii="Arial" w:hAnsi="Arial" w:cs="Arial"/>
                <w:sz w:val="20"/>
                <w:szCs w:val="22"/>
                <w:lang w:val="en-US"/>
              </w:rPr>
              <w:t xml:space="preserve"> to the social programs.</w:t>
            </w:r>
          </w:p>
        </w:tc>
      </w:tr>
      <w:tr w:rsidR="00C22E4C" w:rsidRPr="00CE63C3" w:rsidTr="00C05B4C">
        <w:trPr>
          <w:trHeight w:val="238"/>
        </w:trPr>
        <w:tc>
          <w:tcPr>
            <w:tcW w:w="1701" w:type="dxa"/>
          </w:tcPr>
          <w:p w:rsidR="00C22E4C" w:rsidRPr="00CE63C3" w:rsidRDefault="00C22E4C" w:rsidP="00B20020">
            <w:pPr>
              <w:rPr>
                <w:rFonts w:ascii="Arial" w:hAnsi="Arial" w:cs="Arial"/>
                <w:sz w:val="20"/>
                <w:szCs w:val="22"/>
                <w:lang w:val="en-US"/>
              </w:rPr>
            </w:pPr>
            <w:r>
              <w:rPr>
                <w:rFonts w:ascii="Arial" w:hAnsi="Arial" w:cs="Arial"/>
                <w:sz w:val="20"/>
                <w:szCs w:val="22"/>
                <w:lang w:val="en-US"/>
              </w:rPr>
              <w:t>Government (MCSS)</w:t>
            </w:r>
          </w:p>
        </w:tc>
        <w:tc>
          <w:tcPr>
            <w:tcW w:w="8080" w:type="dxa"/>
          </w:tcPr>
          <w:p w:rsidR="00C22E4C" w:rsidRPr="00AD1460" w:rsidRDefault="00C22E4C" w:rsidP="00C22E4C">
            <w:pPr>
              <w:pStyle w:val="ListParagraph"/>
              <w:numPr>
                <w:ilvl w:val="0"/>
                <w:numId w:val="8"/>
              </w:numPr>
              <w:rPr>
                <w:rFonts w:ascii="Arial" w:hAnsi="Arial" w:cs="Arial"/>
                <w:sz w:val="20"/>
                <w:szCs w:val="22"/>
                <w:lang w:val="en-US"/>
              </w:rPr>
            </w:pPr>
            <w:r w:rsidRPr="00C22E4C">
              <w:rPr>
                <w:rFonts w:ascii="Arial" w:hAnsi="Arial" w:cs="Arial"/>
                <w:sz w:val="20"/>
                <w:szCs w:val="22"/>
                <w:lang w:val="en-US"/>
              </w:rPr>
              <w:t>ENERGY has been engaging with MCSS and the OEB for several months to develop a strategy for meeting the government’s objective of substantially increasing OESP uptake by aligning it with SA program delivery.  The joint strategy instructed the recent amendments to the OEBA, and the changes to O.</w:t>
            </w:r>
            <w:r>
              <w:rPr>
                <w:rFonts w:ascii="Arial" w:hAnsi="Arial" w:cs="Arial"/>
                <w:sz w:val="20"/>
                <w:szCs w:val="22"/>
                <w:lang w:val="en-US"/>
              </w:rPr>
              <w:t xml:space="preserve"> </w:t>
            </w:r>
            <w:r w:rsidRPr="00C22E4C">
              <w:rPr>
                <w:rFonts w:ascii="Arial" w:hAnsi="Arial" w:cs="Arial"/>
                <w:sz w:val="20"/>
                <w:szCs w:val="22"/>
                <w:lang w:val="en-US"/>
              </w:rPr>
              <w:t>Reg. 314/15 that are being proposed in this submission.</w:t>
            </w:r>
          </w:p>
        </w:tc>
      </w:tr>
    </w:tbl>
    <w:p w:rsidR="00CB3896" w:rsidRDefault="00CB3896" w:rsidP="00B20020">
      <w:pPr>
        <w:rPr>
          <w:rFonts w:ascii="Arial" w:hAnsi="Arial" w:cs="Arial"/>
          <w:lang w:val="en-US"/>
        </w:rPr>
      </w:pPr>
    </w:p>
    <w:p w:rsidR="00CB3896" w:rsidRDefault="00CB3896" w:rsidP="00B20020">
      <w:pPr>
        <w:rPr>
          <w:rFonts w:ascii="Arial" w:hAnsi="Arial" w:cs="Arial"/>
          <w:lang w:val="en-US"/>
        </w:rPr>
      </w:pPr>
    </w:p>
    <w:p w:rsidR="00D10F6F" w:rsidRDefault="00D10F6F" w:rsidP="00B20020">
      <w:pPr>
        <w:rPr>
          <w:rFonts w:ascii="Arial" w:hAnsi="Arial" w:cs="Arial"/>
          <w:lang w:val="en-US"/>
        </w:rPr>
      </w:pPr>
    </w:p>
    <w:p w:rsidR="00D10F6F" w:rsidRDefault="00D10F6F" w:rsidP="00B20020">
      <w:pPr>
        <w:rPr>
          <w:rFonts w:ascii="Arial" w:hAnsi="Arial" w:cs="Arial"/>
          <w:lang w:val="en-US"/>
        </w:rPr>
      </w:pPr>
    </w:p>
    <w:p w:rsidR="00CB3896" w:rsidRPr="00CE63C3" w:rsidRDefault="00CB3896" w:rsidP="00B20020">
      <w:pPr>
        <w:rPr>
          <w:rFonts w:ascii="Arial" w:hAnsi="Arial" w:cs="Arial"/>
          <w:lang w:val="en-US"/>
        </w:rPr>
      </w:pPr>
    </w:p>
    <w:p w:rsidR="00466FBD" w:rsidRPr="00CE63C3" w:rsidRDefault="00466FBD" w:rsidP="00466FBD">
      <w:pPr>
        <w:spacing w:before="120"/>
        <w:ind w:hanging="720"/>
        <w:outlineLvl w:val="0"/>
        <w:rPr>
          <w:rFonts w:ascii="Arial" w:hAnsi="Arial" w:cs="Arial"/>
          <w:b/>
        </w:rPr>
      </w:pPr>
      <w:r w:rsidRPr="00CE63C3">
        <w:rPr>
          <w:rFonts w:ascii="Arial" w:hAnsi="Arial" w:cs="Arial"/>
          <w:b/>
        </w:rPr>
        <w:t>8.0</w:t>
      </w:r>
      <w:r w:rsidRPr="00CE63C3">
        <w:rPr>
          <w:rFonts w:ascii="Arial" w:hAnsi="Arial" w:cs="Arial"/>
          <w:b/>
        </w:rPr>
        <w:tab/>
      </w:r>
      <w:r w:rsidR="00C05B4C" w:rsidRPr="00C05B4C">
        <w:rPr>
          <w:rFonts w:ascii="Arial" w:hAnsi="Arial" w:cs="Arial"/>
          <w:b/>
        </w:rPr>
        <w:t xml:space="preserve">RISK ASSESSMENT AND MITIGATION – UPDATES </w:t>
      </w:r>
    </w:p>
    <w:p w:rsidR="00106233" w:rsidRPr="00CE63C3" w:rsidRDefault="00466FBD" w:rsidP="008945E2">
      <w:pPr>
        <w:ind w:hanging="720"/>
        <w:outlineLvl w:val="0"/>
        <w:rPr>
          <w:rFonts w:ascii="Arial" w:hAnsi="Arial" w:cs="Arial"/>
          <w:b/>
        </w:rPr>
      </w:pPr>
      <w:r w:rsidRPr="00CE63C3">
        <w:rPr>
          <w:rFonts w:ascii="Arial" w:hAnsi="Arial" w:cs="Arial"/>
          <w:b/>
        </w:rPr>
        <w:tab/>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Description w:val="Risk table"/>
      </w:tblPr>
      <w:tblGrid>
        <w:gridCol w:w="3092"/>
        <w:gridCol w:w="1316"/>
        <w:gridCol w:w="1116"/>
        <w:gridCol w:w="4257"/>
      </w:tblGrid>
      <w:tr w:rsidR="00F262E9" w:rsidRPr="00CE63C3" w:rsidTr="00C05B4C">
        <w:trPr>
          <w:cantSplit/>
          <w:tblHeader/>
        </w:trPr>
        <w:tc>
          <w:tcPr>
            <w:tcW w:w="3092" w:type="dxa"/>
            <w:tcBorders>
              <w:top w:val="single" w:sz="4" w:space="0" w:color="auto"/>
              <w:left w:val="single" w:sz="4" w:space="0" w:color="auto"/>
              <w:bottom w:val="single" w:sz="4" w:space="0" w:color="auto"/>
              <w:right w:val="single" w:sz="4" w:space="0" w:color="auto"/>
            </w:tcBorders>
            <w:shd w:val="clear" w:color="auto" w:fill="BFBFBF"/>
            <w:hideMark/>
          </w:tcPr>
          <w:p w:rsidR="00F262E9" w:rsidRPr="00CE63C3" w:rsidRDefault="00F262E9" w:rsidP="00BE0E80">
            <w:pPr>
              <w:rPr>
                <w:rFonts w:ascii="Arial" w:hAnsi="Arial" w:cs="Arial"/>
                <w:b/>
                <w:iCs/>
                <w:sz w:val="20"/>
                <w:szCs w:val="22"/>
                <w:lang w:eastAsia="en-US"/>
              </w:rPr>
            </w:pPr>
            <w:r w:rsidRPr="00CE63C3">
              <w:rPr>
                <w:rFonts w:ascii="Arial" w:hAnsi="Arial" w:cs="Arial"/>
                <w:b/>
                <w:iCs/>
                <w:sz w:val="20"/>
                <w:szCs w:val="22"/>
                <w:lang w:eastAsia="en-US"/>
              </w:rPr>
              <w:t>Risk</w:t>
            </w:r>
          </w:p>
        </w:tc>
        <w:tc>
          <w:tcPr>
            <w:tcW w:w="1316" w:type="dxa"/>
            <w:tcBorders>
              <w:top w:val="single" w:sz="4" w:space="0" w:color="auto"/>
              <w:left w:val="single" w:sz="4" w:space="0" w:color="auto"/>
              <w:bottom w:val="single" w:sz="4" w:space="0" w:color="auto"/>
              <w:right w:val="single" w:sz="4" w:space="0" w:color="auto"/>
            </w:tcBorders>
            <w:shd w:val="clear" w:color="auto" w:fill="BFBFBF"/>
            <w:hideMark/>
          </w:tcPr>
          <w:p w:rsidR="00F262E9" w:rsidRPr="00CE63C3" w:rsidRDefault="00F262E9" w:rsidP="00BE0E80">
            <w:pPr>
              <w:rPr>
                <w:rFonts w:ascii="Arial" w:hAnsi="Arial" w:cs="Arial"/>
                <w:b/>
                <w:iCs/>
                <w:sz w:val="20"/>
                <w:szCs w:val="22"/>
                <w:lang w:eastAsia="en-US"/>
              </w:rPr>
            </w:pPr>
            <w:r w:rsidRPr="00CE63C3">
              <w:rPr>
                <w:rFonts w:ascii="Arial" w:hAnsi="Arial" w:cs="Arial"/>
                <w:b/>
                <w:iCs/>
                <w:sz w:val="20"/>
                <w:szCs w:val="22"/>
                <w:lang w:eastAsia="en-US"/>
              </w:rPr>
              <w:t>Likelihood</w:t>
            </w:r>
          </w:p>
          <w:p w:rsidR="00F262E9" w:rsidRPr="00CE63C3" w:rsidRDefault="00F262E9" w:rsidP="00BE0E80">
            <w:pPr>
              <w:rPr>
                <w:rFonts w:ascii="Arial" w:hAnsi="Arial" w:cs="Arial"/>
                <w:b/>
                <w:iCs/>
                <w:sz w:val="20"/>
                <w:szCs w:val="22"/>
                <w:lang w:eastAsia="en-US"/>
              </w:rPr>
            </w:pPr>
            <w:r w:rsidRPr="00CE63C3">
              <w:rPr>
                <w:rFonts w:ascii="Arial" w:hAnsi="Arial" w:cs="Arial"/>
                <w:b/>
                <w:iCs/>
                <w:sz w:val="20"/>
                <w:szCs w:val="22"/>
                <w:lang w:eastAsia="en-US"/>
              </w:rPr>
              <w:t>(L/M/H)</w:t>
            </w:r>
          </w:p>
        </w:tc>
        <w:tc>
          <w:tcPr>
            <w:tcW w:w="1116" w:type="dxa"/>
            <w:tcBorders>
              <w:top w:val="single" w:sz="4" w:space="0" w:color="auto"/>
              <w:left w:val="single" w:sz="4" w:space="0" w:color="auto"/>
              <w:bottom w:val="single" w:sz="4" w:space="0" w:color="auto"/>
              <w:right w:val="single" w:sz="4" w:space="0" w:color="auto"/>
            </w:tcBorders>
            <w:shd w:val="clear" w:color="auto" w:fill="BFBFBF"/>
            <w:hideMark/>
          </w:tcPr>
          <w:p w:rsidR="00F262E9" w:rsidRPr="00CE63C3" w:rsidRDefault="00F262E9" w:rsidP="00BE0E80">
            <w:pPr>
              <w:rPr>
                <w:rFonts w:ascii="Arial" w:hAnsi="Arial" w:cs="Arial"/>
                <w:b/>
                <w:iCs/>
                <w:sz w:val="20"/>
                <w:szCs w:val="22"/>
                <w:lang w:eastAsia="en-US"/>
              </w:rPr>
            </w:pPr>
            <w:r w:rsidRPr="00CE63C3">
              <w:rPr>
                <w:rFonts w:ascii="Arial" w:hAnsi="Arial" w:cs="Arial"/>
                <w:b/>
                <w:iCs/>
                <w:sz w:val="20"/>
                <w:szCs w:val="22"/>
                <w:lang w:eastAsia="en-US"/>
              </w:rPr>
              <w:t>Impact</w:t>
            </w:r>
          </w:p>
          <w:p w:rsidR="00F262E9" w:rsidRPr="00CE63C3" w:rsidRDefault="00F262E9" w:rsidP="00BE0E80">
            <w:pPr>
              <w:rPr>
                <w:rFonts w:ascii="Arial" w:hAnsi="Arial" w:cs="Arial"/>
                <w:b/>
                <w:iCs/>
                <w:sz w:val="20"/>
                <w:szCs w:val="22"/>
                <w:lang w:eastAsia="en-US"/>
              </w:rPr>
            </w:pPr>
            <w:r w:rsidRPr="00CE63C3">
              <w:rPr>
                <w:rFonts w:ascii="Arial" w:hAnsi="Arial" w:cs="Arial"/>
                <w:b/>
                <w:iCs/>
                <w:sz w:val="20"/>
                <w:szCs w:val="22"/>
                <w:lang w:eastAsia="en-US"/>
              </w:rPr>
              <w:t>(L/M/H)</w:t>
            </w:r>
          </w:p>
        </w:tc>
        <w:tc>
          <w:tcPr>
            <w:tcW w:w="4257" w:type="dxa"/>
            <w:tcBorders>
              <w:top w:val="single" w:sz="4" w:space="0" w:color="auto"/>
              <w:left w:val="single" w:sz="4" w:space="0" w:color="auto"/>
              <w:bottom w:val="single" w:sz="4" w:space="0" w:color="auto"/>
              <w:right w:val="single" w:sz="4" w:space="0" w:color="auto"/>
            </w:tcBorders>
            <w:shd w:val="clear" w:color="auto" w:fill="BFBFBF"/>
            <w:hideMark/>
          </w:tcPr>
          <w:p w:rsidR="00F262E9" w:rsidRPr="00CE63C3" w:rsidRDefault="00F262E9" w:rsidP="00BE0E80">
            <w:pPr>
              <w:rPr>
                <w:rFonts w:ascii="Arial" w:hAnsi="Arial" w:cs="Arial"/>
                <w:b/>
                <w:iCs/>
                <w:sz w:val="20"/>
                <w:szCs w:val="22"/>
                <w:lang w:eastAsia="en-US"/>
              </w:rPr>
            </w:pPr>
            <w:r w:rsidRPr="00CE63C3">
              <w:rPr>
                <w:rFonts w:ascii="Arial" w:hAnsi="Arial" w:cs="Arial"/>
                <w:b/>
                <w:iCs/>
                <w:sz w:val="20"/>
                <w:szCs w:val="22"/>
                <w:lang w:eastAsia="en-US"/>
              </w:rPr>
              <w:t>Mitigation Strategy</w:t>
            </w:r>
          </w:p>
        </w:tc>
      </w:tr>
      <w:tr w:rsidR="00F262E9" w:rsidRPr="00CE63C3" w:rsidTr="00C05B4C">
        <w:trPr>
          <w:trHeight w:val="530"/>
        </w:trPr>
        <w:tc>
          <w:tcPr>
            <w:tcW w:w="3092" w:type="dxa"/>
            <w:tcBorders>
              <w:top w:val="single" w:sz="4" w:space="0" w:color="auto"/>
              <w:left w:val="single" w:sz="4" w:space="0" w:color="auto"/>
              <w:bottom w:val="single" w:sz="4" w:space="0" w:color="auto"/>
              <w:right w:val="nil"/>
            </w:tcBorders>
            <w:shd w:val="pct12" w:color="auto" w:fill="auto"/>
          </w:tcPr>
          <w:p w:rsidR="00F262E9" w:rsidRPr="00CE63C3" w:rsidRDefault="00F262E9" w:rsidP="00B517C1">
            <w:pPr>
              <w:pStyle w:val="ListParagraph"/>
              <w:numPr>
                <w:ilvl w:val="0"/>
                <w:numId w:val="9"/>
              </w:numPr>
              <w:rPr>
                <w:rFonts w:ascii="Arial" w:hAnsi="Arial" w:cs="Arial"/>
                <w:i/>
                <w:sz w:val="20"/>
                <w:szCs w:val="22"/>
                <w:lang w:val="fr-CA"/>
              </w:rPr>
            </w:pPr>
            <w:r w:rsidRPr="00CE63C3">
              <w:rPr>
                <w:rFonts w:ascii="Arial" w:hAnsi="Arial" w:cs="Arial"/>
                <w:i/>
                <w:sz w:val="20"/>
                <w:szCs w:val="22"/>
                <w:lang w:val="fr-CA"/>
              </w:rPr>
              <w:t>Global Adjustment (GA)</w:t>
            </w:r>
            <w:r w:rsidRPr="00261893">
              <w:rPr>
                <w:rFonts w:ascii="Arial" w:hAnsi="Arial" w:cs="Arial"/>
                <w:i/>
                <w:sz w:val="20"/>
                <w:szCs w:val="22"/>
              </w:rPr>
              <w:t xml:space="preserve"> Refinancing</w:t>
            </w:r>
          </w:p>
        </w:tc>
        <w:tc>
          <w:tcPr>
            <w:tcW w:w="1316" w:type="dxa"/>
            <w:tcBorders>
              <w:top w:val="single" w:sz="4" w:space="0" w:color="auto"/>
              <w:left w:val="nil"/>
              <w:bottom w:val="single" w:sz="4" w:space="0" w:color="auto"/>
              <w:right w:val="nil"/>
            </w:tcBorders>
            <w:shd w:val="pct12" w:color="auto" w:fill="auto"/>
          </w:tcPr>
          <w:p w:rsidR="00F262E9" w:rsidRPr="00CE63C3" w:rsidRDefault="00F262E9" w:rsidP="00BE0E80">
            <w:pPr>
              <w:rPr>
                <w:rFonts w:ascii="Arial" w:hAnsi="Arial" w:cs="Arial"/>
                <w:sz w:val="20"/>
                <w:szCs w:val="22"/>
                <w:lang w:val="en-US" w:eastAsia="en-US"/>
              </w:rPr>
            </w:pPr>
          </w:p>
        </w:tc>
        <w:tc>
          <w:tcPr>
            <w:tcW w:w="1116" w:type="dxa"/>
            <w:tcBorders>
              <w:top w:val="single" w:sz="4" w:space="0" w:color="auto"/>
              <w:left w:val="nil"/>
              <w:bottom w:val="single" w:sz="4" w:space="0" w:color="auto"/>
              <w:right w:val="nil"/>
            </w:tcBorders>
            <w:shd w:val="pct12" w:color="auto" w:fill="auto"/>
          </w:tcPr>
          <w:p w:rsidR="00F262E9" w:rsidRPr="00CE63C3" w:rsidRDefault="00F262E9" w:rsidP="00BE0E80">
            <w:pPr>
              <w:rPr>
                <w:rFonts w:ascii="Arial" w:hAnsi="Arial" w:cs="Arial"/>
                <w:sz w:val="20"/>
                <w:szCs w:val="22"/>
                <w:lang w:eastAsia="en-US"/>
              </w:rPr>
            </w:pPr>
          </w:p>
        </w:tc>
        <w:tc>
          <w:tcPr>
            <w:tcW w:w="4257" w:type="dxa"/>
            <w:tcBorders>
              <w:top w:val="single" w:sz="4" w:space="0" w:color="auto"/>
              <w:left w:val="nil"/>
              <w:bottom w:val="single" w:sz="4" w:space="0" w:color="auto"/>
              <w:right w:val="single" w:sz="4" w:space="0" w:color="auto"/>
            </w:tcBorders>
            <w:shd w:val="pct12" w:color="auto" w:fill="auto"/>
          </w:tcPr>
          <w:p w:rsidR="00F262E9" w:rsidRPr="00CE63C3" w:rsidRDefault="00F262E9" w:rsidP="00BE0E80">
            <w:pPr>
              <w:rPr>
                <w:rFonts w:ascii="Arial" w:hAnsi="Arial" w:cs="Arial"/>
                <w:sz w:val="20"/>
                <w:szCs w:val="22"/>
                <w:lang w:eastAsia="en-US"/>
              </w:rPr>
            </w:pPr>
          </w:p>
        </w:tc>
      </w:tr>
      <w:tr w:rsidR="00F262E9" w:rsidRPr="00CE63C3" w:rsidTr="00C05B4C">
        <w:trPr>
          <w:trHeight w:val="355"/>
        </w:trPr>
        <w:tc>
          <w:tcPr>
            <w:tcW w:w="3092" w:type="dxa"/>
            <w:tcBorders>
              <w:top w:val="single" w:sz="4" w:space="0" w:color="auto"/>
              <w:left w:val="single" w:sz="4" w:space="0" w:color="auto"/>
              <w:bottom w:val="single" w:sz="4" w:space="0" w:color="auto"/>
              <w:right w:val="single" w:sz="4" w:space="0" w:color="auto"/>
            </w:tcBorders>
          </w:tcPr>
          <w:p w:rsidR="00F262E9" w:rsidRPr="00CE63C3" w:rsidRDefault="00F262E9" w:rsidP="00BE0E80">
            <w:pPr>
              <w:rPr>
                <w:rFonts w:ascii="Arial" w:hAnsi="Arial" w:cs="Arial"/>
                <w:sz w:val="20"/>
                <w:szCs w:val="22"/>
                <w:lang w:val="en-US"/>
              </w:rPr>
            </w:pPr>
            <w:r w:rsidRPr="00CE63C3">
              <w:rPr>
                <w:rFonts w:ascii="Arial" w:hAnsi="Arial" w:cs="Arial"/>
                <w:b/>
                <w:sz w:val="20"/>
                <w:szCs w:val="22"/>
                <w:lang w:val="en-US"/>
              </w:rPr>
              <w:t>Maintaining OPG’s Financial Viability / Capital Structure</w:t>
            </w:r>
          </w:p>
          <w:p w:rsidR="00F262E9" w:rsidRPr="00CE63C3" w:rsidRDefault="00F262E9" w:rsidP="00BE0E80">
            <w:pPr>
              <w:rPr>
                <w:rFonts w:ascii="Arial" w:hAnsi="Arial" w:cs="Arial"/>
                <w:sz w:val="20"/>
                <w:szCs w:val="22"/>
                <w:u w:val="single"/>
                <w:lang w:val="en-US" w:eastAsia="en-US"/>
              </w:rPr>
            </w:pPr>
          </w:p>
          <w:p w:rsidR="00F262E9" w:rsidRPr="00CE63C3" w:rsidRDefault="00F262E9" w:rsidP="00BE0E80">
            <w:pPr>
              <w:rPr>
                <w:rFonts w:ascii="Arial" w:hAnsi="Arial" w:cs="Arial"/>
                <w:sz w:val="20"/>
                <w:szCs w:val="22"/>
                <w:u w:val="single"/>
                <w:lang w:val="en-US" w:eastAsia="en-US"/>
              </w:rPr>
            </w:pPr>
          </w:p>
          <w:p w:rsidR="00F262E9" w:rsidRPr="00CE63C3" w:rsidRDefault="00F262E9" w:rsidP="00BE0E80">
            <w:pPr>
              <w:rPr>
                <w:rFonts w:ascii="Arial" w:hAnsi="Arial" w:cs="Arial"/>
                <w:sz w:val="20"/>
                <w:szCs w:val="22"/>
                <w:u w:val="single"/>
                <w:lang w:val="en-US" w:eastAsia="en-US"/>
              </w:rPr>
            </w:pPr>
          </w:p>
          <w:p w:rsidR="00F262E9" w:rsidRPr="00CE63C3" w:rsidRDefault="00F262E9" w:rsidP="00BE0E80">
            <w:pPr>
              <w:rPr>
                <w:rFonts w:ascii="Arial" w:hAnsi="Arial" w:cs="Arial"/>
                <w:sz w:val="20"/>
                <w:szCs w:val="22"/>
                <w:u w:val="single"/>
                <w:lang w:val="en-US" w:eastAsia="en-US"/>
              </w:rPr>
            </w:pPr>
          </w:p>
          <w:p w:rsidR="00536D16" w:rsidRDefault="00536D16" w:rsidP="00BE0E80">
            <w:pPr>
              <w:rPr>
                <w:rFonts w:ascii="Arial" w:hAnsi="Arial" w:cs="Arial"/>
                <w:sz w:val="20"/>
                <w:szCs w:val="22"/>
                <w:u w:val="single"/>
                <w:lang w:val="en-US" w:eastAsia="en-US"/>
              </w:rPr>
            </w:pPr>
          </w:p>
          <w:p w:rsidR="00536D16" w:rsidRDefault="00536D16" w:rsidP="00536D16">
            <w:pPr>
              <w:rPr>
                <w:rFonts w:ascii="Arial" w:hAnsi="Arial" w:cs="Arial"/>
                <w:sz w:val="20"/>
                <w:szCs w:val="22"/>
                <w:lang w:val="en-US" w:eastAsia="en-US"/>
              </w:rPr>
            </w:pPr>
          </w:p>
          <w:p w:rsidR="00F262E9" w:rsidRPr="000D6C85" w:rsidRDefault="00F262E9" w:rsidP="000D6C85">
            <w:pPr>
              <w:rPr>
                <w:rFonts w:ascii="Arial" w:hAnsi="Arial"/>
                <w:sz w:val="20"/>
                <w:lang w:val="en-US"/>
              </w:rPr>
            </w:pPr>
          </w:p>
        </w:tc>
        <w:tc>
          <w:tcPr>
            <w:tcW w:w="1316" w:type="dxa"/>
            <w:tcBorders>
              <w:top w:val="single" w:sz="4" w:space="0" w:color="auto"/>
              <w:left w:val="single" w:sz="4" w:space="0" w:color="auto"/>
              <w:bottom w:val="single" w:sz="4" w:space="0" w:color="auto"/>
              <w:right w:val="single" w:sz="4" w:space="0" w:color="auto"/>
            </w:tcBorders>
          </w:tcPr>
          <w:p w:rsidR="00F262E9" w:rsidRPr="00CE63C3" w:rsidRDefault="00F262E9" w:rsidP="00BE0E80">
            <w:pPr>
              <w:jc w:val="center"/>
              <w:rPr>
                <w:rFonts w:ascii="Arial" w:hAnsi="Arial" w:cs="Arial"/>
                <w:sz w:val="20"/>
                <w:szCs w:val="22"/>
                <w:lang w:val="en-US" w:eastAsia="en-US"/>
              </w:rPr>
            </w:pPr>
            <w:r w:rsidRPr="00CE63C3">
              <w:rPr>
                <w:rFonts w:ascii="Arial" w:hAnsi="Arial" w:cs="Arial"/>
                <w:sz w:val="20"/>
                <w:szCs w:val="22"/>
                <w:lang w:val="en-US" w:eastAsia="en-US"/>
              </w:rPr>
              <w:t>L</w:t>
            </w:r>
          </w:p>
        </w:tc>
        <w:tc>
          <w:tcPr>
            <w:tcW w:w="1116" w:type="dxa"/>
            <w:tcBorders>
              <w:top w:val="single" w:sz="4" w:space="0" w:color="auto"/>
              <w:left w:val="single" w:sz="4" w:space="0" w:color="auto"/>
              <w:bottom w:val="single" w:sz="4" w:space="0" w:color="auto"/>
              <w:right w:val="single" w:sz="4" w:space="0" w:color="auto"/>
            </w:tcBorders>
          </w:tcPr>
          <w:p w:rsidR="00F262E9" w:rsidRPr="00CE63C3" w:rsidRDefault="00F262E9" w:rsidP="00BE0E80">
            <w:pPr>
              <w:jc w:val="center"/>
              <w:rPr>
                <w:rFonts w:ascii="Arial" w:hAnsi="Arial" w:cs="Arial"/>
                <w:sz w:val="20"/>
                <w:szCs w:val="22"/>
                <w:lang w:eastAsia="en-US"/>
              </w:rPr>
            </w:pPr>
            <w:r w:rsidRPr="00CE63C3">
              <w:rPr>
                <w:rFonts w:ascii="Arial" w:hAnsi="Arial" w:cs="Arial"/>
                <w:sz w:val="20"/>
                <w:szCs w:val="22"/>
                <w:lang w:eastAsia="en-US"/>
              </w:rPr>
              <w:t>H</w:t>
            </w:r>
          </w:p>
        </w:tc>
        <w:tc>
          <w:tcPr>
            <w:tcW w:w="4257" w:type="dxa"/>
            <w:tcBorders>
              <w:top w:val="single" w:sz="4" w:space="0" w:color="auto"/>
              <w:left w:val="single" w:sz="4" w:space="0" w:color="auto"/>
              <w:bottom w:val="single" w:sz="4" w:space="0" w:color="auto"/>
              <w:right w:val="single" w:sz="4" w:space="0" w:color="auto"/>
            </w:tcBorders>
          </w:tcPr>
          <w:p w:rsidR="00F262E9" w:rsidRPr="00CE63C3" w:rsidRDefault="00F262E9" w:rsidP="00B517C1">
            <w:pPr>
              <w:pStyle w:val="ListParagraph"/>
              <w:numPr>
                <w:ilvl w:val="0"/>
                <w:numId w:val="11"/>
              </w:numPr>
              <w:rPr>
                <w:rFonts w:ascii="Arial" w:hAnsi="Arial" w:cs="Arial"/>
                <w:sz w:val="20"/>
                <w:szCs w:val="22"/>
                <w:lang w:val="en-US"/>
              </w:rPr>
            </w:pPr>
            <w:r w:rsidRPr="00CE63C3">
              <w:rPr>
                <w:rFonts w:ascii="Arial" w:hAnsi="Arial" w:cs="Arial"/>
                <w:sz w:val="20"/>
                <w:szCs w:val="22"/>
                <w:lang w:val="en-US"/>
              </w:rPr>
              <w:t>OPG requires equity injections on an on-going basis from the Province (i.e., Ministry of Energy).</w:t>
            </w:r>
          </w:p>
          <w:p w:rsidR="00F262E9" w:rsidRPr="00CE63C3" w:rsidRDefault="00F262E9" w:rsidP="00BE0E80">
            <w:pPr>
              <w:pStyle w:val="ListParagraph"/>
              <w:ind w:left="360"/>
              <w:rPr>
                <w:rFonts w:ascii="Arial" w:hAnsi="Arial" w:cs="Arial"/>
                <w:sz w:val="20"/>
                <w:szCs w:val="22"/>
                <w:lang w:val="en-US"/>
              </w:rPr>
            </w:pPr>
          </w:p>
          <w:p w:rsidR="00F262E9" w:rsidRPr="00CE63C3" w:rsidRDefault="00F262E9" w:rsidP="00B517C1">
            <w:pPr>
              <w:pStyle w:val="ListParagraph"/>
              <w:numPr>
                <w:ilvl w:val="0"/>
                <w:numId w:val="11"/>
              </w:numPr>
              <w:rPr>
                <w:rFonts w:ascii="Arial" w:hAnsi="Arial" w:cs="Arial"/>
                <w:sz w:val="20"/>
                <w:szCs w:val="22"/>
                <w:lang w:val="en-US"/>
              </w:rPr>
            </w:pPr>
            <w:r w:rsidRPr="00CE63C3">
              <w:rPr>
                <w:rFonts w:ascii="Arial" w:hAnsi="Arial" w:cs="Arial"/>
                <w:sz w:val="20"/>
                <w:szCs w:val="22"/>
                <w:lang w:val="en-US"/>
              </w:rPr>
              <w:t xml:space="preserve">Equity injections are necessary to support OPG as the owner and manager of GA refinancing. The equity injections allow OPG to strengthen the capital structure of the Trust in order to secure financing at a reasonable cost.  </w:t>
            </w:r>
          </w:p>
          <w:p w:rsidR="00F262E9" w:rsidRPr="00CE63C3" w:rsidRDefault="00F262E9" w:rsidP="00B517C1">
            <w:pPr>
              <w:pStyle w:val="ListParagraph"/>
              <w:numPr>
                <w:ilvl w:val="0"/>
                <w:numId w:val="11"/>
              </w:numPr>
              <w:rPr>
                <w:rFonts w:ascii="Arial" w:hAnsi="Arial" w:cs="Arial"/>
                <w:sz w:val="20"/>
                <w:szCs w:val="22"/>
              </w:rPr>
            </w:pPr>
            <w:r w:rsidRPr="00CE63C3">
              <w:rPr>
                <w:rFonts w:ascii="Arial" w:hAnsi="Arial" w:cs="Arial"/>
                <w:sz w:val="20"/>
                <w:szCs w:val="22"/>
              </w:rPr>
              <w:t>In order to provide financing, OPG would develop a special purpose vehicle (SPV).</w:t>
            </w:r>
          </w:p>
          <w:p w:rsidR="00230F59" w:rsidRPr="00CB3896" w:rsidRDefault="00230F59" w:rsidP="00CB3896">
            <w:pPr>
              <w:rPr>
                <w:rFonts w:ascii="Arial" w:hAnsi="Arial" w:cs="Arial"/>
                <w:sz w:val="20"/>
                <w:szCs w:val="22"/>
              </w:rPr>
            </w:pPr>
          </w:p>
          <w:p w:rsidR="00F262E9" w:rsidRPr="007720DF" w:rsidRDefault="00F262E9" w:rsidP="00B517C1">
            <w:pPr>
              <w:pStyle w:val="ListParagraph"/>
              <w:numPr>
                <w:ilvl w:val="0"/>
                <w:numId w:val="11"/>
              </w:numPr>
              <w:rPr>
                <w:rFonts w:ascii="Arial" w:hAnsi="Arial" w:cs="Arial"/>
                <w:sz w:val="20"/>
                <w:szCs w:val="22"/>
                <w:lang w:val="en-US"/>
              </w:rPr>
            </w:pPr>
            <w:r w:rsidRPr="00CE63C3">
              <w:rPr>
                <w:rFonts w:ascii="Arial" w:hAnsi="Arial" w:cs="Arial"/>
                <w:sz w:val="20"/>
                <w:szCs w:val="22"/>
                <w:lang w:val="en-US"/>
              </w:rPr>
              <w:t>OPG has a great deal of experience managing the risks associated with borrowing through its experience developing capital-intensive generation projects as well as their management of Nuclear Funds.</w:t>
            </w:r>
          </w:p>
          <w:p w:rsidR="00F262E9" w:rsidRPr="007C6F4B" w:rsidRDefault="00F262E9" w:rsidP="00B517C1">
            <w:pPr>
              <w:pStyle w:val="ListParagraph"/>
              <w:numPr>
                <w:ilvl w:val="0"/>
                <w:numId w:val="11"/>
              </w:numPr>
              <w:rPr>
                <w:rFonts w:ascii="Arial" w:hAnsi="Arial" w:cs="Arial"/>
                <w:sz w:val="20"/>
                <w:szCs w:val="22"/>
                <w:lang w:val="en-US"/>
              </w:rPr>
            </w:pPr>
            <w:r w:rsidRPr="00CE63C3">
              <w:rPr>
                <w:rFonts w:ascii="Arial" w:hAnsi="Arial" w:cs="Arial"/>
                <w:sz w:val="20"/>
                <w:szCs w:val="22"/>
              </w:rPr>
              <w:t xml:space="preserve">OPG will seek to achieve the highest possible credit rating (i.e., AAA is possible) in order to reduce borrowing costs and attract a wide investor base.  </w:t>
            </w:r>
          </w:p>
          <w:p w:rsidR="007C6F4B" w:rsidRDefault="007C6F4B" w:rsidP="007C6F4B">
            <w:pPr>
              <w:rPr>
                <w:rFonts w:ascii="Arial" w:hAnsi="Arial" w:cs="Arial"/>
                <w:sz w:val="20"/>
                <w:szCs w:val="22"/>
                <w:lang w:val="en-US"/>
              </w:rPr>
            </w:pPr>
          </w:p>
          <w:p w:rsidR="007C6F4B" w:rsidRDefault="003576F7" w:rsidP="007C6F4B">
            <w:pPr>
              <w:rPr>
                <w:rFonts w:ascii="Arial" w:hAnsi="Arial" w:cs="Arial"/>
                <w:b/>
                <w:sz w:val="20"/>
                <w:szCs w:val="22"/>
                <w:u w:val="single"/>
              </w:rPr>
            </w:pPr>
            <w:r w:rsidRPr="00C05B4C">
              <w:rPr>
                <w:rFonts w:ascii="Arial" w:hAnsi="Arial" w:cs="Arial"/>
                <w:b/>
                <w:sz w:val="20"/>
                <w:szCs w:val="22"/>
                <w:u w:val="single"/>
              </w:rPr>
              <w:t>Update</w:t>
            </w:r>
            <w:r w:rsidR="00150BC5" w:rsidRPr="00C05B4C">
              <w:rPr>
                <w:rFonts w:ascii="Arial" w:hAnsi="Arial" w:cs="Arial"/>
                <w:b/>
                <w:sz w:val="20"/>
                <w:szCs w:val="22"/>
                <w:u w:val="single"/>
              </w:rPr>
              <w:t>:</w:t>
            </w:r>
          </w:p>
          <w:p w:rsidR="00C05B4C" w:rsidRPr="00C05B4C" w:rsidRDefault="00C05B4C" w:rsidP="007C6F4B">
            <w:pPr>
              <w:rPr>
                <w:rFonts w:ascii="Arial" w:hAnsi="Arial" w:cs="Arial"/>
                <w:b/>
                <w:sz w:val="20"/>
                <w:szCs w:val="22"/>
                <w:u w:val="single"/>
              </w:rPr>
            </w:pPr>
          </w:p>
          <w:p w:rsidR="00B70FE1" w:rsidRPr="00B70FE1" w:rsidRDefault="00B70FE1" w:rsidP="00B70FE1">
            <w:pPr>
              <w:pStyle w:val="ListParagraph"/>
              <w:rPr>
                <w:rFonts w:ascii="Arial" w:hAnsi="Arial" w:cs="Arial"/>
                <w:sz w:val="20"/>
                <w:szCs w:val="22"/>
                <w:u w:val="single"/>
                <w:lang w:val="en-US"/>
              </w:rPr>
            </w:pPr>
          </w:p>
          <w:p w:rsidR="007C6F4B" w:rsidRDefault="00B70FE1" w:rsidP="00B517C1">
            <w:pPr>
              <w:pStyle w:val="ListParagraph"/>
              <w:numPr>
                <w:ilvl w:val="0"/>
                <w:numId w:val="11"/>
              </w:numPr>
              <w:rPr>
                <w:rFonts w:ascii="Arial" w:hAnsi="Arial" w:cs="Arial"/>
                <w:sz w:val="20"/>
                <w:szCs w:val="22"/>
              </w:rPr>
            </w:pPr>
            <w:r>
              <w:rPr>
                <w:rFonts w:ascii="Arial" w:hAnsi="Arial" w:cs="Arial"/>
                <w:sz w:val="20"/>
                <w:szCs w:val="22"/>
              </w:rPr>
              <w:t>Work is ongoing to f</w:t>
            </w:r>
            <w:r w:rsidRPr="00B70FE1">
              <w:rPr>
                <w:rFonts w:ascii="Arial" w:hAnsi="Arial" w:cs="Arial"/>
                <w:sz w:val="20"/>
                <w:szCs w:val="22"/>
              </w:rPr>
              <w:t>inalize a draft term sheet</w:t>
            </w:r>
            <w:r w:rsidR="006822FE">
              <w:rPr>
                <w:rFonts w:ascii="Arial" w:hAnsi="Arial" w:cs="Arial"/>
                <w:sz w:val="20"/>
                <w:szCs w:val="22"/>
              </w:rPr>
              <w:t xml:space="preserve"> that would</w:t>
            </w:r>
            <w:r w:rsidRPr="00B70FE1">
              <w:rPr>
                <w:rFonts w:ascii="Arial" w:hAnsi="Arial" w:cs="Arial"/>
                <w:sz w:val="20"/>
                <w:szCs w:val="22"/>
              </w:rPr>
              <w:t xml:space="preserve"> serve as the basis for the Master Subscription Agreement between OPG/</w:t>
            </w:r>
            <w:r w:rsidR="006822FE">
              <w:rPr>
                <w:rFonts w:ascii="Arial" w:hAnsi="Arial" w:cs="Arial"/>
                <w:sz w:val="20"/>
                <w:szCs w:val="22"/>
              </w:rPr>
              <w:t xml:space="preserve">ENERGY </w:t>
            </w:r>
            <w:r w:rsidRPr="00B70FE1">
              <w:rPr>
                <w:rFonts w:ascii="Arial" w:hAnsi="Arial" w:cs="Arial"/>
                <w:sz w:val="20"/>
                <w:szCs w:val="22"/>
              </w:rPr>
              <w:t>and OFA</w:t>
            </w:r>
            <w:r>
              <w:rPr>
                <w:rFonts w:ascii="Arial" w:hAnsi="Arial" w:cs="Arial"/>
                <w:sz w:val="20"/>
                <w:szCs w:val="22"/>
              </w:rPr>
              <w:t>.</w:t>
            </w:r>
            <w:r w:rsidR="006822FE">
              <w:rPr>
                <w:rFonts w:ascii="Arial" w:hAnsi="Arial" w:cs="Arial"/>
                <w:sz w:val="20"/>
                <w:szCs w:val="22"/>
              </w:rPr>
              <w:t xml:space="preserve">  In addition, </w:t>
            </w:r>
            <w:r w:rsidRPr="006822FE">
              <w:rPr>
                <w:rFonts w:ascii="Arial" w:hAnsi="Arial" w:cs="Arial"/>
                <w:sz w:val="20"/>
                <w:szCs w:val="22"/>
              </w:rPr>
              <w:t>OFA and ENE to develop Service Level Agreement for monthly cash management services</w:t>
            </w:r>
            <w:r w:rsidR="006822FE">
              <w:rPr>
                <w:rFonts w:ascii="Arial" w:hAnsi="Arial" w:cs="Arial"/>
                <w:sz w:val="20"/>
                <w:szCs w:val="22"/>
              </w:rPr>
              <w:t xml:space="preserve">. </w:t>
            </w:r>
          </w:p>
          <w:p w:rsidR="006822FE" w:rsidRPr="006822FE" w:rsidRDefault="006822FE" w:rsidP="006822FE">
            <w:pPr>
              <w:rPr>
                <w:rFonts w:ascii="Arial" w:hAnsi="Arial" w:cs="Arial"/>
                <w:sz w:val="20"/>
                <w:szCs w:val="22"/>
              </w:rPr>
            </w:pPr>
          </w:p>
        </w:tc>
      </w:tr>
      <w:tr w:rsidR="00F262E9" w:rsidRPr="00CE63C3" w:rsidTr="00C05B4C">
        <w:trPr>
          <w:trHeight w:val="355"/>
        </w:trPr>
        <w:tc>
          <w:tcPr>
            <w:tcW w:w="3092" w:type="dxa"/>
            <w:tcBorders>
              <w:top w:val="single" w:sz="4" w:space="0" w:color="auto"/>
              <w:left w:val="single" w:sz="4" w:space="0" w:color="auto"/>
              <w:bottom w:val="single" w:sz="4" w:space="0" w:color="auto"/>
              <w:right w:val="single" w:sz="4" w:space="0" w:color="auto"/>
            </w:tcBorders>
          </w:tcPr>
          <w:p w:rsidR="00F262E9" w:rsidRPr="00CE63C3" w:rsidRDefault="00F262E9" w:rsidP="00BE0E80">
            <w:pPr>
              <w:rPr>
                <w:rFonts w:ascii="Arial" w:hAnsi="Arial" w:cs="Arial"/>
                <w:sz w:val="20"/>
                <w:szCs w:val="22"/>
                <w:lang w:val="en-US"/>
              </w:rPr>
            </w:pPr>
            <w:r w:rsidRPr="00CE63C3">
              <w:rPr>
                <w:rFonts w:ascii="Arial" w:hAnsi="Arial" w:cs="Arial"/>
                <w:b/>
                <w:sz w:val="20"/>
                <w:szCs w:val="22"/>
                <w:lang w:val="en-US"/>
              </w:rPr>
              <w:t>OPG Securing Capital Markets Funding</w:t>
            </w:r>
          </w:p>
          <w:p w:rsidR="00F262E9" w:rsidRPr="00CE63C3" w:rsidRDefault="00F262E9" w:rsidP="00BE0E80">
            <w:pPr>
              <w:rPr>
                <w:rFonts w:ascii="Arial" w:hAnsi="Arial" w:cs="Arial"/>
                <w:sz w:val="20"/>
                <w:szCs w:val="22"/>
                <w:lang w:val="en-US"/>
              </w:rPr>
            </w:pPr>
          </w:p>
          <w:p w:rsidR="00F262E9" w:rsidRPr="00CE63C3" w:rsidRDefault="00F262E9" w:rsidP="00BE0E80">
            <w:pPr>
              <w:rPr>
                <w:rFonts w:ascii="Arial" w:hAnsi="Arial" w:cs="Arial"/>
                <w:sz w:val="20"/>
                <w:szCs w:val="22"/>
              </w:rPr>
            </w:pPr>
          </w:p>
        </w:tc>
        <w:tc>
          <w:tcPr>
            <w:tcW w:w="1316" w:type="dxa"/>
            <w:tcBorders>
              <w:top w:val="single" w:sz="4" w:space="0" w:color="auto"/>
              <w:left w:val="single" w:sz="4" w:space="0" w:color="auto"/>
              <w:bottom w:val="single" w:sz="4" w:space="0" w:color="auto"/>
              <w:right w:val="single" w:sz="4" w:space="0" w:color="auto"/>
            </w:tcBorders>
          </w:tcPr>
          <w:p w:rsidR="00F262E9" w:rsidRPr="00CE63C3" w:rsidRDefault="00F262E9" w:rsidP="00BE0E80">
            <w:pPr>
              <w:jc w:val="center"/>
              <w:rPr>
                <w:rFonts w:ascii="Arial" w:hAnsi="Arial" w:cs="Arial"/>
                <w:sz w:val="20"/>
                <w:szCs w:val="22"/>
                <w:lang w:eastAsia="en-US"/>
              </w:rPr>
            </w:pPr>
            <w:r w:rsidRPr="00CE63C3">
              <w:rPr>
                <w:rFonts w:ascii="Arial" w:hAnsi="Arial" w:cs="Arial"/>
                <w:sz w:val="20"/>
                <w:szCs w:val="22"/>
                <w:lang w:eastAsia="en-US"/>
              </w:rPr>
              <w:t>L</w:t>
            </w:r>
          </w:p>
        </w:tc>
        <w:tc>
          <w:tcPr>
            <w:tcW w:w="1116" w:type="dxa"/>
            <w:tcBorders>
              <w:top w:val="single" w:sz="4" w:space="0" w:color="auto"/>
              <w:left w:val="single" w:sz="4" w:space="0" w:color="auto"/>
              <w:bottom w:val="single" w:sz="4" w:space="0" w:color="auto"/>
              <w:right w:val="single" w:sz="4" w:space="0" w:color="auto"/>
            </w:tcBorders>
          </w:tcPr>
          <w:p w:rsidR="00F262E9" w:rsidRPr="00CE63C3" w:rsidRDefault="00F262E9" w:rsidP="00BE0E80">
            <w:pPr>
              <w:jc w:val="center"/>
              <w:rPr>
                <w:rFonts w:ascii="Arial" w:hAnsi="Arial" w:cs="Arial"/>
                <w:sz w:val="20"/>
                <w:szCs w:val="22"/>
                <w:lang w:eastAsia="en-US"/>
              </w:rPr>
            </w:pPr>
            <w:r w:rsidRPr="00CE63C3">
              <w:rPr>
                <w:rFonts w:ascii="Arial" w:hAnsi="Arial" w:cs="Arial"/>
                <w:sz w:val="20"/>
                <w:szCs w:val="22"/>
                <w:lang w:eastAsia="en-US"/>
              </w:rPr>
              <w:t>H</w:t>
            </w:r>
          </w:p>
        </w:tc>
        <w:tc>
          <w:tcPr>
            <w:tcW w:w="4257" w:type="dxa"/>
            <w:tcBorders>
              <w:top w:val="single" w:sz="4" w:space="0" w:color="auto"/>
              <w:left w:val="single" w:sz="4" w:space="0" w:color="auto"/>
              <w:bottom w:val="single" w:sz="4" w:space="0" w:color="auto"/>
              <w:right w:val="single" w:sz="4" w:space="0" w:color="auto"/>
            </w:tcBorders>
          </w:tcPr>
          <w:p w:rsidR="00F262E9" w:rsidRPr="00CE63C3" w:rsidRDefault="00F262E9" w:rsidP="00B517C1">
            <w:pPr>
              <w:pStyle w:val="ListParagraph"/>
              <w:numPr>
                <w:ilvl w:val="0"/>
                <w:numId w:val="12"/>
              </w:numPr>
              <w:rPr>
                <w:rFonts w:ascii="Arial" w:hAnsi="Arial" w:cs="Arial"/>
                <w:sz w:val="20"/>
                <w:szCs w:val="22"/>
                <w:lang w:val="en-US"/>
              </w:rPr>
            </w:pPr>
            <w:r w:rsidRPr="00CE63C3">
              <w:rPr>
                <w:rFonts w:ascii="Arial" w:hAnsi="Arial" w:cs="Arial"/>
                <w:sz w:val="20"/>
                <w:szCs w:val="22"/>
                <w:lang w:val="en-US"/>
              </w:rPr>
              <w:t>OPG will need to obtain a portion of the required funding from the capital markets.</w:t>
            </w:r>
          </w:p>
          <w:p w:rsidR="00F262E9" w:rsidRPr="00CE63C3" w:rsidRDefault="00F262E9" w:rsidP="00BE0E80">
            <w:pPr>
              <w:pStyle w:val="ListParagraph"/>
              <w:rPr>
                <w:rFonts w:ascii="Arial" w:hAnsi="Arial" w:cs="Arial"/>
                <w:sz w:val="20"/>
                <w:szCs w:val="22"/>
              </w:rPr>
            </w:pPr>
          </w:p>
          <w:p w:rsidR="00F262E9" w:rsidRPr="00CE63C3" w:rsidRDefault="00B70FE1" w:rsidP="00B517C1">
            <w:pPr>
              <w:pStyle w:val="ListParagraph"/>
              <w:numPr>
                <w:ilvl w:val="0"/>
                <w:numId w:val="12"/>
              </w:numPr>
              <w:rPr>
                <w:rFonts w:ascii="Arial" w:hAnsi="Arial" w:cs="Arial"/>
                <w:sz w:val="20"/>
                <w:szCs w:val="22"/>
              </w:rPr>
            </w:pPr>
            <w:r>
              <w:rPr>
                <w:rFonts w:ascii="Arial" w:hAnsi="Arial" w:cs="Arial"/>
                <w:sz w:val="20"/>
                <w:szCs w:val="22"/>
              </w:rPr>
              <w:t xml:space="preserve">The Ministry, IESO, OPG and other ministries have </w:t>
            </w:r>
            <w:r w:rsidR="00F262E9" w:rsidRPr="00CE63C3">
              <w:rPr>
                <w:rFonts w:ascii="Arial" w:hAnsi="Arial" w:cs="Arial"/>
                <w:sz w:val="20"/>
                <w:szCs w:val="22"/>
              </w:rPr>
              <w:t xml:space="preserve">worked closely with third-party financial advisors in advance of and throughout the drafting process to help to ensure that the legislation enables refinancing of the GA.  </w:t>
            </w:r>
          </w:p>
          <w:p w:rsidR="00F262E9" w:rsidRPr="00CE63C3" w:rsidRDefault="00F262E9" w:rsidP="00BE0E80">
            <w:pPr>
              <w:pStyle w:val="ListParagraph"/>
              <w:rPr>
                <w:rFonts w:ascii="Arial" w:hAnsi="Arial" w:cs="Arial"/>
                <w:sz w:val="20"/>
                <w:szCs w:val="22"/>
                <w:lang w:eastAsia="en-US"/>
              </w:rPr>
            </w:pPr>
          </w:p>
          <w:p w:rsidR="00F262E9" w:rsidRPr="00CE63C3" w:rsidRDefault="00F262E9" w:rsidP="00B517C1">
            <w:pPr>
              <w:pStyle w:val="ListParagraph"/>
              <w:numPr>
                <w:ilvl w:val="0"/>
                <w:numId w:val="12"/>
              </w:numPr>
              <w:rPr>
                <w:rFonts w:ascii="Arial" w:hAnsi="Arial" w:cs="Arial"/>
                <w:sz w:val="20"/>
                <w:szCs w:val="22"/>
              </w:rPr>
            </w:pPr>
            <w:r w:rsidRPr="00CE63C3">
              <w:rPr>
                <w:rFonts w:ascii="Arial" w:hAnsi="Arial" w:cs="Arial"/>
                <w:sz w:val="20"/>
                <w:szCs w:val="22"/>
              </w:rPr>
              <w:t>In order to provide financing, OPG would develop a special purpose vehicle (SPV) which will use 100% debt financing to purchase the regulatory asset, financing 51% through capital markets as senior debt, with the remaining 49% being provided by OPG as subordinated debt.</w:t>
            </w:r>
          </w:p>
          <w:p w:rsidR="008416E1" w:rsidRPr="008416E1" w:rsidRDefault="008416E1" w:rsidP="008416E1">
            <w:pPr>
              <w:rPr>
                <w:rFonts w:ascii="Arial" w:hAnsi="Arial" w:cs="Arial"/>
                <w:sz w:val="20"/>
                <w:szCs w:val="22"/>
              </w:rPr>
            </w:pPr>
            <w:r>
              <w:rPr>
                <w:rFonts w:ascii="Arial" w:hAnsi="Arial" w:cs="Arial"/>
                <w:sz w:val="20"/>
                <w:szCs w:val="22"/>
              </w:rPr>
              <w:t>U</w:t>
            </w:r>
          </w:p>
          <w:p w:rsidR="00F262E9" w:rsidRDefault="00F262E9" w:rsidP="00B517C1">
            <w:pPr>
              <w:pStyle w:val="ListParagraph"/>
              <w:numPr>
                <w:ilvl w:val="0"/>
                <w:numId w:val="12"/>
              </w:numPr>
              <w:rPr>
                <w:rFonts w:ascii="Arial" w:hAnsi="Arial" w:cs="Arial"/>
                <w:sz w:val="20"/>
                <w:szCs w:val="22"/>
              </w:rPr>
            </w:pPr>
            <w:r w:rsidRPr="00CE63C3">
              <w:rPr>
                <w:rFonts w:ascii="Arial" w:hAnsi="Arial" w:cs="Arial"/>
                <w:sz w:val="20"/>
                <w:szCs w:val="22"/>
              </w:rPr>
              <w:t>The 49% subordinated debt from OPG will be financed through debt OPG issues in its own capacity, through capital markets (up to 5%) with the remainder (44-49%) financed through equity injections from the Province. This will help to ensure OPG’s capital structure remains in line.</w:t>
            </w:r>
          </w:p>
          <w:p w:rsidR="004472EC" w:rsidRDefault="004472EC" w:rsidP="00194B08">
            <w:pPr>
              <w:rPr>
                <w:rFonts w:ascii="Arial" w:hAnsi="Arial" w:cs="Arial"/>
                <w:b/>
                <w:sz w:val="20"/>
                <w:szCs w:val="22"/>
                <w:u w:val="single"/>
              </w:rPr>
            </w:pPr>
          </w:p>
          <w:p w:rsidR="003576F7" w:rsidRDefault="003576F7" w:rsidP="00194B08">
            <w:pPr>
              <w:rPr>
                <w:rFonts w:ascii="Arial" w:hAnsi="Arial" w:cs="Arial"/>
                <w:b/>
                <w:sz w:val="20"/>
                <w:szCs w:val="22"/>
                <w:u w:val="single"/>
              </w:rPr>
            </w:pPr>
            <w:r w:rsidRPr="00C05B4C">
              <w:rPr>
                <w:rFonts w:ascii="Arial" w:hAnsi="Arial" w:cs="Arial"/>
                <w:b/>
                <w:sz w:val="20"/>
                <w:szCs w:val="22"/>
                <w:u w:val="single"/>
              </w:rPr>
              <w:t>Update</w:t>
            </w:r>
            <w:r w:rsidR="00C05B4C" w:rsidRPr="00C05B4C">
              <w:rPr>
                <w:rFonts w:ascii="Arial" w:hAnsi="Arial" w:cs="Arial"/>
                <w:b/>
                <w:sz w:val="20"/>
                <w:szCs w:val="22"/>
                <w:u w:val="single"/>
              </w:rPr>
              <w:t>:</w:t>
            </w:r>
          </w:p>
          <w:p w:rsidR="00C05B4C" w:rsidRPr="00C05B4C" w:rsidRDefault="00C05B4C" w:rsidP="00194B08">
            <w:pPr>
              <w:rPr>
                <w:rFonts w:ascii="Arial" w:hAnsi="Arial" w:cs="Arial"/>
                <w:b/>
                <w:sz w:val="20"/>
                <w:szCs w:val="22"/>
                <w:u w:val="single"/>
              </w:rPr>
            </w:pPr>
          </w:p>
          <w:p w:rsidR="00150BC5" w:rsidRDefault="00150BC5" w:rsidP="00B517C1">
            <w:pPr>
              <w:pStyle w:val="ListParagraph"/>
              <w:numPr>
                <w:ilvl w:val="0"/>
                <w:numId w:val="12"/>
              </w:numPr>
              <w:rPr>
                <w:rFonts w:ascii="Arial" w:hAnsi="Arial" w:cs="Arial"/>
                <w:sz w:val="20"/>
                <w:szCs w:val="22"/>
                <w:lang w:val="en-US"/>
              </w:rPr>
            </w:pPr>
            <w:r>
              <w:rPr>
                <w:rFonts w:ascii="Arial" w:hAnsi="Arial" w:cs="Arial"/>
                <w:sz w:val="20"/>
                <w:szCs w:val="22"/>
                <w:lang w:val="en-US"/>
              </w:rPr>
              <w:t xml:space="preserve">The legislation </w:t>
            </w:r>
            <w:r w:rsidR="009443CF">
              <w:rPr>
                <w:rFonts w:ascii="Arial" w:hAnsi="Arial" w:cs="Arial"/>
                <w:sz w:val="20"/>
                <w:szCs w:val="22"/>
                <w:lang w:val="en-US"/>
              </w:rPr>
              <w:t xml:space="preserve">and proposed general regulation </w:t>
            </w:r>
            <w:r>
              <w:rPr>
                <w:rFonts w:ascii="Arial" w:hAnsi="Arial" w:cs="Arial"/>
                <w:sz w:val="20"/>
                <w:szCs w:val="22"/>
                <w:lang w:val="en-US"/>
              </w:rPr>
              <w:t>w</w:t>
            </w:r>
            <w:r w:rsidR="009443CF">
              <w:rPr>
                <w:rFonts w:ascii="Arial" w:hAnsi="Arial" w:cs="Arial"/>
                <w:sz w:val="20"/>
                <w:szCs w:val="22"/>
                <w:lang w:val="en-US"/>
              </w:rPr>
              <w:t>ere</w:t>
            </w:r>
            <w:r>
              <w:rPr>
                <w:rFonts w:ascii="Arial" w:hAnsi="Arial" w:cs="Arial"/>
                <w:sz w:val="20"/>
                <w:szCs w:val="22"/>
                <w:lang w:val="en-US"/>
              </w:rPr>
              <w:t xml:space="preserve"> developed with input from third-party financiers (i.e., dealers) to ensure that the </w:t>
            </w:r>
            <w:r w:rsidRPr="00150BC5">
              <w:rPr>
                <w:rFonts w:ascii="Arial" w:hAnsi="Arial" w:cs="Arial"/>
                <w:i/>
                <w:sz w:val="20"/>
                <w:szCs w:val="22"/>
                <w:lang w:val="en-US"/>
              </w:rPr>
              <w:t>OFHPA</w:t>
            </w:r>
            <w:r>
              <w:rPr>
                <w:rFonts w:ascii="Arial" w:hAnsi="Arial" w:cs="Arial"/>
                <w:sz w:val="20"/>
                <w:szCs w:val="22"/>
                <w:lang w:val="en-US"/>
              </w:rPr>
              <w:t xml:space="preserve"> enables the refinancing of the G</w:t>
            </w:r>
            <w:r w:rsidR="00C05B4C">
              <w:rPr>
                <w:rFonts w:ascii="Arial" w:hAnsi="Arial" w:cs="Arial"/>
                <w:sz w:val="20"/>
                <w:szCs w:val="22"/>
                <w:lang w:val="en-US"/>
              </w:rPr>
              <w:t>lobal Adjustment (GA)</w:t>
            </w:r>
            <w:r>
              <w:rPr>
                <w:rFonts w:ascii="Arial" w:hAnsi="Arial" w:cs="Arial"/>
                <w:sz w:val="20"/>
                <w:szCs w:val="22"/>
                <w:lang w:val="en-US"/>
              </w:rPr>
              <w:t>.</w:t>
            </w:r>
          </w:p>
          <w:p w:rsidR="00DA4A52" w:rsidRDefault="00DA4A52" w:rsidP="00DA4A52">
            <w:pPr>
              <w:pStyle w:val="ListParagraph"/>
              <w:ind w:left="360"/>
              <w:rPr>
                <w:rFonts w:ascii="Arial" w:hAnsi="Arial" w:cs="Arial"/>
                <w:sz w:val="20"/>
                <w:szCs w:val="22"/>
                <w:lang w:val="en-US"/>
              </w:rPr>
            </w:pPr>
          </w:p>
          <w:p w:rsidR="00DA4A52" w:rsidRPr="00C05B4C" w:rsidRDefault="00150BC5" w:rsidP="00B517C1">
            <w:pPr>
              <w:pStyle w:val="ListParagraph"/>
              <w:numPr>
                <w:ilvl w:val="0"/>
                <w:numId w:val="12"/>
              </w:numPr>
              <w:rPr>
                <w:rFonts w:ascii="Arial" w:hAnsi="Arial" w:cs="Arial"/>
                <w:sz w:val="20"/>
                <w:szCs w:val="22"/>
                <w:lang w:val="en-US"/>
              </w:rPr>
            </w:pPr>
            <w:r>
              <w:rPr>
                <w:rFonts w:ascii="Arial" w:hAnsi="Arial" w:cs="Arial"/>
                <w:sz w:val="20"/>
                <w:szCs w:val="22"/>
                <w:lang w:val="en-US"/>
              </w:rPr>
              <w:t xml:space="preserve">OPG is continuing to work through the mechanics of securing </w:t>
            </w:r>
            <w:r w:rsidR="007258AC">
              <w:rPr>
                <w:rFonts w:ascii="Arial" w:hAnsi="Arial" w:cs="Arial"/>
                <w:sz w:val="20"/>
                <w:szCs w:val="22"/>
                <w:lang w:val="en-US"/>
              </w:rPr>
              <w:t>f</w:t>
            </w:r>
            <w:r w:rsidR="00B70FE1">
              <w:rPr>
                <w:rFonts w:ascii="Arial" w:hAnsi="Arial" w:cs="Arial"/>
                <w:sz w:val="20"/>
                <w:szCs w:val="22"/>
                <w:lang w:val="en-US"/>
              </w:rPr>
              <w:t>inancing</w:t>
            </w:r>
            <w:r w:rsidR="007258AC">
              <w:rPr>
                <w:rFonts w:ascii="Arial" w:hAnsi="Arial" w:cs="Arial"/>
                <w:sz w:val="20"/>
                <w:szCs w:val="22"/>
                <w:lang w:val="en-US"/>
              </w:rPr>
              <w:t xml:space="preserve"> (e.g.,</w:t>
            </w:r>
            <w:r>
              <w:rPr>
                <w:rFonts w:ascii="Arial" w:hAnsi="Arial" w:cs="Arial"/>
                <w:sz w:val="20"/>
                <w:szCs w:val="22"/>
                <w:lang w:val="en-US"/>
              </w:rPr>
              <w:t xml:space="preserve"> engaging rate agencies</w:t>
            </w:r>
            <w:r w:rsidR="00B70FE1">
              <w:rPr>
                <w:rFonts w:ascii="Arial" w:hAnsi="Arial" w:cs="Arial"/>
                <w:sz w:val="20"/>
                <w:szCs w:val="22"/>
                <w:lang w:val="en-US"/>
              </w:rPr>
              <w:t>, etc</w:t>
            </w:r>
            <w:r>
              <w:rPr>
                <w:rFonts w:ascii="Arial" w:hAnsi="Arial" w:cs="Arial"/>
                <w:sz w:val="20"/>
                <w:szCs w:val="22"/>
                <w:lang w:val="en-US"/>
              </w:rPr>
              <w:t>).</w:t>
            </w:r>
          </w:p>
          <w:p w:rsidR="00DA4A52" w:rsidRPr="007258AC" w:rsidRDefault="00DA4A52" w:rsidP="007258AC">
            <w:pPr>
              <w:rPr>
                <w:rFonts w:ascii="Arial" w:hAnsi="Arial" w:cs="Arial"/>
                <w:sz w:val="20"/>
                <w:szCs w:val="22"/>
                <w:lang w:val="en-US"/>
              </w:rPr>
            </w:pPr>
          </w:p>
          <w:p w:rsidR="00B70FE1" w:rsidRPr="00B70FE1" w:rsidRDefault="00B70FE1" w:rsidP="00B517C1">
            <w:pPr>
              <w:pStyle w:val="ListParagraph"/>
              <w:numPr>
                <w:ilvl w:val="0"/>
                <w:numId w:val="12"/>
              </w:numPr>
              <w:rPr>
                <w:rFonts w:ascii="Arial" w:hAnsi="Arial" w:cs="Arial"/>
                <w:sz w:val="20"/>
                <w:szCs w:val="22"/>
                <w:lang w:val="en-US"/>
              </w:rPr>
            </w:pPr>
            <w:r>
              <w:rPr>
                <w:rFonts w:ascii="Arial" w:hAnsi="Arial" w:cs="Arial"/>
                <w:sz w:val="20"/>
                <w:szCs w:val="22"/>
                <w:lang w:val="en-US"/>
              </w:rPr>
              <w:t xml:space="preserve">In addition, </w:t>
            </w:r>
            <w:r w:rsidRPr="00B70FE1">
              <w:rPr>
                <w:rFonts w:ascii="Arial" w:hAnsi="Arial" w:cs="Arial"/>
                <w:sz w:val="20"/>
                <w:szCs w:val="22"/>
                <w:lang w:val="en-US"/>
              </w:rPr>
              <w:t xml:space="preserve">in order to provide assurances to those with claims against the </w:t>
            </w:r>
            <w:r w:rsidR="006822FE">
              <w:rPr>
                <w:rFonts w:ascii="Arial" w:hAnsi="Arial" w:cs="Arial"/>
                <w:sz w:val="20"/>
                <w:szCs w:val="22"/>
                <w:lang w:val="en-US"/>
              </w:rPr>
              <w:t>“</w:t>
            </w:r>
            <w:r w:rsidRPr="00B70FE1">
              <w:rPr>
                <w:rFonts w:ascii="Arial" w:hAnsi="Arial" w:cs="Arial"/>
                <w:sz w:val="20"/>
                <w:szCs w:val="22"/>
                <w:lang w:val="en-US"/>
              </w:rPr>
              <w:t>Financing Entity</w:t>
            </w:r>
            <w:r w:rsidR="006822FE">
              <w:rPr>
                <w:rFonts w:ascii="Arial" w:hAnsi="Arial" w:cs="Arial"/>
                <w:sz w:val="20"/>
                <w:szCs w:val="22"/>
                <w:lang w:val="en-US"/>
              </w:rPr>
              <w:t>”</w:t>
            </w:r>
            <w:r w:rsidRPr="00B70FE1">
              <w:rPr>
                <w:rFonts w:ascii="Arial" w:hAnsi="Arial" w:cs="Arial"/>
                <w:sz w:val="20"/>
                <w:szCs w:val="22"/>
                <w:lang w:val="en-US"/>
              </w:rPr>
              <w:t xml:space="preserve"> (e.g., </w:t>
            </w:r>
            <w:r>
              <w:rPr>
                <w:rFonts w:ascii="Arial" w:hAnsi="Arial" w:cs="Arial"/>
                <w:sz w:val="20"/>
                <w:szCs w:val="22"/>
                <w:lang w:val="en-US"/>
              </w:rPr>
              <w:t>h</w:t>
            </w:r>
            <w:r w:rsidRPr="00B70FE1">
              <w:rPr>
                <w:rFonts w:ascii="Arial" w:hAnsi="Arial" w:cs="Arial"/>
                <w:sz w:val="20"/>
                <w:szCs w:val="22"/>
                <w:lang w:val="en-US"/>
              </w:rPr>
              <w:t>olders of debt) and support credit ratings, the Province is providing both a Service Guarantee and a Performance Guarantee to ens</w:t>
            </w:r>
            <w:r>
              <w:rPr>
                <w:rFonts w:ascii="Arial" w:hAnsi="Arial" w:cs="Arial"/>
                <w:sz w:val="20"/>
                <w:szCs w:val="22"/>
                <w:lang w:val="en-US"/>
              </w:rPr>
              <w:t xml:space="preserve">ure that the obligations of </w:t>
            </w:r>
            <w:r w:rsidRPr="00B70FE1">
              <w:rPr>
                <w:rFonts w:ascii="Arial" w:hAnsi="Arial" w:cs="Arial"/>
                <w:sz w:val="20"/>
                <w:szCs w:val="22"/>
                <w:lang w:val="en-US"/>
              </w:rPr>
              <w:t>IESO are carried out including obligations related to collecting and remitting clean energy adjustments</w:t>
            </w:r>
            <w:r>
              <w:rPr>
                <w:rFonts w:ascii="Arial" w:hAnsi="Arial" w:cs="Arial"/>
                <w:sz w:val="20"/>
                <w:szCs w:val="22"/>
                <w:lang w:val="en-US"/>
              </w:rPr>
              <w:t xml:space="preserve">. Working is ongoing. </w:t>
            </w:r>
          </w:p>
          <w:p w:rsidR="003576F7" w:rsidRPr="00194B08" w:rsidRDefault="003576F7" w:rsidP="00194B08">
            <w:pPr>
              <w:rPr>
                <w:rFonts w:ascii="Arial" w:hAnsi="Arial" w:cs="Arial"/>
                <w:sz w:val="20"/>
                <w:szCs w:val="22"/>
              </w:rPr>
            </w:pPr>
          </w:p>
        </w:tc>
      </w:tr>
      <w:tr w:rsidR="00F262E9" w:rsidRPr="00CE63C3" w:rsidTr="00C05B4C">
        <w:trPr>
          <w:trHeight w:val="355"/>
        </w:trPr>
        <w:tc>
          <w:tcPr>
            <w:tcW w:w="3092" w:type="dxa"/>
            <w:tcBorders>
              <w:top w:val="single" w:sz="4" w:space="0" w:color="auto"/>
              <w:left w:val="single" w:sz="4" w:space="0" w:color="auto"/>
              <w:bottom w:val="single" w:sz="4" w:space="0" w:color="auto"/>
              <w:right w:val="single" w:sz="4" w:space="0" w:color="auto"/>
            </w:tcBorders>
          </w:tcPr>
          <w:p w:rsidR="00F262E9" w:rsidRPr="00CE63C3" w:rsidRDefault="00F262E9" w:rsidP="00BE0E80">
            <w:pPr>
              <w:rPr>
                <w:rFonts w:ascii="Arial" w:hAnsi="Arial" w:cs="Arial"/>
                <w:sz w:val="20"/>
                <w:szCs w:val="22"/>
              </w:rPr>
            </w:pPr>
            <w:r w:rsidRPr="00CE63C3">
              <w:rPr>
                <w:rFonts w:ascii="Arial" w:hAnsi="Arial" w:cs="Arial"/>
                <w:b/>
                <w:sz w:val="20"/>
                <w:szCs w:val="22"/>
                <w:lang w:val="en-US"/>
              </w:rPr>
              <w:t>Managing Interest Cost Risks</w:t>
            </w:r>
          </w:p>
          <w:p w:rsidR="00F262E9" w:rsidRPr="00CE63C3" w:rsidRDefault="00F262E9" w:rsidP="00BE0E80">
            <w:pPr>
              <w:rPr>
                <w:rFonts w:ascii="Arial" w:hAnsi="Arial" w:cs="Arial"/>
                <w:sz w:val="20"/>
                <w:szCs w:val="22"/>
                <w:lang w:val="en-US"/>
              </w:rPr>
            </w:pPr>
          </w:p>
        </w:tc>
        <w:tc>
          <w:tcPr>
            <w:tcW w:w="1316" w:type="dxa"/>
            <w:tcBorders>
              <w:top w:val="single" w:sz="4" w:space="0" w:color="auto"/>
              <w:left w:val="single" w:sz="4" w:space="0" w:color="auto"/>
              <w:bottom w:val="single" w:sz="4" w:space="0" w:color="auto"/>
              <w:right w:val="single" w:sz="4" w:space="0" w:color="auto"/>
            </w:tcBorders>
          </w:tcPr>
          <w:p w:rsidR="00F262E9" w:rsidRPr="00CE63C3" w:rsidRDefault="00F262E9" w:rsidP="00BE0E80">
            <w:pPr>
              <w:jc w:val="center"/>
              <w:rPr>
                <w:rFonts w:ascii="Arial" w:hAnsi="Arial" w:cs="Arial"/>
                <w:sz w:val="20"/>
                <w:szCs w:val="22"/>
                <w:lang w:val="en-US" w:eastAsia="en-US"/>
              </w:rPr>
            </w:pPr>
            <w:r w:rsidRPr="00CE63C3">
              <w:rPr>
                <w:rFonts w:ascii="Arial" w:hAnsi="Arial" w:cs="Arial"/>
                <w:sz w:val="20"/>
                <w:szCs w:val="22"/>
                <w:lang w:val="en-US" w:eastAsia="en-US"/>
              </w:rPr>
              <w:t>M</w:t>
            </w:r>
          </w:p>
        </w:tc>
        <w:tc>
          <w:tcPr>
            <w:tcW w:w="1116" w:type="dxa"/>
            <w:tcBorders>
              <w:top w:val="single" w:sz="4" w:space="0" w:color="auto"/>
              <w:left w:val="single" w:sz="4" w:space="0" w:color="auto"/>
              <w:bottom w:val="single" w:sz="4" w:space="0" w:color="auto"/>
              <w:right w:val="single" w:sz="4" w:space="0" w:color="auto"/>
            </w:tcBorders>
          </w:tcPr>
          <w:p w:rsidR="00F262E9" w:rsidRPr="00CE63C3" w:rsidRDefault="00F262E9" w:rsidP="00BE0E80">
            <w:pPr>
              <w:jc w:val="center"/>
              <w:rPr>
                <w:rFonts w:ascii="Arial" w:hAnsi="Arial" w:cs="Arial"/>
                <w:sz w:val="20"/>
                <w:szCs w:val="22"/>
                <w:lang w:eastAsia="en-US"/>
              </w:rPr>
            </w:pPr>
            <w:r w:rsidRPr="00CE63C3">
              <w:rPr>
                <w:rFonts w:ascii="Arial" w:hAnsi="Arial" w:cs="Arial"/>
                <w:sz w:val="20"/>
                <w:szCs w:val="22"/>
                <w:lang w:eastAsia="en-US"/>
              </w:rPr>
              <w:t>H</w:t>
            </w:r>
          </w:p>
        </w:tc>
        <w:tc>
          <w:tcPr>
            <w:tcW w:w="4257" w:type="dxa"/>
            <w:tcBorders>
              <w:top w:val="single" w:sz="4" w:space="0" w:color="auto"/>
              <w:left w:val="single" w:sz="4" w:space="0" w:color="auto"/>
              <w:bottom w:val="single" w:sz="4" w:space="0" w:color="auto"/>
              <w:right w:val="single" w:sz="4" w:space="0" w:color="auto"/>
            </w:tcBorders>
          </w:tcPr>
          <w:p w:rsidR="00F262E9" w:rsidRPr="00CE63C3" w:rsidRDefault="00F262E9" w:rsidP="00B517C1">
            <w:pPr>
              <w:pStyle w:val="ListParagraph"/>
              <w:numPr>
                <w:ilvl w:val="0"/>
                <w:numId w:val="15"/>
              </w:numPr>
              <w:rPr>
                <w:rFonts w:ascii="Arial" w:hAnsi="Arial" w:cs="Arial"/>
                <w:sz w:val="20"/>
                <w:szCs w:val="22"/>
                <w:lang w:val="en-US"/>
              </w:rPr>
            </w:pPr>
            <w:r w:rsidRPr="00CE63C3">
              <w:rPr>
                <w:rFonts w:ascii="Arial" w:hAnsi="Arial" w:cs="Arial"/>
                <w:sz w:val="20"/>
                <w:szCs w:val="22"/>
                <w:lang w:val="en-US"/>
              </w:rPr>
              <w:t xml:space="preserve">OPG’s Special Purpose Vehicle (SPV) / Trust </w:t>
            </w:r>
            <w:r w:rsidRPr="00CE63C3">
              <w:rPr>
                <w:rFonts w:ascii="Arial" w:hAnsi="Arial" w:cs="Arial"/>
                <w:sz w:val="20"/>
                <w:szCs w:val="22"/>
              </w:rPr>
              <w:t xml:space="preserve">is borrowing in its own corporate capacity from the capital markets.  </w:t>
            </w:r>
          </w:p>
          <w:p w:rsidR="00F262E9" w:rsidRPr="00CE63C3" w:rsidRDefault="00F262E9" w:rsidP="00BE0E80">
            <w:pPr>
              <w:pStyle w:val="ListParagraph"/>
              <w:ind w:left="360"/>
              <w:rPr>
                <w:rFonts w:ascii="Arial" w:hAnsi="Arial" w:cs="Arial"/>
                <w:sz w:val="20"/>
                <w:szCs w:val="22"/>
                <w:lang w:val="en-US"/>
              </w:rPr>
            </w:pPr>
          </w:p>
          <w:p w:rsidR="00F262E9" w:rsidRPr="00C05B4C" w:rsidRDefault="00F262E9" w:rsidP="00B517C1">
            <w:pPr>
              <w:pStyle w:val="ListParagraph"/>
              <w:numPr>
                <w:ilvl w:val="0"/>
                <w:numId w:val="15"/>
              </w:numPr>
              <w:rPr>
                <w:rFonts w:ascii="Arial" w:hAnsi="Arial" w:cs="Arial"/>
                <w:sz w:val="20"/>
                <w:szCs w:val="22"/>
                <w:lang w:val="en-US"/>
              </w:rPr>
            </w:pPr>
            <w:r w:rsidRPr="00CE63C3">
              <w:rPr>
                <w:rFonts w:ascii="Arial" w:hAnsi="Arial" w:cs="Arial"/>
                <w:sz w:val="20"/>
                <w:szCs w:val="22"/>
                <w:lang w:val="en-US"/>
              </w:rPr>
              <w:t>R</w:t>
            </w:r>
            <w:r w:rsidRPr="00CE63C3">
              <w:rPr>
                <w:rFonts w:ascii="Arial" w:hAnsi="Arial" w:cs="Arial"/>
                <w:sz w:val="20"/>
                <w:szCs w:val="22"/>
              </w:rPr>
              <w:t>isk that it may incur a higher interest cost than what was originally forecast (i.e., 5%).</w:t>
            </w:r>
          </w:p>
          <w:p w:rsidR="00DA4A52" w:rsidRPr="00DA4A52" w:rsidRDefault="00DA4A52" w:rsidP="00DA4A52">
            <w:pPr>
              <w:pStyle w:val="ListParagraph"/>
              <w:rPr>
                <w:rFonts w:ascii="Arial" w:hAnsi="Arial" w:cs="Arial"/>
                <w:sz w:val="20"/>
                <w:szCs w:val="22"/>
                <w:lang w:val="en-US"/>
              </w:rPr>
            </w:pPr>
          </w:p>
          <w:p w:rsidR="00DA4A52" w:rsidRPr="006822FE" w:rsidRDefault="00DA4A52" w:rsidP="00DA4A52">
            <w:pPr>
              <w:rPr>
                <w:rFonts w:ascii="Arial" w:hAnsi="Arial" w:cs="Arial"/>
                <w:b/>
                <w:sz w:val="20"/>
                <w:szCs w:val="22"/>
                <w:u w:val="single"/>
                <w:lang w:val="en-US"/>
              </w:rPr>
            </w:pPr>
            <w:r w:rsidRPr="006822FE">
              <w:rPr>
                <w:rFonts w:ascii="Arial" w:hAnsi="Arial" w:cs="Arial"/>
                <w:b/>
                <w:sz w:val="20"/>
                <w:szCs w:val="22"/>
                <w:u w:val="single"/>
                <w:lang w:val="en-US"/>
              </w:rPr>
              <w:t>Update</w:t>
            </w:r>
            <w:r w:rsidR="006822FE">
              <w:rPr>
                <w:rFonts w:ascii="Arial" w:hAnsi="Arial" w:cs="Arial"/>
                <w:b/>
                <w:sz w:val="20"/>
                <w:szCs w:val="22"/>
                <w:u w:val="single"/>
                <w:lang w:val="en-US"/>
              </w:rPr>
              <w:t>:</w:t>
            </w:r>
          </w:p>
          <w:p w:rsidR="00DA4A52" w:rsidRPr="00DA4A52" w:rsidRDefault="00DA4A52" w:rsidP="00DA4A52">
            <w:pPr>
              <w:rPr>
                <w:rFonts w:ascii="Arial" w:hAnsi="Arial" w:cs="Arial"/>
                <w:sz w:val="20"/>
                <w:szCs w:val="22"/>
                <w:lang w:val="en-US"/>
              </w:rPr>
            </w:pPr>
          </w:p>
          <w:p w:rsidR="00DA4A52" w:rsidRPr="00DA4A52" w:rsidRDefault="00DA4A52" w:rsidP="00B517C1">
            <w:pPr>
              <w:pStyle w:val="ListParagraph"/>
              <w:numPr>
                <w:ilvl w:val="0"/>
                <w:numId w:val="15"/>
              </w:numPr>
              <w:rPr>
                <w:rFonts w:ascii="Arial" w:hAnsi="Arial" w:cs="Arial"/>
                <w:sz w:val="20"/>
                <w:szCs w:val="22"/>
                <w:lang w:val="en-US"/>
              </w:rPr>
            </w:pPr>
            <w:r w:rsidRPr="00DA4A52">
              <w:rPr>
                <w:rFonts w:ascii="Arial" w:hAnsi="Arial" w:cs="Arial"/>
                <w:sz w:val="20"/>
                <w:szCs w:val="22"/>
                <w:lang w:val="en-US"/>
              </w:rPr>
              <w:t xml:space="preserve">The legislation </w:t>
            </w:r>
            <w:r w:rsidR="009443CF">
              <w:rPr>
                <w:rFonts w:ascii="Arial" w:hAnsi="Arial" w:cs="Arial"/>
                <w:sz w:val="20"/>
                <w:szCs w:val="22"/>
                <w:lang w:val="en-US"/>
              </w:rPr>
              <w:t xml:space="preserve">and proposed general regulation </w:t>
            </w:r>
            <w:r w:rsidRPr="00DA4A52">
              <w:rPr>
                <w:rFonts w:ascii="Arial" w:hAnsi="Arial" w:cs="Arial"/>
                <w:sz w:val="20"/>
                <w:szCs w:val="22"/>
                <w:lang w:val="en-US"/>
              </w:rPr>
              <w:t>w</w:t>
            </w:r>
            <w:r w:rsidR="009443CF">
              <w:rPr>
                <w:rFonts w:ascii="Arial" w:hAnsi="Arial" w:cs="Arial"/>
                <w:sz w:val="20"/>
                <w:szCs w:val="22"/>
                <w:lang w:val="en-US"/>
              </w:rPr>
              <w:t>ere</w:t>
            </w:r>
            <w:r w:rsidRPr="00DA4A52">
              <w:rPr>
                <w:rFonts w:ascii="Arial" w:hAnsi="Arial" w:cs="Arial"/>
                <w:sz w:val="20"/>
                <w:szCs w:val="22"/>
                <w:lang w:val="en-US"/>
              </w:rPr>
              <w:t xml:space="preserve"> developed with input of third-party financiers (i.e., dealers)</w:t>
            </w:r>
            <w:r>
              <w:t xml:space="preserve"> </w:t>
            </w:r>
            <w:r w:rsidRPr="00DA4A52">
              <w:rPr>
                <w:rFonts w:ascii="Arial" w:hAnsi="Arial" w:cs="Arial"/>
                <w:sz w:val="20"/>
                <w:szCs w:val="22"/>
                <w:lang w:val="en-US"/>
              </w:rPr>
              <w:t>to ensure that the OFHPA enables the refinancing of the GA</w:t>
            </w:r>
            <w:r>
              <w:t xml:space="preserve"> </w:t>
            </w:r>
          </w:p>
          <w:p w:rsidR="00DA4A52" w:rsidRDefault="00DA4A52" w:rsidP="00DA4A52">
            <w:pPr>
              <w:ind w:left="360"/>
              <w:rPr>
                <w:rFonts w:ascii="Arial" w:hAnsi="Arial" w:cs="Arial"/>
                <w:sz w:val="20"/>
                <w:szCs w:val="22"/>
                <w:lang w:val="en-US"/>
              </w:rPr>
            </w:pPr>
          </w:p>
          <w:p w:rsidR="006822FE" w:rsidRDefault="00DA4A52" w:rsidP="004472EC">
            <w:pPr>
              <w:numPr>
                <w:ilvl w:val="0"/>
                <w:numId w:val="15"/>
              </w:numPr>
              <w:rPr>
                <w:rFonts w:ascii="Arial" w:hAnsi="Arial" w:cs="Arial"/>
                <w:sz w:val="20"/>
                <w:szCs w:val="22"/>
                <w:lang w:val="en-US"/>
              </w:rPr>
            </w:pPr>
            <w:r>
              <w:rPr>
                <w:rFonts w:ascii="Arial" w:hAnsi="Arial" w:cs="Arial"/>
                <w:sz w:val="20"/>
                <w:szCs w:val="22"/>
                <w:lang w:val="en-US"/>
              </w:rPr>
              <w:t>The provincial guarantee</w:t>
            </w:r>
            <w:r w:rsidR="007258AC">
              <w:rPr>
                <w:rFonts w:ascii="Arial" w:hAnsi="Arial" w:cs="Arial"/>
                <w:sz w:val="20"/>
                <w:szCs w:val="22"/>
                <w:lang w:val="en-US"/>
              </w:rPr>
              <w:t xml:space="preserve"> as set out in legislation </w:t>
            </w:r>
            <w:r w:rsidR="006822FE">
              <w:rPr>
                <w:rFonts w:ascii="Arial" w:hAnsi="Arial" w:cs="Arial"/>
                <w:sz w:val="20"/>
                <w:szCs w:val="22"/>
                <w:lang w:val="en-US"/>
              </w:rPr>
              <w:t>should provide</w:t>
            </w:r>
            <w:r w:rsidR="007258AC">
              <w:rPr>
                <w:rFonts w:ascii="Arial" w:hAnsi="Arial" w:cs="Arial"/>
                <w:sz w:val="20"/>
                <w:szCs w:val="22"/>
                <w:lang w:val="en-US"/>
              </w:rPr>
              <w:t xml:space="preserve"> comfort to dealers, thereby increasing the likelihood of achieving more favourable interest rates</w:t>
            </w:r>
            <w:r>
              <w:rPr>
                <w:rFonts w:ascii="Arial" w:hAnsi="Arial" w:cs="Arial"/>
                <w:sz w:val="20"/>
                <w:szCs w:val="22"/>
                <w:lang w:val="en-US"/>
              </w:rPr>
              <w:t xml:space="preserve">. </w:t>
            </w:r>
          </w:p>
          <w:p w:rsidR="00230F59" w:rsidRPr="004472EC" w:rsidRDefault="00230F59" w:rsidP="00230F59">
            <w:pPr>
              <w:rPr>
                <w:rFonts w:ascii="Arial" w:hAnsi="Arial" w:cs="Arial"/>
                <w:sz w:val="20"/>
                <w:szCs w:val="22"/>
                <w:lang w:val="en-US"/>
              </w:rPr>
            </w:pPr>
          </w:p>
          <w:p w:rsidR="006822FE" w:rsidRPr="00B70FE1" w:rsidRDefault="006822FE" w:rsidP="00B517C1">
            <w:pPr>
              <w:numPr>
                <w:ilvl w:val="0"/>
                <w:numId w:val="15"/>
              </w:numPr>
              <w:rPr>
                <w:rFonts w:ascii="Arial" w:hAnsi="Arial" w:cs="Arial"/>
                <w:sz w:val="20"/>
                <w:szCs w:val="22"/>
                <w:lang w:val="en-US"/>
              </w:rPr>
            </w:pPr>
            <w:r>
              <w:rPr>
                <w:rFonts w:ascii="Arial" w:hAnsi="Arial" w:cs="Arial"/>
                <w:sz w:val="20"/>
                <w:szCs w:val="22"/>
                <w:lang w:val="en-US"/>
              </w:rPr>
              <w:t>Work is ongoing to  scope the provincial guarantees. Note: The g</w:t>
            </w:r>
            <w:r w:rsidRPr="00B70FE1">
              <w:rPr>
                <w:rFonts w:ascii="Arial" w:hAnsi="Arial" w:cs="Arial"/>
                <w:sz w:val="20"/>
                <w:szCs w:val="22"/>
                <w:lang w:val="en-US"/>
              </w:rPr>
              <w:t>uarantees are required to support rating agency review which is expected by the end of July</w:t>
            </w:r>
            <w:r>
              <w:rPr>
                <w:rFonts w:ascii="Arial" w:hAnsi="Arial" w:cs="Arial"/>
                <w:sz w:val="20"/>
                <w:szCs w:val="22"/>
                <w:lang w:val="en-US"/>
              </w:rPr>
              <w:t>.</w:t>
            </w:r>
          </w:p>
          <w:p w:rsidR="006822FE" w:rsidRPr="006822FE" w:rsidRDefault="006822FE" w:rsidP="006822FE">
            <w:pPr>
              <w:rPr>
                <w:rFonts w:ascii="Arial" w:hAnsi="Arial" w:cs="Arial"/>
                <w:sz w:val="20"/>
                <w:szCs w:val="22"/>
                <w:lang w:val="en-US"/>
              </w:rPr>
            </w:pPr>
          </w:p>
        </w:tc>
      </w:tr>
      <w:tr w:rsidR="00F262E9" w:rsidRPr="00CE63C3" w:rsidTr="00C05B4C">
        <w:trPr>
          <w:trHeight w:val="355"/>
        </w:trPr>
        <w:tc>
          <w:tcPr>
            <w:tcW w:w="3092" w:type="dxa"/>
            <w:tcBorders>
              <w:top w:val="single" w:sz="4" w:space="0" w:color="auto"/>
              <w:left w:val="single" w:sz="4" w:space="0" w:color="auto"/>
              <w:bottom w:val="single" w:sz="4" w:space="0" w:color="auto"/>
              <w:right w:val="single" w:sz="4" w:space="0" w:color="auto"/>
            </w:tcBorders>
          </w:tcPr>
          <w:p w:rsidR="00F262E9" w:rsidRPr="00CE63C3" w:rsidRDefault="00F262E9" w:rsidP="00BE0E80">
            <w:pPr>
              <w:rPr>
                <w:rFonts w:ascii="Arial" w:hAnsi="Arial" w:cs="Arial"/>
                <w:b/>
                <w:sz w:val="20"/>
                <w:szCs w:val="22"/>
                <w:lang w:val="en-US"/>
              </w:rPr>
            </w:pPr>
            <w:r w:rsidRPr="00CE63C3">
              <w:rPr>
                <w:rFonts w:ascii="Arial" w:hAnsi="Arial" w:cs="Arial"/>
                <w:b/>
                <w:sz w:val="20"/>
                <w:szCs w:val="22"/>
                <w:lang w:val="en-US"/>
              </w:rPr>
              <w:t xml:space="preserve">Provincial Guarantee is Triggered </w:t>
            </w:r>
          </w:p>
          <w:p w:rsidR="00F262E9" w:rsidRPr="00CE63C3" w:rsidRDefault="00F262E9" w:rsidP="00BE0E80">
            <w:pPr>
              <w:rPr>
                <w:rFonts w:ascii="Arial" w:hAnsi="Arial" w:cs="Arial"/>
                <w:sz w:val="20"/>
                <w:szCs w:val="22"/>
                <w:lang w:val="en-US"/>
              </w:rPr>
            </w:pPr>
          </w:p>
        </w:tc>
        <w:tc>
          <w:tcPr>
            <w:tcW w:w="1316" w:type="dxa"/>
            <w:tcBorders>
              <w:top w:val="single" w:sz="4" w:space="0" w:color="auto"/>
              <w:left w:val="single" w:sz="4" w:space="0" w:color="auto"/>
              <w:bottom w:val="single" w:sz="4" w:space="0" w:color="auto"/>
              <w:right w:val="single" w:sz="4" w:space="0" w:color="auto"/>
            </w:tcBorders>
          </w:tcPr>
          <w:p w:rsidR="00F262E9" w:rsidRPr="00CE63C3" w:rsidRDefault="00F262E9" w:rsidP="00BE0E80">
            <w:pPr>
              <w:jc w:val="center"/>
              <w:rPr>
                <w:rFonts w:ascii="Arial" w:hAnsi="Arial" w:cs="Arial"/>
                <w:sz w:val="20"/>
                <w:szCs w:val="22"/>
                <w:lang w:val="en-US" w:eastAsia="en-US"/>
              </w:rPr>
            </w:pPr>
            <w:r w:rsidRPr="00CE63C3">
              <w:rPr>
                <w:rFonts w:ascii="Arial" w:hAnsi="Arial" w:cs="Arial"/>
                <w:sz w:val="20"/>
                <w:szCs w:val="22"/>
                <w:lang w:val="en-US" w:eastAsia="en-US"/>
              </w:rPr>
              <w:t>L</w:t>
            </w:r>
          </w:p>
        </w:tc>
        <w:tc>
          <w:tcPr>
            <w:tcW w:w="1116" w:type="dxa"/>
            <w:tcBorders>
              <w:top w:val="single" w:sz="4" w:space="0" w:color="auto"/>
              <w:left w:val="single" w:sz="4" w:space="0" w:color="auto"/>
              <w:bottom w:val="single" w:sz="4" w:space="0" w:color="auto"/>
              <w:right w:val="single" w:sz="4" w:space="0" w:color="auto"/>
            </w:tcBorders>
          </w:tcPr>
          <w:p w:rsidR="00F262E9" w:rsidRPr="00CE63C3" w:rsidRDefault="00F262E9" w:rsidP="00BE0E80">
            <w:pPr>
              <w:jc w:val="center"/>
              <w:rPr>
                <w:rFonts w:ascii="Arial" w:hAnsi="Arial" w:cs="Arial"/>
                <w:sz w:val="20"/>
                <w:szCs w:val="22"/>
                <w:lang w:eastAsia="en-US"/>
              </w:rPr>
            </w:pPr>
            <w:r w:rsidRPr="00CE63C3">
              <w:rPr>
                <w:rFonts w:ascii="Arial" w:hAnsi="Arial" w:cs="Arial"/>
                <w:sz w:val="20"/>
                <w:szCs w:val="22"/>
                <w:lang w:eastAsia="en-US"/>
              </w:rPr>
              <w:t>H</w:t>
            </w:r>
          </w:p>
        </w:tc>
        <w:tc>
          <w:tcPr>
            <w:tcW w:w="4257" w:type="dxa"/>
            <w:tcBorders>
              <w:top w:val="single" w:sz="4" w:space="0" w:color="auto"/>
              <w:left w:val="single" w:sz="4" w:space="0" w:color="auto"/>
              <w:bottom w:val="single" w:sz="4" w:space="0" w:color="auto"/>
              <w:right w:val="single" w:sz="4" w:space="0" w:color="auto"/>
            </w:tcBorders>
          </w:tcPr>
          <w:p w:rsidR="00194B08" w:rsidRDefault="00F262E9" w:rsidP="00B517C1">
            <w:pPr>
              <w:pStyle w:val="ListParagraph"/>
              <w:numPr>
                <w:ilvl w:val="0"/>
                <w:numId w:val="15"/>
              </w:numPr>
              <w:rPr>
                <w:rFonts w:ascii="Arial" w:hAnsi="Arial" w:cs="Arial"/>
                <w:sz w:val="20"/>
                <w:szCs w:val="22"/>
              </w:rPr>
            </w:pPr>
            <w:r w:rsidRPr="00CE63C3">
              <w:rPr>
                <w:rFonts w:ascii="Arial" w:hAnsi="Arial" w:cs="Arial"/>
                <w:sz w:val="20"/>
                <w:szCs w:val="22"/>
              </w:rPr>
              <w:t xml:space="preserve">The legislation sets out that the province </w:t>
            </w:r>
            <w:r w:rsidR="005B592C">
              <w:rPr>
                <w:rFonts w:ascii="Arial" w:hAnsi="Arial" w:cs="Arial"/>
                <w:sz w:val="20"/>
                <w:szCs w:val="22"/>
              </w:rPr>
              <w:t>c</w:t>
            </w:r>
            <w:r w:rsidRPr="00CE63C3">
              <w:rPr>
                <w:rFonts w:ascii="Arial" w:hAnsi="Arial" w:cs="Arial"/>
                <w:sz w:val="20"/>
                <w:szCs w:val="22"/>
              </w:rPr>
              <w:t>ould provide assurances in the form of a “provincial guarantee” to OPG and investors regarding the permanence of the GA Refinancing framework. The intent is to ensure that the full value is recovered.</w:t>
            </w:r>
          </w:p>
          <w:p w:rsidR="00F262E9" w:rsidRPr="00CE63C3" w:rsidRDefault="00F262E9" w:rsidP="00194B08">
            <w:pPr>
              <w:pStyle w:val="ListParagraph"/>
              <w:ind w:left="360"/>
              <w:rPr>
                <w:rFonts w:ascii="Arial" w:hAnsi="Arial" w:cs="Arial"/>
                <w:sz w:val="20"/>
                <w:szCs w:val="22"/>
              </w:rPr>
            </w:pPr>
            <w:r w:rsidRPr="00CE63C3">
              <w:rPr>
                <w:rFonts w:ascii="Arial" w:hAnsi="Arial" w:cs="Arial"/>
                <w:sz w:val="20"/>
                <w:szCs w:val="22"/>
              </w:rPr>
              <w:t xml:space="preserve"> </w:t>
            </w:r>
          </w:p>
          <w:p w:rsidR="00F262E9" w:rsidRPr="00CE63C3" w:rsidRDefault="00F262E9" w:rsidP="00B517C1">
            <w:pPr>
              <w:pStyle w:val="ListParagraph"/>
              <w:numPr>
                <w:ilvl w:val="0"/>
                <w:numId w:val="15"/>
              </w:numPr>
              <w:rPr>
                <w:rFonts w:ascii="Arial" w:hAnsi="Arial" w:cs="Arial"/>
                <w:sz w:val="20"/>
                <w:szCs w:val="22"/>
              </w:rPr>
            </w:pPr>
            <w:r w:rsidRPr="00CE63C3">
              <w:rPr>
                <w:rFonts w:ascii="Arial" w:hAnsi="Arial" w:cs="Arial"/>
                <w:sz w:val="20"/>
                <w:szCs w:val="22"/>
              </w:rPr>
              <w:t xml:space="preserve">The legislation also </w:t>
            </w:r>
            <w:r w:rsidR="005B592C">
              <w:rPr>
                <w:rFonts w:ascii="Arial" w:hAnsi="Arial" w:cs="Arial"/>
                <w:sz w:val="20"/>
                <w:szCs w:val="22"/>
              </w:rPr>
              <w:t>enables</w:t>
            </w:r>
            <w:r w:rsidRPr="00CE63C3">
              <w:rPr>
                <w:rFonts w:ascii="Arial" w:hAnsi="Arial" w:cs="Arial"/>
                <w:sz w:val="20"/>
                <w:szCs w:val="22"/>
              </w:rPr>
              <w:t xml:space="preserve"> the Province </w:t>
            </w:r>
            <w:r w:rsidR="005B592C">
              <w:rPr>
                <w:rFonts w:ascii="Arial" w:hAnsi="Arial" w:cs="Arial"/>
                <w:sz w:val="20"/>
                <w:szCs w:val="22"/>
              </w:rPr>
              <w:t>to</w:t>
            </w:r>
            <w:r w:rsidRPr="00CE63C3">
              <w:rPr>
                <w:rFonts w:ascii="Arial" w:hAnsi="Arial" w:cs="Arial"/>
                <w:sz w:val="20"/>
                <w:szCs w:val="22"/>
              </w:rPr>
              <w:t>:</w:t>
            </w:r>
          </w:p>
          <w:p w:rsidR="00F262E9" w:rsidRPr="00CE63C3" w:rsidRDefault="00F262E9" w:rsidP="00B517C1">
            <w:pPr>
              <w:pStyle w:val="ListParagraph"/>
              <w:numPr>
                <w:ilvl w:val="1"/>
                <w:numId w:val="15"/>
              </w:numPr>
              <w:rPr>
                <w:rFonts w:ascii="Arial" w:hAnsi="Arial" w:cs="Arial"/>
                <w:sz w:val="20"/>
                <w:szCs w:val="22"/>
              </w:rPr>
            </w:pPr>
            <w:r w:rsidRPr="00CE63C3">
              <w:rPr>
                <w:rFonts w:ascii="Arial" w:hAnsi="Arial" w:cs="Arial"/>
                <w:sz w:val="20"/>
                <w:szCs w:val="22"/>
              </w:rPr>
              <w:t>Through the Minister</w:t>
            </w:r>
            <w:r w:rsidR="005B592C">
              <w:rPr>
                <w:rFonts w:ascii="Arial" w:hAnsi="Arial" w:cs="Arial"/>
                <w:sz w:val="20"/>
                <w:szCs w:val="22"/>
              </w:rPr>
              <w:t>s</w:t>
            </w:r>
            <w:r w:rsidRPr="00CE63C3">
              <w:rPr>
                <w:rFonts w:ascii="Arial" w:hAnsi="Arial" w:cs="Arial"/>
                <w:sz w:val="20"/>
                <w:szCs w:val="22"/>
              </w:rPr>
              <w:t xml:space="preserve"> of </w:t>
            </w:r>
            <w:r w:rsidR="005B592C">
              <w:rPr>
                <w:rFonts w:ascii="Arial" w:hAnsi="Arial" w:cs="Arial"/>
                <w:sz w:val="20"/>
                <w:szCs w:val="22"/>
              </w:rPr>
              <w:t xml:space="preserve">Energy and </w:t>
            </w:r>
            <w:r w:rsidRPr="00CE63C3">
              <w:rPr>
                <w:rFonts w:ascii="Arial" w:hAnsi="Arial" w:cs="Arial"/>
                <w:sz w:val="20"/>
                <w:szCs w:val="22"/>
              </w:rPr>
              <w:t xml:space="preserve">Finance </w:t>
            </w:r>
            <w:r w:rsidR="005B592C">
              <w:rPr>
                <w:rFonts w:ascii="Arial" w:hAnsi="Arial" w:cs="Arial"/>
                <w:sz w:val="20"/>
                <w:szCs w:val="22"/>
              </w:rPr>
              <w:t xml:space="preserve"> upon approval </w:t>
            </w:r>
            <w:r w:rsidRPr="00CE63C3">
              <w:rPr>
                <w:rFonts w:ascii="Arial" w:hAnsi="Arial" w:cs="Arial"/>
                <w:sz w:val="20"/>
                <w:szCs w:val="22"/>
              </w:rPr>
              <w:t xml:space="preserve"> by Lieutenant Governor in Council, agree to guarantee any debts and obligations</w:t>
            </w:r>
          </w:p>
          <w:p w:rsidR="00194B08" w:rsidRDefault="00194B08" w:rsidP="00194B08">
            <w:pPr>
              <w:pStyle w:val="ListParagraph"/>
              <w:ind w:left="758"/>
              <w:rPr>
                <w:rFonts w:ascii="Arial" w:hAnsi="Arial" w:cs="Arial"/>
                <w:sz w:val="20"/>
                <w:szCs w:val="22"/>
              </w:rPr>
            </w:pPr>
          </w:p>
          <w:p w:rsidR="00DA4A52" w:rsidRPr="006822FE" w:rsidRDefault="003576F7" w:rsidP="003576F7">
            <w:pPr>
              <w:rPr>
                <w:rFonts w:ascii="Arial" w:hAnsi="Arial" w:cs="Arial"/>
                <w:b/>
                <w:sz w:val="20"/>
                <w:szCs w:val="22"/>
                <w:u w:val="single"/>
              </w:rPr>
            </w:pPr>
            <w:r w:rsidRPr="006822FE">
              <w:rPr>
                <w:rFonts w:ascii="Arial" w:hAnsi="Arial" w:cs="Arial"/>
                <w:b/>
                <w:sz w:val="20"/>
                <w:szCs w:val="22"/>
                <w:u w:val="single"/>
              </w:rPr>
              <w:t>Update</w:t>
            </w:r>
            <w:r w:rsidR="006822FE" w:rsidRPr="006822FE">
              <w:rPr>
                <w:rFonts w:ascii="Arial" w:hAnsi="Arial" w:cs="Arial"/>
                <w:b/>
                <w:sz w:val="20"/>
                <w:szCs w:val="22"/>
                <w:u w:val="single"/>
              </w:rPr>
              <w:t>:</w:t>
            </w:r>
          </w:p>
          <w:p w:rsidR="006822FE" w:rsidRPr="003576F7" w:rsidRDefault="006822FE" w:rsidP="003576F7">
            <w:pPr>
              <w:rPr>
                <w:rFonts w:ascii="Arial" w:hAnsi="Arial" w:cs="Arial"/>
                <w:sz w:val="20"/>
                <w:szCs w:val="22"/>
                <w:u w:val="single"/>
              </w:rPr>
            </w:pPr>
          </w:p>
          <w:p w:rsidR="00B70FE1" w:rsidRPr="00B70FE1" w:rsidRDefault="00DA4A52" w:rsidP="00B517C1">
            <w:pPr>
              <w:numPr>
                <w:ilvl w:val="0"/>
                <w:numId w:val="15"/>
              </w:numPr>
              <w:rPr>
                <w:rFonts w:ascii="Arial" w:hAnsi="Arial" w:cs="Arial"/>
                <w:sz w:val="20"/>
                <w:szCs w:val="22"/>
                <w:lang w:val="en-US"/>
              </w:rPr>
            </w:pPr>
            <w:r>
              <w:rPr>
                <w:rFonts w:ascii="Arial" w:hAnsi="Arial" w:cs="Arial"/>
                <w:sz w:val="20"/>
                <w:szCs w:val="22"/>
                <w:lang w:val="en-US"/>
              </w:rPr>
              <w:t>Work is ongoing to  scope the provincial guarantee</w:t>
            </w:r>
            <w:r w:rsidR="00B70FE1">
              <w:rPr>
                <w:rFonts w:ascii="Arial" w:hAnsi="Arial" w:cs="Arial"/>
                <w:sz w:val="20"/>
                <w:szCs w:val="22"/>
                <w:lang w:val="en-US"/>
              </w:rPr>
              <w:t>s</w:t>
            </w:r>
            <w:r>
              <w:rPr>
                <w:rFonts w:ascii="Arial" w:hAnsi="Arial" w:cs="Arial"/>
                <w:sz w:val="20"/>
                <w:szCs w:val="22"/>
                <w:lang w:val="en-US"/>
              </w:rPr>
              <w:t xml:space="preserve">. </w:t>
            </w:r>
            <w:r w:rsidR="00B70FE1">
              <w:rPr>
                <w:rFonts w:ascii="Arial" w:hAnsi="Arial" w:cs="Arial"/>
                <w:sz w:val="20"/>
                <w:szCs w:val="22"/>
                <w:lang w:val="en-US"/>
              </w:rPr>
              <w:t>Note: The g</w:t>
            </w:r>
            <w:r w:rsidR="00B70FE1" w:rsidRPr="00B70FE1">
              <w:rPr>
                <w:rFonts w:ascii="Arial" w:hAnsi="Arial" w:cs="Arial"/>
                <w:sz w:val="20"/>
                <w:szCs w:val="22"/>
                <w:lang w:val="en-US"/>
              </w:rPr>
              <w:t>uarantees are required to support rating agency review which is expected by the end of July</w:t>
            </w:r>
            <w:r w:rsidR="00B70FE1">
              <w:rPr>
                <w:rFonts w:ascii="Arial" w:hAnsi="Arial" w:cs="Arial"/>
                <w:sz w:val="20"/>
                <w:szCs w:val="22"/>
                <w:lang w:val="en-US"/>
              </w:rPr>
              <w:t>.</w:t>
            </w:r>
          </w:p>
          <w:p w:rsidR="003576F7" w:rsidRPr="003576F7" w:rsidRDefault="003576F7" w:rsidP="003576F7">
            <w:pPr>
              <w:rPr>
                <w:rFonts w:ascii="Arial" w:hAnsi="Arial" w:cs="Arial"/>
                <w:sz w:val="20"/>
                <w:szCs w:val="22"/>
              </w:rPr>
            </w:pPr>
          </w:p>
        </w:tc>
      </w:tr>
      <w:tr w:rsidR="00F262E9" w:rsidRPr="00CE63C3" w:rsidTr="00C05B4C">
        <w:trPr>
          <w:trHeight w:val="274"/>
        </w:trPr>
        <w:tc>
          <w:tcPr>
            <w:tcW w:w="3092" w:type="dxa"/>
            <w:tcBorders>
              <w:top w:val="single" w:sz="4" w:space="0" w:color="auto"/>
              <w:left w:val="single" w:sz="4" w:space="0" w:color="auto"/>
              <w:bottom w:val="single" w:sz="4" w:space="0" w:color="auto"/>
              <w:right w:val="single" w:sz="4" w:space="0" w:color="auto"/>
            </w:tcBorders>
          </w:tcPr>
          <w:p w:rsidR="00720FE0" w:rsidRPr="00CE63C3" w:rsidRDefault="00F262E9" w:rsidP="00720FE0">
            <w:pPr>
              <w:rPr>
                <w:rFonts w:ascii="Arial" w:hAnsi="Arial" w:cs="Arial"/>
                <w:sz w:val="20"/>
                <w:szCs w:val="22"/>
                <w:lang w:val="en-US"/>
              </w:rPr>
            </w:pPr>
            <w:r w:rsidRPr="00CE63C3">
              <w:rPr>
                <w:rFonts w:ascii="Arial" w:hAnsi="Arial" w:cs="Arial"/>
                <w:b/>
                <w:sz w:val="20"/>
                <w:szCs w:val="22"/>
                <w:lang w:val="en-US" w:eastAsia="en-US"/>
              </w:rPr>
              <w:t>IESO Failure to Establish a Regulatory Asset</w:t>
            </w:r>
            <w:r w:rsidR="00720FE0">
              <w:rPr>
                <w:rFonts w:ascii="Arial" w:hAnsi="Arial" w:cs="Arial"/>
                <w:b/>
                <w:sz w:val="20"/>
                <w:szCs w:val="22"/>
                <w:lang w:val="en-US" w:eastAsia="en-US"/>
              </w:rPr>
              <w:t xml:space="preserve"> / </w:t>
            </w:r>
            <w:r w:rsidR="00720FE0" w:rsidRPr="00CE63C3">
              <w:rPr>
                <w:rFonts w:ascii="Arial" w:hAnsi="Arial" w:cs="Arial"/>
                <w:b/>
                <w:sz w:val="20"/>
                <w:szCs w:val="22"/>
                <w:lang w:val="en-US"/>
              </w:rPr>
              <w:t xml:space="preserve">Maintaining </w:t>
            </w:r>
            <w:r w:rsidR="00720FE0">
              <w:rPr>
                <w:rFonts w:ascii="Arial" w:hAnsi="Arial" w:cs="Arial"/>
                <w:b/>
                <w:sz w:val="20"/>
                <w:szCs w:val="22"/>
                <w:lang w:val="en-US"/>
              </w:rPr>
              <w:t xml:space="preserve">IESO </w:t>
            </w:r>
            <w:r w:rsidR="00720FE0" w:rsidRPr="00CE63C3">
              <w:rPr>
                <w:rFonts w:ascii="Arial" w:hAnsi="Arial" w:cs="Arial"/>
                <w:b/>
                <w:sz w:val="20"/>
                <w:szCs w:val="22"/>
                <w:lang w:val="en-US"/>
              </w:rPr>
              <w:t xml:space="preserve"> Financial Viability </w:t>
            </w:r>
          </w:p>
          <w:p w:rsidR="00F262E9" w:rsidRPr="00CE63C3" w:rsidRDefault="00F262E9" w:rsidP="00BE0E80">
            <w:pPr>
              <w:rPr>
                <w:rFonts w:ascii="Arial" w:hAnsi="Arial" w:cs="Arial"/>
                <w:b/>
                <w:sz w:val="20"/>
                <w:szCs w:val="22"/>
                <w:lang w:val="en-US" w:eastAsia="en-US"/>
              </w:rPr>
            </w:pPr>
          </w:p>
          <w:p w:rsidR="00F262E9" w:rsidRPr="00CE63C3" w:rsidRDefault="00F262E9" w:rsidP="00BE0E80">
            <w:pPr>
              <w:rPr>
                <w:rFonts w:ascii="Arial" w:hAnsi="Arial" w:cs="Arial"/>
                <w:sz w:val="20"/>
                <w:szCs w:val="22"/>
                <w:lang w:val="en-US" w:eastAsia="en-US"/>
              </w:rPr>
            </w:pPr>
          </w:p>
          <w:p w:rsidR="00F262E9" w:rsidRPr="00CE63C3" w:rsidRDefault="00F262E9" w:rsidP="00BE0E80">
            <w:pPr>
              <w:rPr>
                <w:rFonts w:ascii="Arial" w:hAnsi="Arial" w:cs="Arial"/>
                <w:sz w:val="20"/>
                <w:szCs w:val="22"/>
                <w:lang w:val="en-US" w:eastAsia="en-US"/>
              </w:rPr>
            </w:pPr>
          </w:p>
        </w:tc>
        <w:tc>
          <w:tcPr>
            <w:tcW w:w="1316" w:type="dxa"/>
            <w:tcBorders>
              <w:top w:val="single" w:sz="4" w:space="0" w:color="auto"/>
              <w:left w:val="single" w:sz="4" w:space="0" w:color="auto"/>
              <w:bottom w:val="single" w:sz="4" w:space="0" w:color="auto"/>
              <w:right w:val="single" w:sz="4" w:space="0" w:color="auto"/>
            </w:tcBorders>
          </w:tcPr>
          <w:p w:rsidR="00F262E9" w:rsidRPr="00CE63C3" w:rsidRDefault="00F262E9" w:rsidP="00BE0E80">
            <w:pPr>
              <w:jc w:val="center"/>
              <w:rPr>
                <w:rFonts w:ascii="Arial" w:hAnsi="Arial" w:cs="Arial"/>
                <w:sz w:val="20"/>
                <w:szCs w:val="22"/>
                <w:lang w:val="en-US" w:eastAsia="en-US"/>
              </w:rPr>
            </w:pPr>
            <w:r w:rsidRPr="00CE63C3">
              <w:rPr>
                <w:rFonts w:ascii="Arial" w:hAnsi="Arial" w:cs="Arial"/>
                <w:sz w:val="20"/>
                <w:szCs w:val="22"/>
                <w:lang w:val="en-US" w:eastAsia="en-US"/>
              </w:rPr>
              <w:t>L</w:t>
            </w:r>
          </w:p>
        </w:tc>
        <w:tc>
          <w:tcPr>
            <w:tcW w:w="1116" w:type="dxa"/>
            <w:tcBorders>
              <w:top w:val="single" w:sz="4" w:space="0" w:color="auto"/>
              <w:left w:val="single" w:sz="4" w:space="0" w:color="auto"/>
              <w:bottom w:val="single" w:sz="4" w:space="0" w:color="auto"/>
              <w:right w:val="single" w:sz="4" w:space="0" w:color="auto"/>
            </w:tcBorders>
          </w:tcPr>
          <w:p w:rsidR="00F262E9" w:rsidRPr="00CE63C3" w:rsidRDefault="00F262E9" w:rsidP="00BE0E80">
            <w:pPr>
              <w:jc w:val="center"/>
              <w:rPr>
                <w:rFonts w:ascii="Arial" w:hAnsi="Arial" w:cs="Arial"/>
                <w:sz w:val="20"/>
                <w:szCs w:val="22"/>
                <w:lang w:eastAsia="en-US"/>
              </w:rPr>
            </w:pPr>
            <w:r w:rsidRPr="00CE63C3">
              <w:rPr>
                <w:rFonts w:ascii="Arial" w:hAnsi="Arial" w:cs="Arial"/>
                <w:sz w:val="20"/>
                <w:szCs w:val="22"/>
                <w:lang w:eastAsia="en-US"/>
              </w:rPr>
              <w:t>H</w:t>
            </w:r>
          </w:p>
        </w:tc>
        <w:tc>
          <w:tcPr>
            <w:tcW w:w="4257" w:type="dxa"/>
            <w:tcBorders>
              <w:top w:val="single" w:sz="4" w:space="0" w:color="auto"/>
              <w:left w:val="single" w:sz="4" w:space="0" w:color="auto"/>
              <w:bottom w:val="single" w:sz="4" w:space="0" w:color="auto"/>
              <w:right w:val="single" w:sz="4" w:space="0" w:color="auto"/>
            </w:tcBorders>
          </w:tcPr>
          <w:p w:rsidR="00F262E9" w:rsidRPr="00CE63C3" w:rsidRDefault="00194B08" w:rsidP="00B517C1">
            <w:pPr>
              <w:pStyle w:val="ListParagraph"/>
              <w:numPr>
                <w:ilvl w:val="0"/>
                <w:numId w:val="13"/>
              </w:numPr>
              <w:rPr>
                <w:rFonts w:ascii="Arial" w:hAnsi="Arial" w:cs="Arial"/>
                <w:sz w:val="20"/>
                <w:szCs w:val="22"/>
                <w:lang w:val="en-US"/>
              </w:rPr>
            </w:pPr>
            <w:r>
              <w:rPr>
                <w:rFonts w:ascii="Arial" w:hAnsi="Arial" w:cs="Arial"/>
                <w:sz w:val="20"/>
                <w:szCs w:val="22"/>
                <w:lang w:eastAsia="en-US"/>
              </w:rPr>
              <w:t xml:space="preserve">Under the </w:t>
            </w:r>
            <w:r w:rsidR="00F262E9" w:rsidRPr="00CE63C3">
              <w:rPr>
                <w:rFonts w:ascii="Arial" w:hAnsi="Arial" w:cs="Arial"/>
                <w:sz w:val="20"/>
                <w:szCs w:val="22"/>
                <w:lang w:eastAsia="en-US"/>
              </w:rPr>
              <w:t xml:space="preserve">legislation, the </w:t>
            </w:r>
            <w:r w:rsidR="00F262E9" w:rsidRPr="00CE63C3">
              <w:rPr>
                <w:rFonts w:ascii="Arial" w:hAnsi="Arial" w:cs="Arial"/>
                <w:sz w:val="20"/>
                <w:szCs w:val="22"/>
                <w:lang w:val="en-US"/>
              </w:rPr>
              <w:t>Ontario Energy Board (OEB) is providing the necessary oversight required to enable IESO the ability to establish a Regulatory Asset.</w:t>
            </w:r>
          </w:p>
          <w:p w:rsidR="00F262E9" w:rsidRPr="00CE63C3" w:rsidRDefault="00F262E9" w:rsidP="00BE0E80">
            <w:pPr>
              <w:pStyle w:val="ListParagraph"/>
              <w:ind w:left="360"/>
              <w:rPr>
                <w:rFonts w:ascii="Arial" w:hAnsi="Arial" w:cs="Arial"/>
                <w:sz w:val="20"/>
                <w:szCs w:val="22"/>
                <w:lang w:val="en-US"/>
              </w:rPr>
            </w:pPr>
          </w:p>
          <w:p w:rsidR="00F262E9" w:rsidRPr="00CE63C3" w:rsidRDefault="00F262E9" w:rsidP="00B517C1">
            <w:pPr>
              <w:pStyle w:val="ListParagraph"/>
              <w:numPr>
                <w:ilvl w:val="0"/>
                <w:numId w:val="13"/>
              </w:numPr>
              <w:rPr>
                <w:rFonts w:ascii="Arial" w:hAnsi="Arial" w:cs="Arial"/>
                <w:sz w:val="20"/>
                <w:szCs w:val="22"/>
                <w:lang w:val="en-US"/>
              </w:rPr>
            </w:pPr>
            <w:r w:rsidRPr="00CE63C3">
              <w:rPr>
                <w:rFonts w:ascii="Arial" w:hAnsi="Arial" w:cs="Arial"/>
                <w:sz w:val="20"/>
                <w:szCs w:val="22"/>
                <w:lang w:val="en-US" w:eastAsia="en-US"/>
              </w:rPr>
              <w:t xml:space="preserve">To recover its revenue shortfall, IESO will establish </w:t>
            </w:r>
            <w:r w:rsidR="003C2C65">
              <w:rPr>
                <w:rFonts w:ascii="Arial" w:hAnsi="Arial" w:cs="Arial"/>
                <w:sz w:val="20"/>
                <w:szCs w:val="22"/>
                <w:lang w:val="en-US" w:eastAsia="en-US"/>
              </w:rPr>
              <w:t xml:space="preserve">it </w:t>
            </w:r>
            <w:r w:rsidRPr="00CE63C3">
              <w:rPr>
                <w:rFonts w:ascii="Arial" w:hAnsi="Arial" w:cs="Arial"/>
                <w:sz w:val="20"/>
                <w:szCs w:val="22"/>
                <w:lang w:val="en-US" w:eastAsia="en-US"/>
              </w:rPr>
              <w:t xml:space="preserve">as a Regulatory Asset that it would sell to </w:t>
            </w:r>
            <w:r w:rsidRPr="00CE63C3">
              <w:rPr>
                <w:rFonts w:ascii="Arial" w:hAnsi="Arial" w:cs="Arial"/>
                <w:sz w:val="20"/>
                <w:szCs w:val="22"/>
                <w:lang w:eastAsia="en-US"/>
              </w:rPr>
              <w:t>OPG’s SPV / Trust</w:t>
            </w:r>
            <w:r w:rsidRPr="00CE63C3">
              <w:rPr>
                <w:rFonts w:ascii="Arial" w:hAnsi="Arial" w:cs="Arial"/>
                <w:sz w:val="20"/>
                <w:szCs w:val="22"/>
                <w:lang w:val="en-US" w:eastAsia="en-US"/>
              </w:rPr>
              <w:t>.</w:t>
            </w:r>
          </w:p>
          <w:p w:rsidR="00F262E9" w:rsidRPr="00CE63C3" w:rsidRDefault="00F262E9" w:rsidP="00BE0E80">
            <w:pPr>
              <w:rPr>
                <w:rFonts w:ascii="Arial" w:hAnsi="Arial" w:cs="Arial"/>
                <w:sz w:val="20"/>
                <w:szCs w:val="22"/>
                <w:lang w:val="en-US"/>
              </w:rPr>
            </w:pPr>
          </w:p>
          <w:p w:rsidR="00720FE0" w:rsidRDefault="00F262E9" w:rsidP="00B517C1">
            <w:pPr>
              <w:pStyle w:val="ListParagraph"/>
              <w:numPr>
                <w:ilvl w:val="0"/>
                <w:numId w:val="13"/>
              </w:numPr>
              <w:rPr>
                <w:rFonts w:ascii="Arial" w:hAnsi="Arial" w:cs="Arial"/>
                <w:sz w:val="20"/>
                <w:szCs w:val="22"/>
                <w:lang w:val="en-US"/>
              </w:rPr>
            </w:pPr>
            <w:r w:rsidRPr="00CE63C3">
              <w:rPr>
                <w:rFonts w:ascii="Arial" w:hAnsi="Arial" w:cs="Arial"/>
                <w:sz w:val="20"/>
                <w:szCs w:val="22"/>
                <w:lang w:val="en-US"/>
              </w:rPr>
              <w:t>The OEB will issue an accounting order to authorize IESO to create a variance account in which it will record the funding shortfall and recover the shortfall in accordance with the legislation and regulations.</w:t>
            </w:r>
          </w:p>
          <w:p w:rsidR="009F0BE3" w:rsidRPr="009F0BE3" w:rsidRDefault="009F0BE3" w:rsidP="009F0BE3">
            <w:pPr>
              <w:rPr>
                <w:rFonts w:ascii="Arial" w:hAnsi="Arial" w:cs="Arial"/>
                <w:sz w:val="20"/>
                <w:szCs w:val="22"/>
                <w:lang w:val="en-US"/>
              </w:rPr>
            </w:pPr>
          </w:p>
          <w:p w:rsidR="00230F59" w:rsidRPr="00CB3896" w:rsidRDefault="00720FE0" w:rsidP="003576F7">
            <w:pPr>
              <w:pStyle w:val="ListParagraph"/>
              <w:numPr>
                <w:ilvl w:val="0"/>
                <w:numId w:val="13"/>
              </w:numPr>
              <w:rPr>
                <w:rFonts w:ascii="Arial" w:hAnsi="Arial" w:cs="Arial"/>
                <w:sz w:val="20"/>
                <w:szCs w:val="22"/>
                <w:lang w:val="en-US"/>
              </w:rPr>
            </w:pPr>
            <w:r w:rsidRPr="00720FE0">
              <w:rPr>
                <w:rFonts w:ascii="Arial" w:hAnsi="Arial" w:cs="Arial"/>
                <w:sz w:val="20"/>
                <w:szCs w:val="22"/>
                <w:lang w:val="en-US"/>
              </w:rPr>
              <w:t>IESO requires short-term financing to be in place for initial and expected monthly timing differences, or in the event that the OPG SPV, at any time, does not purchase a portion of the regulatory asset.</w:t>
            </w:r>
          </w:p>
          <w:p w:rsidR="00230F59" w:rsidRDefault="00230F59" w:rsidP="003576F7">
            <w:pPr>
              <w:rPr>
                <w:rFonts w:ascii="Arial" w:hAnsi="Arial" w:cs="Arial"/>
                <w:sz w:val="20"/>
                <w:szCs w:val="22"/>
              </w:rPr>
            </w:pPr>
          </w:p>
          <w:p w:rsidR="003576F7" w:rsidRPr="006822FE" w:rsidRDefault="003576F7" w:rsidP="003576F7">
            <w:pPr>
              <w:rPr>
                <w:rFonts w:ascii="Arial" w:hAnsi="Arial" w:cs="Arial"/>
                <w:b/>
                <w:sz w:val="20"/>
                <w:szCs w:val="22"/>
                <w:u w:val="single"/>
              </w:rPr>
            </w:pPr>
            <w:r w:rsidRPr="006822FE">
              <w:rPr>
                <w:rFonts w:ascii="Arial" w:hAnsi="Arial" w:cs="Arial"/>
                <w:b/>
                <w:sz w:val="20"/>
                <w:szCs w:val="22"/>
                <w:u w:val="single"/>
              </w:rPr>
              <w:t>Update</w:t>
            </w:r>
            <w:r w:rsidR="006822FE">
              <w:rPr>
                <w:rFonts w:ascii="Arial" w:hAnsi="Arial" w:cs="Arial"/>
                <w:b/>
                <w:sz w:val="20"/>
                <w:szCs w:val="22"/>
                <w:u w:val="single"/>
              </w:rPr>
              <w:t>:</w:t>
            </w:r>
          </w:p>
          <w:p w:rsidR="00DA4A52" w:rsidRDefault="00DA4A52" w:rsidP="003576F7">
            <w:pPr>
              <w:rPr>
                <w:rFonts w:ascii="Arial" w:hAnsi="Arial" w:cs="Arial"/>
                <w:sz w:val="20"/>
                <w:szCs w:val="22"/>
                <w:u w:val="single"/>
              </w:rPr>
            </w:pPr>
          </w:p>
          <w:p w:rsidR="00720FE0" w:rsidRDefault="00DA4A52" w:rsidP="00B517C1">
            <w:pPr>
              <w:pStyle w:val="ListParagraph"/>
              <w:numPr>
                <w:ilvl w:val="0"/>
                <w:numId w:val="13"/>
              </w:numPr>
              <w:rPr>
                <w:rFonts w:ascii="Arial" w:hAnsi="Arial" w:cs="Arial"/>
                <w:sz w:val="20"/>
                <w:szCs w:val="22"/>
                <w:lang w:val="en-US"/>
              </w:rPr>
            </w:pPr>
            <w:r>
              <w:rPr>
                <w:rFonts w:ascii="Arial" w:hAnsi="Arial" w:cs="Arial"/>
                <w:sz w:val="20"/>
                <w:szCs w:val="22"/>
                <w:lang w:val="en-US"/>
              </w:rPr>
              <w:t xml:space="preserve">IESO has received an accounting opinion from KPMG that concurs with IESO’s view that it </w:t>
            </w:r>
            <w:r w:rsidR="006822FE">
              <w:rPr>
                <w:rFonts w:ascii="Arial" w:hAnsi="Arial" w:cs="Arial"/>
                <w:sz w:val="20"/>
                <w:szCs w:val="22"/>
                <w:lang w:val="en-US"/>
              </w:rPr>
              <w:t xml:space="preserve">has the ability to </w:t>
            </w:r>
            <w:r>
              <w:rPr>
                <w:rFonts w:ascii="Arial" w:hAnsi="Arial" w:cs="Arial"/>
                <w:sz w:val="20"/>
                <w:szCs w:val="22"/>
                <w:lang w:val="en-US"/>
              </w:rPr>
              <w:t xml:space="preserve">establish the regulatory asset. </w:t>
            </w:r>
          </w:p>
          <w:p w:rsidR="00720FE0" w:rsidRPr="00720FE0" w:rsidRDefault="00720FE0" w:rsidP="00720FE0">
            <w:pPr>
              <w:pStyle w:val="ListParagraph"/>
              <w:ind w:left="360"/>
              <w:rPr>
                <w:rFonts w:ascii="Arial" w:hAnsi="Arial" w:cs="Arial"/>
                <w:sz w:val="20"/>
                <w:szCs w:val="22"/>
                <w:lang w:val="en-US"/>
              </w:rPr>
            </w:pPr>
          </w:p>
          <w:p w:rsidR="00720FE0" w:rsidRPr="009F0BE3" w:rsidRDefault="00720FE0" w:rsidP="00B517C1">
            <w:pPr>
              <w:pStyle w:val="ListParagraph"/>
              <w:numPr>
                <w:ilvl w:val="0"/>
                <w:numId w:val="13"/>
              </w:numPr>
              <w:rPr>
                <w:rFonts w:ascii="Arial" w:hAnsi="Arial" w:cs="Arial"/>
                <w:sz w:val="20"/>
                <w:szCs w:val="22"/>
                <w:lang w:val="en-US"/>
              </w:rPr>
            </w:pPr>
            <w:r w:rsidRPr="00720FE0">
              <w:rPr>
                <w:rFonts w:ascii="Arial" w:hAnsi="Arial" w:cs="Arial"/>
                <w:sz w:val="20"/>
                <w:szCs w:val="22"/>
                <w:lang w:val="en-US"/>
              </w:rPr>
              <w:t xml:space="preserve">In addition, OFA is </w:t>
            </w:r>
            <w:r>
              <w:rPr>
                <w:rFonts w:ascii="Arial" w:hAnsi="Arial" w:cs="Arial"/>
                <w:sz w:val="20"/>
                <w:szCs w:val="22"/>
                <w:lang w:val="en-US"/>
              </w:rPr>
              <w:t xml:space="preserve">planning to </w:t>
            </w:r>
            <w:r w:rsidRPr="00720FE0">
              <w:rPr>
                <w:rFonts w:ascii="Arial" w:hAnsi="Arial" w:cs="Arial"/>
                <w:sz w:val="20"/>
                <w:szCs w:val="22"/>
                <w:lang w:val="en-US"/>
              </w:rPr>
              <w:t>increas</w:t>
            </w:r>
            <w:r>
              <w:rPr>
                <w:rFonts w:ascii="Arial" w:hAnsi="Arial" w:cs="Arial"/>
                <w:sz w:val="20"/>
                <w:szCs w:val="22"/>
                <w:lang w:val="en-US"/>
              </w:rPr>
              <w:t xml:space="preserve">e IESO’s credit facility </w:t>
            </w:r>
            <w:r w:rsidRPr="00720FE0">
              <w:rPr>
                <w:rFonts w:ascii="Arial" w:hAnsi="Arial" w:cs="Arial"/>
                <w:sz w:val="20"/>
                <w:szCs w:val="22"/>
                <w:lang w:val="en-US"/>
              </w:rPr>
              <w:t xml:space="preserve">to </w:t>
            </w:r>
            <w:r>
              <w:rPr>
                <w:rFonts w:ascii="Arial" w:hAnsi="Arial" w:cs="Arial"/>
                <w:sz w:val="20"/>
                <w:szCs w:val="22"/>
                <w:lang w:val="en-US"/>
              </w:rPr>
              <w:t xml:space="preserve">support its role in implementing the </w:t>
            </w:r>
            <w:r w:rsidRPr="00720FE0">
              <w:rPr>
                <w:rFonts w:ascii="Arial" w:hAnsi="Arial" w:cs="Arial"/>
                <w:sz w:val="20"/>
                <w:szCs w:val="22"/>
                <w:lang w:val="en-US"/>
              </w:rPr>
              <w:t xml:space="preserve">OFHPA.  </w:t>
            </w:r>
            <w:r w:rsidRPr="009F0BE3">
              <w:rPr>
                <w:rFonts w:ascii="Arial" w:hAnsi="Arial" w:cs="Arial"/>
                <w:sz w:val="20"/>
                <w:szCs w:val="22"/>
                <w:lang w:val="en-US"/>
              </w:rPr>
              <w:t xml:space="preserve">OFA is </w:t>
            </w:r>
            <w:r w:rsidR="00D858FE">
              <w:rPr>
                <w:rFonts w:ascii="Arial" w:hAnsi="Arial" w:cs="Arial"/>
                <w:sz w:val="20"/>
                <w:szCs w:val="22"/>
                <w:lang w:val="en-US"/>
              </w:rPr>
              <w:t>seeking</w:t>
            </w:r>
            <w:r w:rsidR="00D858FE" w:rsidRPr="009F0BE3">
              <w:rPr>
                <w:rFonts w:ascii="Arial" w:hAnsi="Arial" w:cs="Arial"/>
                <w:sz w:val="20"/>
                <w:szCs w:val="22"/>
                <w:lang w:val="en-US"/>
              </w:rPr>
              <w:t xml:space="preserve"> </w:t>
            </w:r>
            <w:r w:rsidRPr="009F0BE3">
              <w:rPr>
                <w:rFonts w:ascii="Arial" w:hAnsi="Arial" w:cs="Arial"/>
                <w:sz w:val="20"/>
                <w:szCs w:val="22"/>
                <w:lang w:val="en-US"/>
              </w:rPr>
              <w:t xml:space="preserve">an OIC that </w:t>
            </w:r>
            <w:r w:rsidR="009F0BE3" w:rsidRPr="009F0BE3">
              <w:rPr>
                <w:rFonts w:ascii="Arial" w:hAnsi="Arial" w:cs="Arial"/>
                <w:sz w:val="20"/>
                <w:szCs w:val="22"/>
                <w:lang w:val="en-US"/>
              </w:rPr>
              <w:t>would authorize</w:t>
            </w:r>
            <w:r w:rsidRPr="009F0BE3">
              <w:rPr>
                <w:rFonts w:ascii="Arial" w:hAnsi="Arial" w:cs="Arial"/>
                <w:sz w:val="20"/>
                <w:szCs w:val="22"/>
                <w:lang w:val="en-US"/>
              </w:rPr>
              <w:t xml:space="preserve"> the OFA to borrow an additional $2.0 billion, which would be in addition to existing authority for the Minister of Finance to provide loans to the OFA, to ensure that there is sufficient borrowing authority in place for the OFA to meet the IESO requested requirements.</w:t>
            </w:r>
          </w:p>
          <w:p w:rsidR="006822FE" w:rsidRPr="006822FE" w:rsidRDefault="006822FE" w:rsidP="006822FE">
            <w:pPr>
              <w:rPr>
                <w:rFonts w:ascii="Arial" w:hAnsi="Arial" w:cs="Arial"/>
                <w:sz w:val="20"/>
                <w:szCs w:val="22"/>
                <w:lang w:val="en-US"/>
              </w:rPr>
            </w:pPr>
          </w:p>
        </w:tc>
      </w:tr>
      <w:tr w:rsidR="00F262E9" w:rsidRPr="00CE63C3" w:rsidTr="00C05B4C">
        <w:trPr>
          <w:trHeight w:val="367"/>
        </w:trPr>
        <w:tc>
          <w:tcPr>
            <w:tcW w:w="3092" w:type="dxa"/>
            <w:tcBorders>
              <w:top w:val="single" w:sz="4" w:space="0" w:color="auto"/>
              <w:left w:val="single" w:sz="4" w:space="0" w:color="auto"/>
              <w:bottom w:val="single" w:sz="4" w:space="0" w:color="auto"/>
              <w:right w:val="single" w:sz="4" w:space="0" w:color="auto"/>
            </w:tcBorders>
          </w:tcPr>
          <w:p w:rsidR="00F262E9" w:rsidRPr="00CE63C3" w:rsidRDefault="00F262E9" w:rsidP="00BE0E80">
            <w:pPr>
              <w:rPr>
                <w:rFonts w:ascii="Arial" w:hAnsi="Arial" w:cs="Arial"/>
                <w:b/>
                <w:sz w:val="20"/>
                <w:szCs w:val="22"/>
                <w:lang w:val="en-US" w:eastAsia="en-US"/>
              </w:rPr>
            </w:pPr>
            <w:r w:rsidRPr="00CE63C3">
              <w:rPr>
                <w:rFonts w:ascii="Arial" w:hAnsi="Arial" w:cs="Arial"/>
                <w:b/>
                <w:sz w:val="20"/>
                <w:szCs w:val="22"/>
                <w:lang w:val="en-US" w:eastAsia="en-US"/>
              </w:rPr>
              <w:t>GA Refinancing Approach is Viewed as an Indirect-tax</w:t>
            </w:r>
          </w:p>
          <w:p w:rsidR="00F262E9" w:rsidRPr="00CE63C3" w:rsidRDefault="00F262E9" w:rsidP="00BE0E80">
            <w:pPr>
              <w:rPr>
                <w:rFonts w:ascii="Arial" w:hAnsi="Arial" w:cs="Arial"/>
                <w:sz w:val="20"/>
                <w:szCs w:val="22"/>
                <w:lang w:val="en-US" w:eastAsia="en-US"/>
              </w:rPr>
            </w:pPr>
          </w:p>
          <w:p w:rsidR="00F262E9" w:rsidRPr="00CE63C3" w:rsidRDefault="00F262E9" w:rsidP="00BE0E80">
            <w:pPr>
              <w:rPr>
                <w:rFonts w:ascii="Arial" w:hAnsi="Arial" w:cs="Arial"/>
                <w:sz w:val="20"/>
                <w:szCs w:val="22"/>
                <w:lang w:val="en-US" w:eastAsia="en-US"/>
              </w:rPr>
            </w:pPr>
          </w:p>
          <w:p w:rsidR="00F262E9" w:rsidRPr="00CE63C3" w:rsidRDefault="00F262E9" w:rsidP="00BE0E80">
            <w:pPr>
              <w:rPr>
                <w:rFonts w:ascii="Arial" w:hAnsi="Arial" w:cs="Arial"/>
                <w:sz w:val="20"/>
                <w:szCs w:val="22"/>
                <w:lang w:val="en-US" w:eastAsia="en-US"/>
              </w:rPr>
            </w:pPr>
          </w:p>
        </w:tc>
        <w:tc>
          <w:tcPr>
            <w:tcW w:w="1316" w:type="dxa"/>
            <w:tcBorders>
              <w:top w:val="single" w:sz="4" w:space="0" w:color="auto"/>
              <w:left w:val="single" w:sz="4" w:space="0" w:color="auto"/>
              <w:bottom w:val="single" w:sz="4" w:space="0" w:color="auto"/>
              <w:right w:val="single" w:sz="4" w:space="0" w:color="auto"/>
            </w:tcBorders>
          </w:tcPr>
          <w:p w:rsidR="00F262E9" w:rsidRPr="00CE63C3" w:rsidRDefault="00F262E9" w:rsidP="00BE0E80">
            <w:pPr>
              <w:jc w:val="center"/>
              <w:rPr>
                <w:rFonts w:ascii="Arial" w:hAnsi="Arial" w:cs="Arial"/>
                <w:sz w:val="20"/>
                <w:szCs w:val="22"/>
                <w:lang w:val="en-US" w:eastAsia="en-US"/>
              </w:rPr>
            </w:pPr>
            <w:r w:rsidRPr="00CE63C3">
              <w:rPr>
                <w:rFonts w:ascii="Arial" w:hAnsi="Arial" w:cs="Arial"/>
                <w:sz w:val="20"/>
                <w:szCs w:val="22"/>
                <w:lang w:val="en-US" w:eastAsia="en-US"/>
              </w:rPr>
              <w:t>L</w:t>
            </w:r>
          </w:p>
        </w:tc>
        <w:tc>
          <w:tcPr>
            <w:tcW w:w="1116" w:type="dxa"/>
            <w:tcBorders>
              <w:top w:val="single" w:sz="4" w:space="0" w:color="auto"/>
              <w:left w:val="single" w:sz="4" w:space="0" w:color="auto"/>
              <w:bottom w:val="single" w:sz="4" w:space="0" w:color="auto"/>
              <w:right w:val="single" w:sz="4" w:space="0" w:color="auto"/>
            </w:tcBorders>
          </w:tcPr>
          <w:p w:rsidR="00F262E9" w:rsidRPr="00CE63C3" w:rsidRDefault="00F262E9" w:rsidP="00BE0E80">
            <w:pPr>
              <w:jc w:val="center"/>
              <w:rPr>
                <w:rFonts w:ascii="Arial" w:hAnsi="Arial" w:cs="Arial"/>
                <w:sz w:val="20"/>
                <w:szCs w:val="22"/>
                <w:lang w:eastAsia="en-US"/>
              </w:rPr>
            </w:pPr>
            <w:r w:rsidRPr="00CE63C3">
              <w:rPr>
                <w:rFonts w:ascii="Arial" w:hAnsi="Arial" w:cs="Arial"/>
                <w:sz w:val="20"/>
                <w:szCs w:val="22"/>
                <w:lang w:eastAsia="en-US"/>
              </w:rPr>
              <w:t>H</w:t>
            </w:r>
          </w:p>
        </w:tc>
        <w:tc>
          <w:tcPr>
            <w:tcW w:w="4257" w:type="dxa"/>
            <w:tcBorders>
              <w:top w:val="single" w:sz="4" w:space="0" w:color="auto"/>
              <w:left w:val="single" w:sz="4" w:space="0" w:color="auto"/>
              <w:bottom w:val="single" w:sz="4" w:space="0" w:color="auto"/>
              <w:right w:val="single" w:sz="4" w:space="0" w:color="auto"/>
            </w:tcBorders>
          </w:tcPr>
          <w:p w:rsidR="00F262E9" w:rsidRPr="00CE63C3" w:rsidRDefault="00F262E9" w:rsidP="00BE0E80">
            <w:pPr>
              <w:pStyle w:val="ListParagraph"/>
              <w:ind w:left="360"/>
              <w:rPr>
                <w:rFonts w:ascii="Arial" w:hAnsi="Arial" w:cs="Arial"/>
                <w:sz w:val="20"/>
                <w:szCs w:val="22"/>
                <w:lang w:eastAsia="en-US"/>
              </w:rPr>
            </w:pPr>
          </w:p>
          <w:p w:rsidR="005B592C" w:rsidRPr="005B592C" w:rsidRDefault="005B592C" w:rsidP="005B592C">
            <w:pPr>
              <w:pStyle w:val="ListParagraph"/>
              <w:numPr>
                <w:ilvl w:val="0"/>
                <w:numId w:val="25"/>
              </w:numPr>
              <w:rPr>
                <w:rFonts w:ascii="Arial" w:hAnsi="Arial" w:cs="Arial"/>
                <w:sz w:val="20"/>
                <w:szCs w:val="22"/>
                <w:lang w:eastAsia="en-US"/>
              </w:rPr>
            </w:pPr>
            <w:r w:rsidRPr="005B592C">
              <w:rPr>
                <w:rFonts w:ascii="Arial" w:hAnsi="Arial" w:cs="Arial"/>
                <w:sz w:val="20"/>
                <w:szCs w:val="22"/>
                <w:lang w:eastAsia="en-US"/>
              </w:rPr>
              <w:t xml:space="preserve">In principle, refinancing the GA to spread the costs of generation and conservation assets over the useful life of the assets presents only a “low” risk of being an unconstitutional tax, as each cohort of consumers pays for a proportion of the GA cost roughly equal to the proportion of the benefit they receive from the useful life of the assets.  </w:t>
            </w:r>
          </w:p>
          <w:p w:rsidR="005B592C" w:rsidRDefault="005B592C" w:rsidP="00230F59">
            <w:pPr>
              <w:pStyle w:val="ListParagraph"/>
              <w:ind w:left="360"/>
              <w:rPr>
                <w:rFonts w:ascii="Arial" w:hAnsi="Arial" w:cs="Arial"/>
                <w:sz w:val="20"/>
                <w:szCs w:val="22"/>
                <w:lang w:eastAsia="en-US"/>
              </w:rPr>
            </w:pPr>
          </w:p>
          <w:p w:rsidR="00CB3896" w:rsidRPr="005B592C" w:rsidRDefault="00CB3896" w:rsidP="00230F59">
            <w:pPr>
              <w:pStyle w:val="ListParagraph"/>
              <w:ind w:left="360"/>
              <w:rPr>
                <w:rFonts w:ascii="Arial" w:hAnsi="Arial" w:cs="Arial"/>
                <w:sz w:val="20"/>
                <w:szCs w:val="22"/>
                <w:lang w:eastAsia="en-US"/>
              </w:rPr>
            </w:pPr>
          </w:p>
          <w:p w:rsidR="005B592C" w:rsidRPr="005B592C" w:rsidRDefault="005B592C" w:rsidP="005B592C">
            <w:pPr>
              <w:pStyle w:val="ListParagraph"/>
              <w:numPr>
                <w:ilvl w:val="0"/>
                <w:numId w:val="25"/>
              </w:numPr>
              <w:rPr>
                <w:rFonts w:ascii="Arial" w:hAnsi="Arial" w:cs="Arial"/>
                <w:sz w:val="20"/>
                <w:szCs w:val="22"/>
                <w:lang w:eastAsia="en-US"/>
              </w:rPr>
            </w:pPr>
            <w:r w:rsidRPr="005B592C">
              <w:rPr>
                <w:rFonts w:ascii="Arial" w:hAnsi="Arial" w:cs="Arial"/>
                <w:sz w:val="20"/>
                <w:szCs w:val="22"/>
                <w:lang w:eastAsia="en-US"/>
              </w:rPr>
              <w:t xml:space="preserve">Legal risk arises if it becomes apparent that the Government is not spreading cost so that it is shared proportionately by future consumers who cause a need for or benefit from the generation asset, but rather is doing so in order to lower the price in the “short” term by increasing the price in the long term. If the proposed financing served to encumber future consumers with a premium payment to cover the GA financing in order to subsidize current ratepayers, then there would be a moderately high constitutional risk that the financing proposal would result in an unconstitutional tax. </w:t>
            </w:r>
          </w:p>
          <w:p w:rsidR="00230F59" w:rsidRPr="00CE63C3" w:rsidRDefault="00230F59" w:rsidP="00BE0E80">
            <w:pPr>
              <w:rPr>
                <w:rFonts w:ascii="Arial" w:hAnsi="Arial" w:cs="Arial"/>
                <w:sz w:val="20"/>
                <w:szCs w:val="22"/>
                <w:lang w:eastAsia="en-US"/>
              </w:rPr>
            </w:pPr>
          </w:p>
          <w:p w:rsidR="005B592C" w:rsidRPr="005B592C" w:rsidRDefault="005B592C" w:rsidP="005B592C">
            <w:pPr>
              <w:pStyle w:val="ListParagraph"/>
              <w:numPr>
                <w:ilvl w:val="0"/>
                <w:numId w:val="25"/>
              </w:numPr>
              <w:rPr>
                <w:rFonts w:ascii="Arial" w:hAnsi="Arial" w:cs="Arial"/>
                <w:sz w:val="20"/>
                <w:szCs w:val="22"/>
                <w:lang w:eastAsia="en-US"/>
              </w:rPr>
            </w:pPr>
            <w:r w:rsidRPr="005B592C">
              <w:rPr>
                <w:rFonts w:ascii="Arial" w:hAnsi="Arial" w:cs="Arial"/>
                <w:sz w:val="20"/>
                <w:szCs w:val="22"/>
                <w:lang w:eastAsia="en-US"/>
              </w:rPr>
              <w:t xml:space="preserve">The legislation attempts to mitigate the risks ‎identified above by requiring that the costs moved into the future align with the benefits that future rate payers will receive. To create the flexibility to achieve this requirement, the amounts of the costs and benefits will not be enshrined in the legislation.  </w:t>
            </w:r>
          </w:p>
          <w:p w:rsidR="00194B08" w:rsidRDefault="00194B08" w:rsidP="00194B08">
            <w:pPr>
              <w:rPr>
                <w:rFonts w:ascii="Arial" w:hAnsi="Arial" w:cs="Arial"/>
                <w:sz w:val="20"/>
                <w:szCs w:val="22"/>
                <w:lang w:eastAsia="en-US"/>
              </w:rPr>
            </w:pPr>
          </w:p>
          <w:p w:rsidR="003576F7" w:rsidRPr="006822FE" w:rsidRDefault="003576F7" w:rsidP="00194B08">
            <w:pPr>
              <w:rPr>
                <w:rFonts w:ascii="Arial" w:hAnsi="Arial" w:cs="Arial"/>
                <w:b/>
                <w:sz w:val="20"/>
                <w:szCs w:val="22"/>
                <w:u w:val="single"/>
                <w:lang w:eastAsia="en-US"/>
              </w:rPr>
            </w:pPr>
            <w:r w:rsidRPr="006822FE">
              <w:rPr>
                <w:rFonts w:ascii="Arial" w:hAnsi="Arial" w:cs="Arial"/>
                <w:b/>
                <w:sz w:val="20"/>
                <w:szCs w:val="22"/>
                <w:u w:val="single"/>
                <w:lang w:eastAsia="en-US"/>
              </w:rPr>
              <w:t>Update</w:t>
            </w:r>
            <w:r w:rsidR="006822FE" w:rsidRPr="006822FE">
              <w:rPr>
                <w:rFonts w:ascii="Arial" w:hAnsi="Arial" w:cs="Arial"/>
                <w:b/>
                <w:sz w:val="20"/>
                <w:szCs w:val="22"/>
                <w:u w:val="single"/>
                <w:lang w:eastAsia="en-US"/>
              </w:rPr>
              <w:t>:</w:t>
            </w:r>
          </w:p>
          <w:p w:rsidR="003576F7" w:rsidRDefault="003576F7" w:rsidP="00194B08">
            <w:pPr>
              <w:rPr>
                <w:rFonts w:ascii="Arial" w:hAnsi="Arial" w:cs="Arial"/>
                <w:sz w:val="20"/>
                <w:szCs w:val="22"/>
                <w:lang w:eastAsia="en-US"/>
              </w:rPr>
            </w:pPr>
          </w:p>
          <w:p w:rsidR="00DA4A52" w:rsidRDefault="00DA4A52" w:rsidP="00B517C1">
            <w:pPr>
              <w:pStyle w:val="ListParagraph"/>
              <w:numPr>
                <w:ilvl w:val="0"/>
                <w:numId w:val="25"/>
              </w:numPr>
              <w:rPr>
                <w:rFonts w:ascii="Arial" w:hAnsi="Arial" w:cs="Arial"/>
                <w:sz w:val="20"/>
                <w:szCs w:val="22"/>
                <w:lang w:eastAsia="en-US"/>
              </w:rPr>
            </w:pPr>
            <w:r w:rsidRPr="00CE63C3">
              <w:rPr>
                <w:rFonts w:ascii="Arial" w:hAnsi="Arial" w:cs="Arial"/>
                <w:sz w:val="20"/>
                <w:szCs w:val="22"/>
                <w:lang w:eastAsia="en-US"/>
              </w:rPr>
              <w:t xml:space="preserve">The </w:t>
            </w:r>
            <w:r>
              <w:rPr>
                <w:rFonts w:ascii="Arial" w:hAnsi="Arial" w:cs="Arial"/>
                <w:sz w:val="20"/>
                <w:szCs w:val="22"/>
                <w:lang w:eastAsia="en-US"/>
              </w:rPr>
              <w:t>l</w:t>
            </w:r>
            <w:r w:rsidR="00323877">
              <w:rPr>
                <w:rFonts w:ascii="Arial" w:hAnsi="Arial" w:cs="Arial"/>
                <w:sz w:val="20"/>
                <w:szCs w:val="22"/>
                <w:lang w:eastAsia="en-US"/>
              </w:rPr>
              <w:t>egislation was designed</w:t>
            </w:r>
            <w:r>
              <w:rPr>
                <w:rFonts w:ascii="Arial" w:hAnsi="Arial" w:cs="Arial"/>
                <w:sz w:val="20"/>
                <w:szCs w:val="22"/>
                <w:lang w:eastAsia="en-US"/>
              </w:rPr>
              <w:t xml:space="preserve"> to </w:t>
            </w:r>
            <w:r w:rsidR="00BF1D59">
              <w:rPr>
                <w:rFonts w:ascii="Arial" w:hAnsi="Arial" w:cs="Arial"/>
                <w:sz w:val="20"/>
                <w:szCs w:val="22"/>
                <w:lang w:eastAsia="en-US"/>
              </w:rPr>
              <w:t>mitigate</w:t>
            </w:r>
            <w:r w:rsidR="006822FE">
              <w:rPr>
                <w:rFonts w:ascii="Arial" w:hAnsi="Arial" w:cs="Arial"/>
                <w:sz w:val="20"/>
                <w:szCs w:val="22"/>
                <w:lang w:eastAsia="en-US"/>
              </w:rPr>
              <w:t xml:space="preserve"> </w:t>
            </w:r>
            <w:r>
              <w:rPr>
                <w:rFonts w:ascii="Arial" w:hAnsi="Arial" w:cs="Arial"/>
                <w:sz w:val="20"/>
                <w:szCs w:val="22"/>
                <w:lang w:eastAsia="en-US"/>
              </w:rPr>
              <w:t>this risk.</w:t>
            </w:r>
          </w:p>
          <w:p w:rsidR="00230F59" w:rsidRDefault="00230F59" w:rsidP="00230F59">
            <w:pPr>
              <w:pStyle w:val="ListParagraph"/>
              <w:ind w:left="360"/>
              <w:rPr>
                <w:rFonts w:ascii="Arial" w:hAnsi="Arial" w:cs="Arial"/>
                <w:sz w:val="20"/>
                <w:szCs w:val="22"/>
                <w:lang w:eastAsia="en-US"/>
              </w:rPr>
            </w:pPr>
          </w:p>
          <w:p w:rsidR="005B592C" w:rsidRPr="005B592C" w:rsidRDefault="005B592C" w:rsidP="005B592C">
            <w:pPr>
              <w:pStyle w:val="ListParagraph"/>
              <w:numPr>
                <w:ilvl w:val="0"/>
                <w:numId w:val="25"/>
              </w:numPr>
              <w:rPr>
                <w:rFonts w:ascii="Arial" w:hAnsi="Arial" w:cs="Arial"/>
                <w:sz w:val="20"/>
                <w:szCs w:val="22"/>
                <w:lang w:eastAsia="en-US"/>
              </w:rPr>
            </w:pPr>
            <w:r w:rsidRPr="005B592C">
              <w:rPr>
                <w:rFonts w:ascii="Arial" w:hAnsi="Arial" w:cs="Arial"/>
                <w:sz w:val="20"/>
                <w:szCs w:val="22"/>
                <w:lang w:eastAsia="en-US"/>
              </w:rPr>
              <w:t>The Fair Allocation Amount</w:t>
            </w:r>
            <w:r w:rsidR="00D858FE">
              <w:rPr>
                <w:rFonts w:ascii="Arial" w:hAnsi="Arial" w:cs="Arial"/>
                <w:sz w:val="20"/>
                <w:szCs w:val="22"/>
                <w:lang w:eastAsia="en-US"/>
              </w:rPr>
              <w:t xml:space="preserve">, </w:t>
            </w:r>
            <w:r w:rsidR="007E7291">
              <w:rPr>
                <w:rFonts w:ascii="Arial" w:hAnsi="Arial" w:cs="Arial"/>
                <w:sz w:val="20"/>
                <w:szCs w:val="22"/>
                <w:lang w:eastAsia="en-US"/>
              </w:rPr>
              <w:t>the process for which is</w:t>
            </w:r>
            <w:r w:rsidR="00D858FE">
              <w:rPr>
                <w:rFonts w:ascii="Arial" w:hAnsi="Arial" w:cs="Arial"/>
                <w:sz w:val="20"/>
                <w:szCs w:val="22"/>
                <w:lang w:eastAsia="en-US"/>
              </w:rPr>
              <w:t xml:space="preserve"> further clarified under general regulation, </w:t>
            </w:r>
            <w:r w:rsidRPr="005B592C">
              <w:rPr>
                <w:rFonts w:ascii="Arial" w:hAnsi="Arial" w:cs="Arial"/>
                <w:sz w:val="20"/>
                <w:szCs w:val="22"/>
                <w:lang w:eastAsia="en-US"/>
              </w:rPr>
              <w:t xml:space="preserve">will help to ensure that the allocation of costs associated with electricity generation facilities is reflected over the term of GA Refinancing. </w:t>
            </w:r>
          </w:p>
          <w:p w:rsidR="009F0BE3" w:rsidRPr="00230F59" w:rsidRDefault="009F0BE3" w:rsidP="00230F59">
            <w:pPr>
              <w:pStyle w:val="ListParagraph"/>
              <w:ind w:left="360"/>
              <w:rPr>
                <w:rFonts w:ascii="Arial" w:hAnsi="Arial" w:cs="Arial"/>
                <w:sz w:val="20"/>
                <w:szCs w:val="22"/>
                <w:lang w:eastAsia="en-US"/>
              </w:rPr>
            </w:pPr>
          </w:p>
        </w:tc>
      </w:tr>
      <w:tr w:rsidR="00F262E9" w:rsidRPr="00CE63C3" w:rsidTr="00C05B4C">
        <w:trPr>
          <w:trHeight w:val="285"/>
        </w:trPr>
        <w:tc>
          <w:tcPr>
            <w:tcW w:w="3092" w:type="dxa"/>
            <w:tcBorders>
              <w:top w:val="single" w:sz="4" w:space="0" w:color="auto"/>
              <w:left w:val="single" w:sz="4" w:space="0" w:color="auto"/>
              <w:bottom w:val="single" w:sz="4" w:space="0" w:color="auto"/>
              <w:right w:val="nil"/>
            </w:tcBorders>
            <w:shd w:val="pct12" w:color="auto" w:fill="auto"/>
          </w:tcPr>
          <w:p w:rsidR="001C20E7" w:rsidRPr="001C20E7" w:rsidRDefault="001C20E7" w:rsidP="001C20E7">
            <w:pPr>
              <w:pStyle w:val="ListParagraph"/>
              <w:numPr>
                <w:ilvl w:val="0"/>
                <w:numId w:val="9"/>
              </w:numPr>
              <w:rPr>
                <w:rFonts w:ascii="Arial" w:hAnsi="Arial" w:cs="Arial"/>
                <w:i/>
                <w:sz w:val="20"/>
                <w:szCs w:val="22"/>
                <w:lang w:val="en-US"/>
              </w:rPr>
            </w:pPr>
            <w:r w:rsidRPr="001C20E7">
              <w:rPr>
                <w:rFonts w:ascii="Arial" w:hAnsi="Arial" w:cs="Arial"/>
                <w:i/>
                <w:sz w:val="20"/>
                <w:szCs w:val="22"/>
                <w:lang w:val="en-US"/>
              </w:rPr>
              <w:t>Increasing social assistance clients’ enrolment into the Ontario Electricity Support Program (OESP)</w:t>
            </w:r>
          </w:p>
          <w:p w:rsidR="00F262E9" w:rsidRPr="00CE63C3" w:rsidRDefault="00F262E9" w:rsidP="00AD1460">
            <w:pPr>
              <w:pStyle w:val="ListParagraph"/>
              <w:numPr>
                <w:ilvl w:val="0"/>
                <w:numId w:val="9"/>
              </w:numPr>
              <w:rPr>
                <w:rFonts w:ascii="Arial" w:hAnsi="Arial" w:cs="Arial"/>
                <w:i/>
                <w:sz w:val="20"/>
                <w:szCs w:val="22"/>
                <w:lang w:val="en-US"/>
              </w:rPr>
            </w:pPr>
          </w:p>
        </w:tc>
        <w:tc>
          <w:tcPr>
            <w:tcW w:w="1316" w:type="dxa"/>
            <w:tcBorders>
              <w:top w:val="single" w:sz="4" w:space="0" w:color="auto"/>
              <w:left w:val="nil"/>
              <w:bottom w:val="single" w:sz="4" w:space="0" w:color="auto"/>
              <w:right w:val="nil"/>
            </w:tcBorders>
            <w:shd w:val="pct12" w:color="auto" w:fill="auto"/>
          </w:tcPr>
          <w:p w:rsidR="00F262E9" w:rsidRPr="00CE63C3" w:rsidRDefault="00F262E9" w:rsidP="00BE0E80">
            <w:pPr>
              <w:jc w:val="center"/>
              <w:rPr>
                <w:rFonts w:ascii="Arial" w:hAnsi="Arial" w:cs="Arial"/>
                <w:sz w:val="20"/>
                <w:szCs w:val="22"/>
                <w:lang w:eastAsia="en-US"/>
              </w:rPr>
            </w:pPr>
            <w:r w:rsidRPr="00CE63C3">
              <w:rPr>
                <w:rFonts w:ascii="Arial" w:hAnsi="Arial" w:cs="Arial"/>
                <w:sz w:val="20"/>
                <w:szCs w:val="22"/>
                <w:lang w:eastAsia="en-US"/>
              </w:rPr>
              <w:t xml:space="preserve"> </w:t>
            </w:r>
          </w:p>
        </w:tc>
        <w:tc>
          <w:tcPr>
            <w:tcW w:w="1116" w:type="dxa"/>
            <w:tcBorders>
              <w:top w:val="single" w:sz="4" w:space="0" w:color="auto"/>
              <w:left w:val="nil"/>
              <w:bottom w:val="single" w:sz="4" w:space="0" w:color="auto"/>
              <w:right w:val="nil"/>
            </w:tcBorders>
            <w:shd w:val="pct12" w:color="auto" w:fill="auto"/>
          </w:tcPr>
          <w:p w:rsidR="00F262E9" w:rsidRPr="00CE63C3" w:rsidRDefault="00F262E9" w:rsidP="00BE0E80">
            <w:pPr>
              <w:jc w:val="center"/>
              <w:rPr>
                <w:rFonts w:ascii="Arial" w:hAnsi="Arial" w:cs="Arial"/>
                <w:sz w:val="20"/>
                <w:szCs w:val="22"/>
                <w:lang w:eastAsia="en-US"/>
              </w:rPr>
            </w:pPr>
            <w:r w:rsidRPr="00CE63C3">
              <w:rPr>
                <w:rFonts w:ascii="Arial" w:hAnsi="Arial" w:cs="Arial"/>
                <w:sz w:val="20"/>
                <w:szCs w:val="22"/>
                <w:lang w:eastAsia="en-US"/>
              </w:rPr>
              <w:t xml:space="preserve"> </w:t>
            </w:r>
          </w:p>
        </w:tc>
        <w:tc>
          <w:tcPr>
            <w:tcW w:w="4257" w:type="dxa"/>
            <w:tcBorders>
              <w:top w:val="single" w:sz="4" w:space="0" w:color="auto"/>
              <w:left w:val="nil"/>
              <w:bottom w:val="single" w:sz="4" w:space="0" w:color="auto"/>
              <w:right w:val="single" w:sz="4" w:space="0" w:color="auto"/>
            </w:tcBorders>
            <w:shd w:val="pct12" w:color="auto" w:fill="auto"/>
          </w:tcPr>
          <w:p w:rsidR="00F262E9" w:rsidRPr="00CE63C3" w:rsidRDefault="00F262E9" w:rsidP="00BE0E80">
            <w:pPr>
              <w:rPr>
                <w:rFonts w:ascii="Arial" w:hAnsi="Arial" w:cs="Arial"/>
                <w:sz w:val="20"/>
                <w:szCs w:val="22"/>
                <w:lang w:eastAsia="en-US"/>
              </w:rPr>
            </w:pPr>
          </w:p>
          <w:p w:rsidR="00F262E9" w:rsidRPr="00CE63C3" w:rsidRDefault="00F262E9" w:rsidP="00BE0E80">
            <w:pPr>
              <w:rPr>
                <w:rFonts w:ascii="Arial" w:hAnsi="Arial" w:cs="Arial"/>
                <w:sz w:val="20"/>
                <w:szCs w:val="22"/>
                <w:lang w:eastAsia="en-US"/>
              </w:rPr>
            </w:pPr>
          </w:p>
          <w:p w:rsidR="00F262E9" w:rsidRPr="00CE63C3" w:rsidRDefault="00F262E9" w:rsidP="00BE0E80">
            <w:pPr>
              <w:rPr>
                <w:rFonts w:ascii="Arial" w:hAnsi="Arial" w:cs="Arial"/>
                <w:sz w:val="20"/>
                <w:szCs w:val="22"/>
                <w:lang w:eastAsia="en-US"/>
              </w:rPr>
            </w:pPr>
          </w:p>
        </w:tc>
      </w:tr>
      <w:tr w:rsidR="00F262E9" w:rsidRPr="00CE63C3" w:rsidTr="00C05B4C">
        <w:trPr>
          <w:trHeight w:val="1045"/>
        </w:trPr>
        <w:tc>
          <w:tcPr>
            <w:tcW w:w="3092" w:type="dxa"/>
            <w:tcBorders>
              <w:top w:val="single" w:sz="4" w:space="0" w:color="auto"/>
              <w:left w:val="single" w:sz="4" w:space="0" w:color="auto"/>
              <w:bottom w:val="single" w:sz="4" w:space="0" w:color="auto"/>
              <w:right w:val="single" w:sz="4" w:space="0" w:color="auto"/>
            </w:tcBorders>
          </w:tcPr>
          <w:p w:rsidR="00F262E9" w:rsidRPr="00CE63C3" w:rsidRDefault="00F262E9" w:rsidP="00BE0E80">
            <w:pPr>
              <w:rPr>
                <w:rFonts w:ascii="Arial" w:hAnsi="Arial" w:cs="Arial"/>
                <w:b/>
                <w:sz w:val="20"/>
                <w:szCs w:val="22"/>
                <w:lang w:eastAsia="en-US"/>
              </w:rPr>
            </w:pPr>
            <w:r w:rsidRPr="00CE63C3">
              <w:rPr>
                <w:rFonts w:ascii="Arial" w:hAnsi="Arial" w:cs="Arial"/>
                <w:b/>
                <w:sz w:val="20"/>
                <w:szCs w:val="22"/>
                <w:lang w:eastAsia="en-US"/>
              </w:rPr>
              <w:t>Social Program Cost Estimating</w:t>
            </w:r>
          </w:p>
        </w:tc>
        <w:tc>
          <w:tcPr>
            <w:tcW w:w="1316" w:type="dxa"/>
            <w:tcBorders>
              <w:top w:val="single" w:sz="4" w:space="0" w:color="auto"/>
              <w:left w:val="single" w:sz="4" w:space="0" w:color="auto"/>
              <w:bottom w:val="single" w:sz="4" w:space="0" w:color="auto"/>
              <w:right w:val="single" w:sz="4" w:space="0" w:color="auto"/>
            </w:tcBorders>
          </w:tcPr>
          <w:p w:rsidR="00F262E9" w:rsidRPr="00CE63C3" w:rsidRDefault="00F262E9" w:rsidP="00BE0E80">
            <w:pPr>
              <w:jc w:val="center"/>
              <w:rPr>
                <w:rFonts w:ascii="Arial" w:hAnsi="Arial" w:cs="Arial"/>
                <w:sz w:val="20"/>
                <w:szCs w:val="22"/>
                <w:lang w:eastAsia="en-US"/>
              </w:rPr>
            </w:pPr>
            <w:r w:rsidRPr="00CE63C3">
              <w:rPr>
                <w:rFonts w:ascii="Arial" w:hAnsi="Arial" w:cs="Arial"/>
                <w:sz w:val="20"/>
                <w:szCs w:val="22"/>
                <w:lang w:eastAsia="en-US"/>
              </w:rPr>
              <w:t>M</w:t>
            </w:r>
          </w:p>
        </w:tc>
        <w:tc>
          <w:tcPr>
            <w:tcW w:w="1116" w:type="dxa"/>
            <w:tcBorders>
              <w:top w:val="single" w:sz="4" w:space="0" w:color="auto"/>
              <w:left w:val="single" w:sz="4" w:space="0" w:color="auto"/>
              <w:bottom w:val="single" w:sz="4" w:space="0" w:color="auto"/>
              <w:right w:val="single" w:sz="4" w:space="0" w:color="auto"/>
            </w:tcBorders>
          </w:tcPr>
          <w:p w:rsidR="00F262E9" w:rsidRPr="00CE63C3" w:rsidRDefault="00F262E9" w:rsidP="00BE0E80">
            <w:pPr>
              <w:jc w:val="center"/>
              <w:rPr>
                <w:rFonts w:ascii="Arial" w:hAnsi="Arial" w:cs="Arial"/>
                <w:sz w:val="20"/>
                <w:szCs w:val="22"/>
                <w:lang w:eastAsia="en-US"/>
              </w:rPr>
            </w:pPr>
            <w:r w:rsidRPr="00CE63C3">
              <w:rPr>
                <w:rFonts w:ascii="Arial" w:hAnsi="Arial" w:cs="Arial"/>
                <w:sz w:val="20"/>
                <w:szCs w:val="22"/>
                <w:lang w:eastAsia="en-US"/>
              </w:rPr>
              <w:t>M</w:t>
            </w:r>
          </w:p>
        </w:tc>
        <w:tc>
          <w:tcPr>
            <w:tcW w:w="4257" w:type="dxa"/>
            <w:tcBorders>
              <w:top w:val="single" w:sz="4" w:space="0" w:color="auto"/>
              <w:left w:val="single" w:sz="4" w:space="0" w:color="auto"/>
              <w:bottom w:val="single" w:sz="4" w:space="0" w:color="auto"/>
              <w:right w:val="single" w:sz="4" w:space="0" w:color="auto"/>
            </w:tcBorders>
          </w:tcPr>
          <w:p w:rsidR="005A4643" w:rsidRDefault="005A4643" w:rsidP="00B517C1">
            <w:pPr>
              <w:pStyle w:val="ListParagraph"/>
              <w:numPr>
                <w:ilvl w:val="0"/>
                <w:numId w:val="28"/>
              </w:numPr>
              <w:ind w:left="398"/>
              <w:rPr>
                <w:rFonts w:ascii="Arial" w:hAnsi="Arial" w:cs="Arial"/>
                <w:sz w:val="20"/>
                <w:szCs w:val="22"/>
                <w:lang w:eastAsia="en-US"/>
              </w:rPr>
            </w:pPr>
            <w:r w:rsidRPr="00CE63C3">
              <w:rPr>
                <w:rFonts w:ascii="Arial" w:hAnsi="Arial" w:cs="Arial"/>
                <w:sz w:val="20"/>
                <w:szCs w:val="22"/>
                <w:lang w:eastAsia="en-US"/>
              </w:rPr>
              <w:t>OESP costs will depend on uptake of the program, which will be impacted by the 50% increase in credits, enhanced eligibility, and work with MCSS on aligning OESP delivery with their social assistance programs</w:t>
            </w:r>
          </w:p>
          <w:p w:rsidR="005A4643" w:rsidRDefault="005A4643" w:rsidP="00AD1460">
            <w:pPr>
              <w:pStyle w:val="ListParagraph"/>
              <w:ind w:left="398"/>
              <w:rPr>
                <w:rFonts w:ascii="Arial" w:hAnsi="Arial" w:cs="Arial"/>
                <w:sz w:val="20"/>
                <w:szCs w:val="22"/>
                <w:lang w:eastAsia="en-US"/>
              </w:rPr>
            </w:pPr>
          </w:p>
          <w:p w:rsidR="00F262E9" w:rsidRPr="00CE63C3" w:rsidRDefault="00F262E9" w:rsidP="00BE0E80">
            <w:pPr>
              <w:pStyle w:val="ListParagraph"/>
              <w:ind w:left="308"/>
              <w:rPr>
                <w:rFonts w:ascii="Arial" w:hAnsi="Arial" w:cs="Arial"/>
                <w:sz w:val="20"/>
                <w:szCs w:val="22"/>
                <w:lang w:eastAsia="en-US"/>
              </w:rPr>
            </w:pPr>
          </w:p>
          <w:p w:rsidR="00F262E9" w:rsidRPr="00CE63C3" w:rsidRDefault="00F262E9" w:rsidP="00B517C1">
            <w:pPr>
              <w:pStyle w:val="ListParagraph"/>
              <w:numPr>
                <w:ilvl w:val="0"/>
                <w:numId w:val="27"/>
              </w:numPr>
              <w:ind w:left="308"/>
              <w:rPr>
                <w:rFonts w:ascii="Arial" w:hAnsi="Arial" w:cs="Arial"/>
                <w:sz w:val="20"/>
                <w:szCs w:val="22"/>
                <w:lang w:eastAsia="en-US"/>
              </w:rPr>
            </w:pPr>
            <w:r w:rsidRPr="00CE63C3">
              <w:rPr>
                <w:rFonts w:ascii="Arial" w:hAnsi="Arial" w:cs="Arial"/>
                <w:sz w:val="20"/>
                <w:szCs w:val="22"/>
                <w:lang w:eastAsia="en-US"/>
              </w:rPr>
              <w:t>Work with Ontario Energy Board (OEB) and the Independent Electricity System Operator (IESO) to ensure access to data for regular forecasting</w:t>
            </w:r>
            <w:r w:rsidR="00A94082">
              <w:rPr>
                <w:rFonts w:ascii="Arial" w:hAnsi="Arial" w:cs="Arial"/>
                <w:sz w:val="20"/>
                <w:szCs w:val="22"/>
                <w:lang w:eastAsia="en-US"/>
              </w:rPr>
              <w:t>.</w:t>
            </w:r>
            <w:r w:rsidRPr="00CE63C3">
              <w:rPr>
                <w:rFonts w:ascii="Arial" w:hAnsi="Arial" w:cs="Arial"/>
                <w:sz w:val="20"/>
                <w:szCs w:val="22"/>
                <w:lang w:eastAsia="en-US"/>
              </w:rPr>
              <w:t xml:space="preserve"> </w:t>
            </w:r>
          </w:p>
          <w:p w:rsidR="00F262E9" w:rsidRPr="00CE63C3" w:rsidRDefault="00F262E9" w:rsidP="00BE0E80">
            <w:pPr>
              <w:pStyle w:val="ListParagraph"/>
              <w:ind w:left="308"/>
              <w:rPr>
                <w:rFonts w:ascii="Arial" w:hAnsi="Arial" w:cs="Arial"/>
                <w:sz w:val="20"/>
                <w:szCs w:val="22"/>
                <w:lang w:eastAsia="en-US"/>
              </w:rPr>
            </w:pPr>
          </w:p>
          <w:p w:rsidR="00F262E9" w:rsidRPr="00CE63C3" w:rsidRDefault="00F262E9" w:rsidP="00B517C1">
            <w:pPr>
              <w:pStyle w:val="ListParagraph"/>
              <w:numPr>
                <w:ilvl w:val="0"/>
                <w:numId w:val="27"/>
              </w:numPr>
              <w:ind w:left="308"/>
              <w:rPr>
                <w:rFonts w:ascii="Arial" w:hAnsi="Arial" w:cs="Arial"/>
                <w:sz w:val="20"/>
                <w:szCs w:val="22"/>
                <w:lang w:eastAsia="en-US"/>
              </w:rPr>
            </w:pPr>
            <w:r w:rsidRPr="00CE63C3">
              <w:rPr>
                <w:rFonts w:ascii="Arial" w:hAnsi="Arial" w:cs="Arial"/>
                <w:sz w:val="20"/>
                <w:szCs w:val="22"/>
                <w:lang w:eastAsia="en-US"/>
              </w:rPr>
              <w:t>A mechanism would be created  in regulation to ensure that all parties are aligned in the yearly forecasting and costing of the program.</w:t>
            </w:r>
          </w:p>
          <w:p w:rsidR="00A94082" w:rsidRPr="00A94082" w:rsidRDefault="00A94082" w:rsidP="00A94082">
            <w:pPr>
              <w:rPr>
                <w:rFonts w:ascii="Arial" w:hAnsi="Arial" w:cs="Arial"/>
                <w:sz w:val="20"/>
                <w:szCs w:val="22"/>
                <w:lang w:eastAsia="en-US"/>
              </w:rPr>
            </w:pPr>
          </w:p>
          <w:p w:rsidR="006822FE" w:rsidRPr="00A94082" w:rsidRDefault="00A94082" w:rsidP="00B517C1">
            <w:pPr>
              <w:pStyle w:val="ListParagraph"/>
              <w:numPr>
                <w:ilvl w:val="0"/>
                <w:numId w:val="27"/>
              </w:numPr>
              <w:ind w:left="308"/>
              <w:rPr>
                <w:rFonts w:ascii="Arial" w:hAnsi="Arial" w:cs="Arial"/>
                <w:sz w:val="20"/>
                <w:szCs w:val="22"/>
                <w:lang w:eastAsia="en-US"/>
              </w:rPr>
            </w:pPr>
            <w:r w:rsidRPr="00A94082">
              <w:rPr>
                <w:rFonts w:ascii="Arial" w:hAnsi="Arial" w:cs="Arial"/>
                <w:sz w:val="20"/>
                <w:szCs w:val="22"/>
                <w:lang w:eastAsia="en-US"/>
              </w:rPr>
              <w:t>Social program regulations include provisions to require the IESO and the OEB to provide the Ministry with information required to update cost projections based on up-to-date figures.</w:t>
            </w:r>
          </w:p>
          <w:p w:rsidR="006822FE" w:rsidRPr="00CE63C3" w:rsidRDefault="006822FE" w:rsidP="00BE0E80">
            <w:pPr>
              <w:rPr>
                <w:rFonts w:ascii="Arial" w:hAnsi="Arial" w:cs="Arial"/>
                <w:sz w:val="20"/>
                <w:szCs w:val="22"/>
                <w:lang w:eastAsia="en-US"/>
              </w:rPr>
            </w:pPr>
          </w:p>
        </w:tc>
      </w:tr>
    </w:tbl>
    <w:p w:rsidR="00727F16" w:rsidRPr="00CE63C3" w:rsidRDefault="00727F16" w:rsidP="00373B2D">
      <w:pPr>
        <w:pStyle w:val="NoSpacing"/>
      </w:pPr>
    </w:p>
    <w:p w:rsidR="00466FBD" w:rsidRPr="00CE63C3" w:rsidRDefault="00466FBD" w:rsidP="00466FBD">
      <w:pPr>
        <w:spacing w:before="120"/>
        <w:ind w:hanging="720"/>
        <w:outlineLvl w:val="0"/>
        <w:rPr>
          <w:rFonts w:ascii="Arial" w:hAnsi="Arial" w:cs="Arial"/>
          <w:b/>
          <w:caps/>
        </w:rPr>
      </w:pPr>
      <w:r w:rsidRPr="00CE63C3">
        <w:rPr>
          <w:rFonts w:ascii="Arial" w:hAnsi="Arial" w:cs="Arial"/>
          <w:b/>
          <w:caps/>
        </w:rPr>
        <w:t xml:space="preserve">9.0 </w:t>
      </w:r>
      <w:r w:rsidRPr="00CE63C3">
        <w:rPr>
          <w:rFonts w:ascii="Arial" w:hAnsi="Arial" w:cs="Arial"/>
          <w:b/>
          <w:caps/>
        </w:rPr>
        <w:tab/>
        <w:t>jurisdictional analysis</w:t>
      </w:r>
    </w:p>
    <w:p w:rsidR="00DA028B" w:rsidRPr="00CE63C3" w:rsidRDefault="00DA028B" w:rsidP="00DA028B">
      <w:pPr>
        <w:rPr>
          <w:rFonts w:ascii="Arial" w:hAnsi="Arial" w:cs="Arial"/>
          <w:szCs w:val="28"/>
          <w:lang w:val="en-US"/>
        </w:rPr>
      </w:pPr>
    </w:p>
    <w:p w:rsidR="00DA028B" w:rsidRPr="00CE63C3" w:rsidRDefault="00FC2D06" w:rsidP="00DA028B">
      <w:pPr>
        <w:rPr>
          <w:rFonts w:ascii="Arial" w:hAnsi="Arial" w:cs="Arial"/>
          <w:szCs w:val="28"/>
          <w:lang w:val="en-US"/>
        </w:rPr>
      </w:pPr>
      <w:r w:rsidRPr="00CE63C3">
        <w:rPr>
          <w:rFonts w:ascii="Arial" w:hAnsi="Arial" w:cs="Arial"/>
          <w:szCs w:val="28"/>
          <w:lang w:val="en-US"/>
        </w:rPr>
        <w:t xml:space="preserve">GA </w:t>
      </w:r>
      <w:r w:rsidR="00C25B56" w:rsidRPr="00CE63C3">
        <w:rPr>
          <w:rFonts w:ascii="Arial" w:hAnsi="Arial" w:cs="Arial"/>
          <w:szCs w:val="28"/>
          <w:lang w:val="en-US"/>
        </w:rPr>
        <w:t>R</w:t>
      </w:r>
      <w:r w:rsidRPr="00CE63C3">
        <w:rPr>
          <w:rFonts w:ascii="Arial" w:hAnsi="Arial" w:cs="Arial"/>
          <w:szCs w:val="28"/>
          <w:lang w:val="en-US"/>
        </w:rPr>
        <w:t>efinancing</w:t>
      </w:r>
      <w:r w:rsidR="00571C48" w:rsidRPr="00CE63C3">
        <w:rPr>
          <w:rFonts w:ascii="Arial" w:hAnsi="Arial" w:cs="Arial"/>
          <w:szCs w:val="28"/>
          <w:lang w:val="en-US"/>
        </w:rPr>
        <w:t xml:space="preserve"> </w:t>
      </w:r>
      <w:r w:rsidR="00C25B56" w:rsidRPr="00CE63C3">
        <w:rPr>
          <w:rFonts w:ascii="Arial" w:hAnsi="Arial" w:cs="Arial"/>
          <w:szCs w:val="28"/>
          <w:lang w:val="en-US"/>
        </w:rPr>
        <w:t>approached outlined in the legislation is model</w:t>
      </w:r>
      <w:r w:rsidR="002D3629">
        <w:rPr>
          <w:rFonts w:ascii="Arial" w:hAnsi="Arial" w:cs="Arial"/>
          <w:szCs w:val="28"/>
          <w:lang w:val="en-US"/>
        </w:rPr>
        <w:t>led</w:t>
      </w:r>
      <w:r w:rsidR="00C25B56" w:rsidRPr="00CE63C3">
        <w:rPr>
          <w:rFonts w:ascii="Arial" w:hAnsi="Arial" w:cs="Arial"/>
          <w:szCs w:val="28"/>
          <w:lang w:val="en-US"/>
        </w:rPr>
        <w:t xml:space="preserve"> </w:t>
      </w:r>
      <w:r w:rsidRPr="00CE63C3">
        <w:rPr>
          <w:rFonts w:ascii="Arial" w:hAnsi="Arial" w:cs="Arial"/>
          <w:szCs w:val="28"/>
          <w:lang w:val="en-US"/>
        </w:rPr>
        <w:t>on</w:t>
      </w:r>
      <w:r w:rsidR="00571C48" w:rsidRPr="00CE63C3">
        <w:rPr>
          <w:rFonts w:ascii="Arial" w:hAnsi="Arial" w:cs="Arial"/>
          <w:szCs w:val="28"/>
          <w:lang w:val="en-US"/>
        </w:rPr>
        <w:t xml:space="preserve"> </w:t>
      </w:r>
      <w:r w:rsidR="002D3629">
        <w:rPr>
          <w:rFonts w:ascii="Arial" w:hAnsi="Arial" w:cs="Arial"/>
          <w:szCs w:val="28"/>
          <w:lang w:val="en-US"/>
        </w:rPr>
        <w:t>framework</w:t>
      </w:r>
      <w:r w:rsidR="00A24CE5">
        <w:rPr>
          <w:rFonts w:ascii="Arial" w:hAnsi="Arial" w:cs="Arial"/>
          <w:szCs w:val="28"/>
          <w:lang w:val="en-US"/>
        </w:rPr>
        <w:t>s</w:t>
      </w:r>
      <w:r w:rsidR="00C25B56" w:rsidRPr="00CE63C3">
        <w:rPr>
          <w:rFonts w:ascii="Arial" w:hAnsi="Arial" w:cs="Arial"/>
          <w:szCs w:val="28"/>
          <w:lang w:val="en-US"/>
        </w:rPr>
        <w:t xml:space="preserve"> used </w:t>
      </w:r>
      <w:r w:rsidR="00571C48" w:rsidRPr="00CE63C3">
        <w:rPr>
          <w:rFonts w:ascii="Arial" w:hAnsi="Arial" w:cs="Arial"/>
          <w:szCs w:val="28"/>
          <w:lang w:val="en-US"/>
        </w:rPr>
        <w:t>in the U</w:t>
      </w:r>
      <w:r w:rsidR="00C25B56" w:rsidRPr="00CE63C3">
        <w:rPr>
          <w:rFonts w:ascii="Arial" w:hAnsi="Arial" w:cs="Arial"/>
          <w:szCs w:val="28"/>
          <w:lang w:val="en-US"/>
        </w:rPr>
        <w:t xml:space="preserve">nited </w:t>
      </w:r>
      <w:r w:rsidR="00571C48" w:rsidRPr="00CE63C3">
        <w:rPr>
          <w:rFonts w:ascii="Arial" w:hAnsi="Arial" w:cs="Arial"/>
          <w:szCs w:val="28"/>
          <w:lang w:val="en-US"/>
        </w:rPr>
        <w:t>S</w:t>
      </w:r>
      <w:r w:rsidR="00C25B56" w:rsidRPr="00CE63C3">
        <w:rPr>
          <w:rFonts w:ascii="Arial" w:hAnsi="Arial" w:cs="Arial"/>
          <w:szCs w:val="28"/>
          <w:lang w:val="en-US"/>
        </w:rPr>
        <w:t>tates</w:t>
      </w:r>
      <w:r w:rsidR="00571C48" w:rsidRPr="00CE63C3">
        <w:rPr>
          <w:rFonts w:ascii="Arial" w:hAnsi="Arial" w:cs="Arial"/>
          <w:szCs w:val="28"/>
          <w:lang w:val="en-US"/>
        </w:rPr>
        <w:t xml:space="preserve"> (e.g., Duke Energy)</w:t>
      </w:r>
      <w:r w:rsidR="00C25B56" w:rsidRPr="00CE63C3">
        <w:rPr>
          <w:rFonts w:ascii="Arial" w:hAnsi="Arial" w:cs="Arial"/>
          <w:szCs w:val="28"/>
          <w:lang w:val="en-US"/>
        </w:rPr>
        <w:t>,</w:t>
      </w:r>
      <w:r w:rsidR="00571C48" w:rsidRPr="00CE63C3">
        <w:rPr>
          <w:rFonts w:ascii="Arial" w:hAnsi="Arial" w:cs="Arial"/>
          <w:szCs w:val="28"/>
          <w:lang w:val="en-US"/>
        </w:rPr>
        <w:t xml:space="preserve"> where utility debt is financed by </w:t>
      </w:r>
      <w:r w:rsidR="00AB5E75" w:rsidRPr="00CE63C3">
        <w:rPr>
          <w:rFonts w:ascii="Arial" w:hAnsi="Arial" w:cs="Arial"/>
          <w:szCs w:val="28"/>
          <w:lang w:val="en-US"/>
        </w:rPr>
        <w:t>selling it to investors with recovery</w:t>
      </w:r>
      <w:r w:rsidR="00571C48" w:rsidRPr="00CE63C3">
        <w:rPr>
          <w:rFonts w:ascii="Arial" w:hAnsi="Arial" w:cs="Arial"/>
          <w:szCs w:val="28"/>
          <w:lang w:val="en-US"/>
        </w:rPr>
        <w:t xml:space="preserve"> from ratepayers over time. </w:t>
      </w:r>
    </w:p>
    <w:p w:rsidR="001339FB" w:rsidRPr="00CE63C3" w:rsidRDefault="001339FB" w:rsidP="00DA028B">
      <w:pPr>
        <w:rPr>
          <w:rFonts w:ascii="Arial" w:hAnsi="Arial" w:cs="Arial"/>
          <w:szCs w:val="28"/>
          <w:lang w:val="en-US"/>
        </w:rPr>
      </w:pPr>
    </w:p>
    <w:p w:rsidR="001339FB" w:rsidRPr="00CE63C3" w:rsidRDefault="001339FB" w:rsidP="001339FB">
      <w:pPr>
        <w:rPr>
          <w:rFonts w:ascii="Arial" w:hAnsi="Arial" w:cs="Arial"/>
          <w:lang w:val="en-US"/>
        </w:rPr>
      </w:pPr>
      <w:r w:rsidRPr="00CE63C3">
        <w:rPr>
          <w:rFonts w:ascii="Arial" w:hAnsi="Arial" w:cs="Arial"/>
          <w:lang w:val="en-US"/>
        </w:rPr>
        <w:t xml:space="preserve">The Ministry conducted no jurisdictional analysis related to the expansion of social program funding </w:t>
      </w:r>
      <w:r w:rsidR="005410CF">
        <w:rPr>
          <w:rFonts w:ascii="Arial" w:hAnsi="Arial" w:cs="Arial"/>
          <w:lang w:val="en-US"/>
        </w:rPr>
        <w:t>for OESP</w:t>
      </w:r>
      <w:r w:rsidRPr="00CE63C3">
        <w:rPr>
          <w:rFonts w:ascii="Arial" w:hAnsi="Arial" w:cs="Arial"/>
          <w:lang w:val="en-US"/>
        </w:rPr>
        <w:t xml:space="preserve"> as the structure of Ontario’s electricity sector, and thus the delivery of these benefits, is unique.</w:t>
      </w:r>
    </w:p>
    <w:p w:rsidR="00467C8E" w:rsidRPr="000D6C85" w:rsidRDefault="00467C8E" w:rsidP="00373B2D">
      <w:pPr>
        <w:pStyle w:val="NoSpacing"/>
        <w:rPr>
          <w:lang w:val="en-US"/>
        </w:rPr>
      </w:pPr>
    </w:p>
    <w:p w:rsidR="00DA028B" w:rsidRPr="00865E76" w:rsidRDefault="00C17160" w:rsidP="00081E05">
      <w:pPr>
        <w:tabs>
          <w:tab w:val="left" w:pos="720"/>
          <w:tab w:val="left" w:pos="1440"/>
          <w:tab w:val="left" w:pos="2160"/>
          <w:tab w:val="left" w:pos="2880"/>
          <w:tab w:val="left" w:pos="6015"/>
        </w:tabs>
        <w:spacing w:before="120"/>
        <w:ind w:hanging="720"/>
        <w:rPr>
          <w:rFonts w:ascii="Arial" w:hAnsi="Arial" w:cs="Arial"/>
          <w:b/>
          <w:color w:val="FF0000"/>
        </w:rPr>
      </w:pPr>
      <w:r w:rsidRPr="00CE63C3">
        <w:rPr>
          <w:rFonts w:ascii="Arial" w:hAnsi="Arial" w:cs="Arial"/>
          <w:b/>
        </w:rPr>
        <w:t>10</w:t>
      </w:r>
      <w:r w:rsidR="00466FBD" w:rsidRPr="00CE63C3">
        <w:rPr>
          <w:rFonts w:ascii="Arial" w:hAnsi="Arial" w:cs="Arial"/>
          <w:b/>
        </w:rPr>
        <w:t>.0</w:t>
      </w:r>
      <w:r w:rsidR="00466FBD" w:rsidRPr="00CE63C3">
        <w:rPr>
          <w:rFonts w:ascii="Arial" w:hAnsi="Arial" w:cs="Arial"/>
          <w:b/>
        </w:rPr>
        <w:tab/>
        <w:t>PERFORMANCE MEASURES</w:t>
      </w:r>
      <w:r w:rsidR="00F41524">
        <w:rPr>
          <w:rFonts w:ascii="Arial" w:hAnsi="Arial" w:cs="Arial"/>
          <w:b/>
        </w:rPr>
        <w:t xml:space="preserve"> </w:t>
      </w:r>
    </w:p>
    <w:p w:rsidR="00DA028B" w:rsidRPr="00CE63C3" w:rsidRDefault="00DA028B" w:rsidP="00724094">
      <w:pPr>
        <w:rPr>
          <w:rFonts w:ascii="Arial" w:hAnsi="Arial" w:cs="Arial"/>
          <w:lang w:val="en-US"/>
        </w:rPr>
      </w:pPr>
    </w:p>
    <w:p w:rsidR="001339FB" w:rsidRPr="000D6C85" w:rsidRDefault="005410CF" w:rsidP="00AD1460">
      <w:pPr>
        <w:rPr>
          <w:rFonts w:ascii="Arial" w:hAnsi="Arial" w:cs="Arial"/>
          <w:lang w:val="en-US"/>
        </w:rPr>
      </w:pPr>
      <w:r w:rsidRPr="00606354">
        <w:rPr>
          <w:rFonts w:ascii="Arial" w:hAnsi="Arial" w:cs="Arial"/>
          <w:lang w:val="en-US"/>
        </w:rPr>
        <w:t xml:space="preserve">With respect to OESP, </w:t>
      </w:r>
      <w:r w:rsidRPr="00AD1460">
        <w:rPr>
          <w:rFonts w:ascii="Arial" w:hAnsi="Arial" w:cs="Arial"/>
          <w:lang w:val="en-US"/>
        </w:rPr>
        <w:t xml:space="preserve">ENERGY will continue to track the performance of the OESP program with a focus on collecting metrics related to program uptake. </w:t>
      </w:r>
    </w:p>
    <w:p w:rsidR="001C20E7" w:rsidRDefault="001C20E7" w:rsidP="00355075">
      <w:pPr>
        <w:rPr>
          <w:rFonts w:ascii="Arial" w:hAnsi="Arial" w:cs="Arial"/>
          <w:lang w:val="en-US"/>
        </w:rPr>
      </w:pPr>
    </w:p>
    <w:p w:rsidR="001339FB" w:rsidRPr="00CE63C3" w:rsidRDefault="001339FB" w:rsidP="00355075">
      <w:pPr>
        <w:rPr>
          <w:rFonts w:ascii="Arial" w:hAnsi="Arial" w:cs="Arial"/>
          <w:lang w:val="en-US"/>
        </w:rPr>
      </w:pPr>
      <w:r w:rsidRPr="00CE63C3">
        <w:rPr>
          <w:rFonts w:ascii="Arial" w:hAnsi="Arial" w:cs="Arial"/>
          <w:lang w:val="en-US"/>
        </w:rPr>
        <w:t xml:space="preserve">The Ministry and the OEB have engaged with the Behavioral Insights Office at the TBS to consider ways to increase program participation.  Discussions are ongoing. </w:t>
      </w:r>
    </w:p>
    <w:p w:rsidR="00741E80" w:rsidRDefault="00741E80" w:rsidP="00C70619">
      <w:pPr>
        <w:pStyle w:val="NoSpacing"/>
      </w:pPr>
    </w:p>
    <w:p w:rsidR="00230F59" w:rsidRPr="00CE63C3" w:rsidRDefault="00230F59" w:rsidP="00C70619">
      <w:pPr>
        <w:pStyle w:val="NoSpacing"/>
      </w:pPr>
    </w:p>
    <w:p w:rsidR="00394C1B" w:rsidRPr="00CE63C3" w:rsidRDefault="00394C1B" w:rsidP="00394C1B">
      <w:pPr>
        <w:spacing w:before="120"/>
        <w:ind w:hanging="720"/>
        <w:outlineLvl w:val="0"/>
        <w:rPr>
          <w:rFonts w:ascii="Helvetica" w:hAnsi="Helvetica" w:cs="Arial"/>
          <w:b/>
          <w:caps/>
        </w:rPr>
      </w:pPr>
      <w:r w:rsidRPr="00CE63C3">
        <w:rPr>
          <w:rFonts w:ascii="Helvetica" w:hAnsi="Helvetica" w:cs="Arial"/>
          <w:b/>
          <w:caps/>
        </w:rPr>
        <w:t>1</w:t>
      </w:r>
      <w:r w:rsidR="00C17160" w:rsidRPr="00CE63C3">
        <w:rPr>
          <w:rFonts w:ascii="Helvetica" w:hAnsi="Helvetica" w:cs="Arial"/>
          <w:b/>
          <w:caps/>
        </w:rPr>
        <w:t>2</w:t>
      </w:r>
      <w:r w:rsidRPr="00CE63C3">
        <w:rPr>
          <w:rFonts w:ascii="Helvetica" w:hAnsi="Helvetica" w:cs="Arial"/>
          <w:b/>
          <w:caps/>
        </w:rPr>
        <w:t xml:space="preserve">.0 </w:t>
      </w:r>
      <w:r w:rsidRPr="00CE63C3">
        <w:rPr>
          <w:rFonts w:ascii="Helvetica" w:hAnsi="Helvetica" w:cs="Arial"/>
          <w:b/>
          <w:caps/>
        </w:rPr>
        <w:tab/>
        <w:t>Recommendation</w:t>
      </w:r>
    </w:p>
    <w:p w:rsidR="00394C1B" w:rsidRPr="00CE63C3" w:rsidRDefault="00394C1B" w:rsidP="00394C1B">
      <w:pPr>
        <w:rPr>
          <w:rFonts w:ascii="Arial" w:hAnsi="Arial" w:cs="Arial"/>
        </w:rPr>
      </w:pPr>
    </w:p>
    <w:p w:rsidR="00105312" w:rsidRPr="00CE63C3" w:rsidRDefault="00105312" w:rsidP="00B517C1">
      <w:pPr>
        <w:pStyle w:val="ListParagraph"/>
        <w:numPr>
          <w:ilvl w:val="0"/>
          <w:numId w:val="30"/>
        </w:numPr>
        <w:rPr>
          <w:rFonts w:ascii="Arial" w:hAnsi="Arial" w:cs="Arial"/>
        </w:rPr>
      </w:pPr>
      <w:r w:rsidRPr="00CE63C3">
        <w:rPr>
          <w:rFonts w:ascii="Arial" w:hAnsi="Arial" w:cs="Arial"/>
        </w:rPr>
        <w:t xml:space="preserve">The Ministry of Energy is reporting back to the Treasury Board/Management Board of Cabinet (TB/MBC) </w:t>
      </w:r>
      <w:r w:rsidR="00C33F5B">
        <w:rPr>
          <w:rFonts w:ascii="Arial" w:hAnsi="Arial" w:cs="Arial"/>
        </w:rPr>
        <w:t xml:space="preserve">on the </w:t>
      </w:r>
      <w:r w:rsidRPr="00CE63C3">
        <w:rPr>
          <w:rFonts w:ascii="Arial" w:hAnsi="Arial" w:cs="Arial"/>
        </w:rPr>
        <w:t xml:space="preserve">following: </w:t>
      </w:r>
    </w:p>
    <w:p w:rsidR="00105312" w:rsidRPr="00CE63C3" w:rsidRDefault="00105312" w:rsidP="00105312">
      <w:pPr>
        <w:rPr>
          <w:rFonts w:ascii="Arial" w:hAnsi="Arial" w:cs="Arial"/>
        </w:rPr>
      </w:pPr>
    </w:p>
    <w:p w:rsidR="00105312" w:rsidRPr="00CE63C3" w:rsidRDefault="00105312" w:rsidP="00AD1460">
      <w:pPr>
        <w:pStyle w:val="ListParagraph"/>
        <w:numPr>
          <w:ilvl w:val="0"/>
          <w:numId w:val="31"/>
        </w:numPr>
        <w:rPr>
          <w:rFonts w:ascii="Arial" w:hAnsi="Arial" w:cs="Arial"/>
          <w:lang w:val="en-US"/>
        </w:rPr>
      </w:pPr>
      <w:r w:rsidRPr="00CE63C3">
        <w:rPr>
          <w:rFonts w:ascii="Arial" w:hAnsi="Arial" w:cs="Arial"/>
          <w:lang w:val="en-US"/>
        </w:rPr>
        <w:t>Implementation of Global Adjustment (GA) Refinancing;</w:t>
      </w:r>
      <w:r w:rsidR="006822FE">
        <w:rPr>
          <w:rFonts w:ascii="Arial" w:hAnsi="Arial" w:cs="Arial"/>
          <w:lang w:val="en-US"/>
        </w:rPr>
        <w:t xml:space="preserve"> and</w:t>
      </w:r>
    </w:p>
    <w:p w:rsidR="00211976" w:rsidRPr="00211976" w:rsidRDefault="00211976" w:rsidP="00AD1460">
      <w:pPr>
        <w:pStyle w:val="ListParagraph"/>
        <w:ind w:left="1440"/>
        <w:rPr>
          <w:rFonts w:ascii="Arial" w:hAnsi="Arial" w:cs="Arial"/>
          <w:lang w:val="en-US"/>
        </w:rPr>
      </w:pPr>
    </w:p>
    <w:p w:rsidR="00211976" w:rsidRPr="00AD1460" w:rsidRDefault="00211976" w:rsidP="00AD1460">
      <w:pPr>
        <w:pStyle w:val="ListParagraph"/>
        <w:numPr>
          <w:ilvl w:val="0"/>
          <w:numId w:val="31"/>
        </w:numPr>
        <w:rPr>
          <w:rFonts w:ascii="Arial" w:hAnsi="Arial" w:cs="Arial"/>
          <w:lang w:val="en-US"/>
        </w:rPr>
      </w:pPr>
      <w:r w:rsidRPr="00AD1460">
        <w:rPr>
          <w:rFonts w:ascii="Arial" w:hAnsi="Arial" w:cs="Arial"/>
          <w:lang w:val="en-US"/>
        </w:rPr>
        <w:t>Increasing social assistance clients’ enrolment into the Ontario Electricity Support Program (OESP)</w:t>
      </w:r>
      <w:r w:rsidR="00D10F6F">
        <w:rPr>
          <w:rFonts w:ascii="Arial" w:hAnsi="Arial" w:cs="Arial"/>
          <w:lang w:val="en-US"/>
        </w:rPr>
        <w:t>.</w:t>
      </w:r>
    </w:p>
    <w:p w:rsidR="00F262E9" w:rsidRPr="00F262E9" w:rsidRDefault="00F262E9" w:rsidP="00F262E9">
      <w:pPr>
        <w:rPr>
          <w:rFonts w:ascii="Arial" w:hAnsi="Arial" w:cs="Arial"/>
          <w:sz w:val="32"/>
          <w:lang w:val="en-US"/>
        </w:rPr>
      </w:pPr>
    </w:p>
    <w:sectPr w:rsidR="00F262E9" w:rsidRPr="00F262E9" w:rsidSect="00AC231D">
      <w:headerReference w:type="default" r:id="rId9"/>
      <w:footerReference w:type="even" r:id="rId10"/>
      <w:footerReference w:type="default" r:id="rId11"/>
      <w:pgSz w:w="12240" w:h="15840"/>
      <w:pgMar w:top="1440" w:right="1800" w:bottom="1440" w:left="180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A3228" w:rsidRDefault="000A3228">
      <w:r>
        <w:separator/>
      </w:r>
    </w:p>
  </w:endnote>
  <w:endnote w:type="continuationSeparator" w:id="0">
    <w:p w:rsidR="000A3228" w:rsidRDefault="000A3228">
      <w:r>
        <w:continuationSeparator/>
      </w:r>
    </w:p>
  </w:endnote>
  <w:endnote w:type="continuationNotice" w:id="1">
    <w:p w:rsidR="000A3228" w:rsidRDefault="000A322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00000000" w:usb2="00000000" w:usb3="00000000" w:csb0="000001FF" w:csb1="00000000"/>
  </w:font>
  <w:font w:name="Calibri">
    <w:panose1 w:val="020F0502020204030204"/>
    <w:charset w:val="00"/>
    <w:family w:val="swiss"/>
    <w:pitch w:val="variable"/>
    <w:sig w:usb0="E10002FF" w:usb1="4000ACFF" w:usb2="00000009" w:usb3="00000000" w:csb0="0000019F" w:csb1="00000000"/>
  </w:font>
  <w:font w:name="Georgia">
    <w:panose1 w:val="020405020504050203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Cambria">
    <w:panose1 w:val="02040503050406030204"/>
    <w:charset w:val="00"/>
    <w:family w:val="roman"/>
    <w:pitch w:val="variable"/>
    <w:sig w:usb0="E00002FF" w:usb1="400004FF" w:usb2="00000000" w:usb3="00000000" w:csb0="0000019F" w:csb1="00000000"/>
  </w:font>
  <w:font w:name="Helvetica">
    <w:panose1 w:val="020B0604020202020204"/>
    <w:charset w:val="00"/>
    <w:family w:val="swiss"/>
    <w:pitch w:val="variable"/>
    <w:sig w:usb0="E0002AFF" w:usb1="C0007843" w:usb2="00000009" w:usb3="00000000" w:csb0="000001FF" w:csb1="00000000"/>
  </w:font>
  <w:font w:name="+mn-ea">
    <w:panose1 w:val="00000000000000000000"/>
    <w:charset w:val="00"/>
    <w:family w:val="roman"/>
    <w:notTrueType/>
    <w:pitch w:val="default"/>
  </w:font>
  <w:font w:name="MS PGothic">
    <w:panose1 w:val="020B0600070205080204"/>
    <w:charset w:val="80"/>
    <w:family w:val="swiss"/>
    <w:pitch w:val="variable"/>
    <w:sig w:usb0="E00002FF" w:usb1="6AC7FDFB" w:usb2="00000012" w:usb3="00000000" w:csb0="0002009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653A8" w:rsidRDefault="00D653A8" w:rsidP="00021CAB">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D653A8" w:rsidRDefault="00D653A8" w:rsidP="007D2557">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653A8" w:rsidRPr="00C56C6F" w:rsidRDefault="00D653A8" w:rsidP="00021CAB">
    <w:pPr>
      <w:pStyle w:val="Footer"/>
      <w:framePr w:wrap="around" w:vAnchor="text" w:hAnchor="margin" w:xAlign="right" w:y="1"/>
      <w:rPr>
        <w:rStyle w:val="PageNumber"/>
        <w:rFonts w:ascii="Arial" w:hAnsi="Arial" w:cs="Arial"/>
      </w:rPr>
    </w:pPr>
    <w:r w:rsidRPr="00C56C6F">
      <w:rPr>
        <w:rStyle w:val="PageNumber"/>
        <w:rFonts w:ascii="Arial" w:hAnsi="Arial" w:cs="Arial"/>
      </w:rPr>
      <w:fldChar w:fldCharType="begin"/>
    </w:r>
    <w:r w:rsidRPr="00C56C6F">
      <w:rPr>
        <w:rStyle w:val="PageNumber"/>
        <w:rFonts w:ascii="Arial" w:hAnsi="Arial" w:cs="Arial"/>
      </w:rPr>
      <w:instrText xml:space="preserve">PAGE  </w:instrText>
    </w:r>
    <w:r w:rsidRPr="00C56C6F">
      <w:rPr>
        <w:rStyle w:val="PageNumber"/>
        <w:rFonts w:ascii="Arial" w:hAnsi="Arial" w:cs="Arial"/>
      </w:rPr>
      <w:fldChar w:fldCharType="separate"/>
    </w:r>
    <w:r w:rsidR="000152E1">
      <w:rPr>
        <w:rStyle w:val="PageNumber"/>
        <w:rFonts w:ascii="Arial" w:hAnsi="Arial" w:cs="Arial"/>
        <w:noProof/>
      </w:rPr>
      <w:t>3</w:t>
    </w:r>
    <w:r w:rsidRPr="00C56C6F">
      <w:rPr>
        <w:rStyle w:val="PageNumber"/>
        <w:rFonts w:ascii="Arial" w:hAnsi="Arial" w:cs="Arial"/>
      </w:rPr>
      <w:fldChar w:fldCharType="end"/>
    </w:r>
  </w:p>
  <w:p w:rsidR="00D653A8" w:rsidRPr="005A4142" w:rsidRDefault="00D653A8" w:rsidP="005A4142">
    <w:pPr>
      <w:pStyle w:val="Footer"/>
      <w:ind w:right="360"/>
      <w:jc w:val="center"/>
      <w:rPr>
        <w:rFonts w:ascii="Arial" w:hAnsi="Arial" w:cs="Arial"/>
        <w:b/>
        <w:sz w:val="20"/>
        <w:szCs w:val="20"/>
      </w:rPr>
    </w:pPr>
    <w:r w:rsidRPr="005A4142">
      <w:rPr>
        <w:rFonts w:ascii="Arial" w:hAnsi="Arial" w:cs="Arial"/>
        <w:b/>
        <w:sz w:val="20"/>
        <w:szCs w:val="20"/>
      </w:rPr>
      <w:t>CONFIDENTIAL DRAFT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A3228" w:rsidRDefault="000A3228">
      <w:r>
        <w:separator/>
      </w:r>
    </w:p>
  </w:footnote>
  <w:footnote w:type="continuationSeparator" w:id="0">
    <w:p w:rsidR="000A3228" w:rsidRDefault="000A3228">
      <w:r>
        <w:continuationSeparator/>
      </w:r>
    </w:p>
  </w:footnote>
  <w:footnote w:type="continuationNotice" w:id="1">
    <w:p w:rsidR="000A3228" w:rsidRDefault="000A3228"/>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653A8" w:rsidRPr="00736A9D" w:rsidRDefault="000A3228">
    <w:pPr>
      <w:pStyle w:val="Header"/>
      <w:rPr>
        <w:rFonts w:ascii="Arial" w:hAnsi="Arial" w:cs="Arial"/>
        <w:b/>
        <w:sz w:val="36"/>
        <w:lang w:val="en-GB"/>
      </w:rPr>
    </w:pPr>
    <w:sdt>
      <w:sdtPr>
        <w:rPr>
          <w:b/>
          <w:sz w:val="36"/>
          <w:lang w:val="en-GB"/>
        </w:rPr>
        <w:id w:val="-1354876120"/>
        <w:docPartObj>
          <w:docPartGallery w:val="Watermarks"/>
          <w:docPartUnique/>
        </w:docPartObj>
      </w:sdtPr>
      <w:sdtEndPr/>
      <w:sdtContent>
        <w:r>
          <w:rPr>
            <w:b/>
            <w:noProof/>
            <w:sz w:val="36"/>
            <w:lang w:val="en-GB" w:eastAsia="zh-TW"/>
          </w:rPr>
          <w:pict w14:anchorId="7E2951A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476642" o:spid="_x0000_s2051" type="#_x0000_t136" style="position:absolute;margin-left:0;margin-top:0;width:527.85pt;height:131.95pt;rotation:315;z-index:-251657728;mso-position-horizontal:center;mso-position-horizontal-relative:margin;mso-position-vertical:center;mso-position-vertical-relative:margin" o:allowincell="f" fillcolor="silver" stroked="f">
              <v:fill opacity=".5"/>
              <v:textpath style="font-family:&quot;Calibri&quot;;font-size:1pt" string="CONFIDENTIAL"/>
              <w10:wrap anchorx="margin" anchory="margin"/>
            </v:shape>
          </w:pict>
        </w:r>
      </w:sdtContent>
    </w:sdt>
    <w:r w:rsidR="00D653A8">
      <w:rPr>
        <w:b/>
        <w:noProof/>
        <w:sz w:val="36"/>
      </w:rPr>
      <w:drawing>
        <wp:anchor distT="0" distB="0" distL="114300" distR="114300" simplePos="0" relativeHeight="251657728" behindDoc="0" locked="0" layoutInCell="1" allowOverlap="1" wp14:anchorId="6F987FDA" wp14:editId="486DBCB7">
          <wp:simplePos x="0" y="0"/>
          <wp:positionH relativeFrom="column">
            <wp:posOffset>-457200</wp:posOffset>
          </wp:positionH>
          <wp:positionV relativeFrom="paragraph">
            <wp:posOffset>-114300</wp:posOffset>
          </wp:positionV>
          <wp:extent cx="1371600" cy="457835"/>
          <wp:effectExtent l="0" t="0" r="0" b="0"/>
          <wp:wrapNone/>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l="5898" t="19780" r="6282" b="16759"/>
                  <a:stretch>
                    <a:fillRect/>
                  </a:stretch>
                </pic:blipFill>
                <pic:spPr bwMode="auto">
                  <a:xfrm>
                    <a:off x="0" y="0"/>
                    <a:ext cx="1371600" cy="457835"/>
                  </a:xfrm>
                  <a:prstGeom prst="rect">
                    <a:avLst/>
                  </a:prstGeom>
                  <a:noFill/>
                  <a:ln>
                    <a:noFill/>
                  </a:ln>
                </pic:spPr>
              </pic:pic>
            </a:graphicData>
          </a:graphic>
          <wp14:sizeRelH relativeFrom="page">
            <wp14:pctWidth>0</wp14:pctWidth>
          </wp14:sizeRelH>
          <wp14:sizeRelV relativeFrom="page">
            <wp14:pctHeight>0</wp14:pctHeight>
          </wp14:sizeRelV>
        </wp:anchor>
      </w:drawing>
    </w:r>
    <w:r w:rsidR="00D653A8">
      <w:rPr>
        <w:b/>
        <w:sz w:val="36"/>
        <w:lang w:val="en-GB"/>
      </w:rPr>
      <w:tab/>
    </w:r>
    <w:r w:rsidR="00D653A8">
      <w:rPr>
        <w:b/>
        <w:sz w:val="36"/>
        <w:lang w:val="en-GB"/>
      </w:rPr>
      <w:tab/>
    </w:r>
    <w:r w:rsidR="00D653A8" w:rsidRPr="00736A9D">
      <w:rPr>
        <w:rFonts w:ascii="Arial" w:hAnsi="Arial" w:cs="Arial"/>
        <w:b/>
        <w:sz w:val="36"/>
        <w:lang w:val="en-GB"/>
      </w:rPr>
      <w:t>TB/MBC Submission</w:t>
    </w:r>
  </w:p>
  <w:p w:rsidR="00D653A8" w:rsidRDefault="00D653A8">
    <w:pPr>
      <w:pStyle w:val="Header"/>
    </w:pPr>
    <w:r>
      <w:rPr>
        <w:noProof/>
      </w:rPr>
      <mc:AlternateContent>
        <mc:Choice Requires="wps">
          <w:drawing>
            <wp:anchor distT="0" distB="0" distL="114300" distR="114300" simplePos="0" relativeHeight="251656704" behindDoc="0" locked="0" layoutInCell="1" allowOverlap="1" wp14:anchorId="34ED8F53" wp14:editId="18A02AA3">
              <wp:simplePos x="0" y="0"/>
              <wp:positionH relativeFrom="column">
                <wp:posOffset>-457200</wp:posOffset>
              </wp:positionH>
              <wp:positionV relativeFrom="paragraph">
                <wp:posOffset>194310</wp:posOffset>
              </wp:positionV>
              <wp:extent cx="5943600" cy="0"/>
              <wp:effectExtent l="19050" t="13335" r="19050" b="15240"/>
              <wp:wrapNone/>
              <wp:docPr id="1"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222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 o:spid="_x0000_s1026" style="position:absolute;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pt,15.3pt" to="6in,1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" strokeweight="1.75pt"/>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AE2869DA"/>
    <w:multiLevelType w:val="hybridMultilevel"/>
    <w:tmpl w:val="20EA7894"/>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AF80BC5B"/>
    <w:multiLevelType w:val="hybridMultilevel"/>
    <w:tmpl w:val="AFCFE98E"/>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FDC46B21"/>
    <w:multiLevelType w:val="hybridMultilevel"/>
    <w:tmpl w:val="8E77C149"/>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012D4F40"/>
    <w:multiLevelType w:val="hybridMultilevel"/>
    <w:tmpl w:val="8A9AA448"/>
    <w:lvl w:ilvl="0" w:tplc="D14A8356">
      <w:start w:val="1"/>
      <w:numFmt w:val="decimal"/>
      <w:lvlText w:val="%1)"/>
      <w:lvlJc w:val="left"/>
      <w:pPr>
        <w:ind w:left="36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4">
    <w:nsid w:val="023443DC"/>
    <w:multiLevelType w:val="hybridMultilevel"/>
    <w:tmpl w:val="46EE880A"/>
    <w:lvl w:ilvl="0" w:tplc="10090001">
      <w:start w:val="1"/>
      <w:numFmt w:val="bullet"/>
      <w:lvlText w:val=""/>
      <w:lvlJc w:val="left"/>
      <w:pPr>
        <w:ind w:left="1080" w:hanging="360"/>
      </w:pPr>
      <w:rPr>
        <w:rFonts w:ascii="Symbol" w:hAnsi="Symbol" w:hint="default"/>
      </w:rPr>
    </w:lvl>
    <w:lvl w:ilvl="1" w:tplc="10090003">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5">
    <w:nsid w:val="03F32CC3"/>
    <w:multiLevelType w:val="hybridMultilevel"/>
    <w:tmpl w:val="9DA41D52"/>
    <w:lvl w:ilvl="0" w:tplc="E0141BEC">
      <w:start w:val="8"/>
      <w:numFmt w:val="bullet"/>
      <w:lvlText w:val="-"/>
      <w:lvlJc w:val="left"/>
      <w:pPr>
        <w:ind w:left="1080" w:hanging="360"/>
      </w:pPr>
      <w:rPr>
        <w:rFonts w:ascii="Arial" w:eastAsia="Times New Roman" w:hAnsi="Arial" w:cs="Arial" w:hint="default"/>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6">
    <w:nsid w:val="040C73EB"/>
    <w:multiLevelType w:val="hybridMultilevel"/>
    <w:tmpl w:val="02689560"/>
    <w:lvl w:ilvl="0" w:tplc="8B70EA7A">
      <w:start w:val="2"/>
      <w:numFmt w:val="decimal"/>
      <w:lvlText w:val="%1)"/>
      <w:lvlJc w:val="left"/>
      <w:pPr>
        <w:ind w:left="36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7">
    <w:nsid w:val="05BC3203"/>
    <w:multiLevelType w:val="hybridMultilevel"/>
    <w:tmpl w:val="586A3E04"/>
    <w:lvl w:ilvl="0" w:tplc="10090003">
      <w:start w:val="1"/>
      <w:numFmt w:val="bullet"/>
      <w:lvlText w:val="o"/>
      <w:lvlJc w:val="left"/>
      <w:pPr>
        <w:ind w:left="1080" w:hanging="360"/>
      </w:pPr>
      <w:rPr>
        <w:rFonts w:ascii="Courier New" w:hAnsi="Courier New" w:cs="Courier New" w:hint="default"/>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8">
    <w:nsid w:val="064E0FB2"/>
    <w:multiLevelType w:val="hybridMultilevel"/>
    <w:tmpl w:val="AB0A17CA"/>
    <w:lvl w:ilvl="0" w:tplc="3E06BDBE">
      <w:start w:val="1"/>
      <w:numFmt w:val="bullet"/>
      <w:lvlText w:val="-"/>
      <w:lvlJc w:val="left"/>
      <w:pPr>
        <w:ind w:left="720" w:hanging="360"/>
      </w:pPr>
      <w:rPr>
        <w:rFonts w:ascii="Times New Roman" w:eastAsiaTheme="minorHAnsi" w:hAnsi="Times New Roman" w:cs="Times New Roman" w:hint="default"/>
        <w:b w:val="0"/>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9">
    <w:nsid w:val="083A3811"/>
    <w:multiLevelType w:val="multilevel"/>
    <w:tmpl w:val="3E36FDC6"/>
    <w:lvl w:ilvl="0">
      <w:start w:val="6"/>
      <w:numFmt w:val="decimal"/>
      <w:lvlText w:val="%1.0"/>
      <w:lvlJc w:val="left"/>
      <w:pPr>
        <w:tabs>
          <w:tab w:val="num" w:pos="360"/>
        </w:tabs>
        <w:ind w:left="360" w:hanging="360"/>
      </w:pPr>
      <w:rPr>
        <w:rFonts w:hint="default"/>
      </w:rPr>
    </w:lvl>
    <w:lvl w:ilvl="1">
      <w:start w:val="1"/>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560"/>
        </w:tabs>
        <w:ind w:left="7560" w:hanging="1800"/>
      </w:pPr>
      <w:rPr>
        <w:rFonts w:hint="default"/>
      </w:rPr>
    </w:lvl>
  </w:abstractNum>
  <w:abstractNum w:abstractNumId="10">
    <w:nsid w:val="09C45DC7"/>
    <w:multiLevelType w:val="hybridMultilevel"/>
    <w:tmpl w:val="5A40C188"/>
    <w:lvl w:ilvl="0" w:tplc="E77ACBF6">
      <w:start w:val="1"/>
      <w:numFmt w:val="decimal"/>
      <w:lvlText w:val="%1)"/>
      <w:lvlJc w:val="left"/>
      <w:pPr>
        <w:ind w:left="36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1">
    <w:nsid w:val="09C87442"/>
    <w:multiLevelType w:val="hybridMultilevel"/>
    <w:tmpl w:val="EA7C5A96"/>
    <w:lvl w:ilvl="0" w:tplc="B7EA246E">
      <w:start w:val="1"/>
      <w:numFmt w:val="decimal"/>
      <w:lvlText w:val="%1)"/>
      <w:lvlJc w:val="left"/>
      <w:pPr>
        <w:ind w:left="360" w:hanging="360"/>
      </w:pPr>
      <w:rPr>
        <w:rFonts w:hint="default"/>
      </w:rPr>
    </w:lvl>
    <w:lvl w:ilvl="1" w:tplc="10090019" w:tentative="1">
      <w:start w:val="1"/>
      <w:numFmt w:val="lowerLetter"/>
      <w:lvlText w:val="%2."/>
      <w:lvlJc w:val="left"/>
      <w:pPr>
        <w:ind w:left="1298" w:hanging="360"/>
      </w:pPr>
    </w:lvl>
    <w:lvl w:ilvl="2" w:tplc="1009001B" w:tentative="1">
      <w:start w:val="1"/>
      <w:numFmt w:val="lowerRoman"/>
      <w:lvlText w:val="%3."/>
      <w:lvlJc w:val="right"/>
      <w:pPr>
        <w:ind w:left="2018" w:hanging="180"/>
      </w:pPr>
    </w:lvl>
    <w:lvl w:ilvl="3" w:tplc="1009000F" w:tentative="1">
      <w:start w:val="1"/>
      <w:numFmt w:val="decimal"/>
      <w:lvlText w:val="%4."/>
      <w:lvlJc w:val="left"/>
      <w:pPr>
        <w:ind w:left="2738" w:hanging="360"/>
      </w:pPr>
    </w:lvl>
    <w:lvl w:ilvl="4" w:tplc="10090019" w:tentative="1">
      <w:start w:val="1"/>
      <w:numFmt w:val="lowerLetter"/>
      <w:lvlText w:val="%5."/>
      <w:lvlJc w:val="left"/>
      <w:pPr>
        <w:ind w:left="3458" w:hanging="360"/>
      </w:pPr>
    </w:lvl>
    <w:lvl w:ilvl="5" w:tplc="1009001B" w:tentative="1">
      <w:start w:val="1"/>
      <w:numFmt w:val="lowerRoman"/>
      <w:lvlText w:val="%6."/>
      <w:lvlJc w:val="right"/>
      <w:pPr>
        <w:ind w:left="4178" w:hanging="180"/>
      </w:pPr>
    </w:lvl>
    <w:lvl w:ilvl="6" w:tplc="1009000F" w:tentative="1">
      <w:start w:val="1"/>
      <w:numFmt w:val="decimal"/>
      <w:lvlText w:val="%7."/>
      <w:lvlJc w:val="left"/>
      <w:pPr>
        <w:ind w:left="4898" w:hanging="360"/>
      </w:pPr>
    </w:lvl>
    <w:lvl w:ilvl="7" w:tplc="10090019" w:tentative="1">
      <w:start w:val="1"/>
      <w:numFmt w:val="lowerLetter"/>
      <w:lvlText w:val="%8."/>
      <w:lvlJc w:val="left"/>
      <w:pPr>
        <w:ind w:left="5618" w:hanging="360"/>
      </w:pPr>
    </w:lvl>
    <w:lvl w:ilvl="8" w:tplc="1009001B" w:tentative="1">
      <w:start w:val="1"/>
      <w:numFmt w:val="lowerRoman"/>
      <w:lvlText w:val="%9."/>
      <w:lvlJc w:val="right"/>
      <w:pPr>
        <w:ind w:left="6338" w:hanging="180"/>
      </w:pPr>
    </w:lvl>
  </w:abstractNum>
  <w:abstractNum w:abstractNumId="12">
    <w:nsid w:val="0CB24A70"/>
    <w:multiLevelType w:val="hybridMultilevel"/>
    <w:tmpl w:val="76842FE0"/>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3">
    <w:nsid w:val="0E947E12"/>
    <w:multiLevelType w:val="hybridMultilevel"/>
    <w:tmpl w:val="A11E96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0FA1535D"/>
    <w:multiLevelType w:val="hybridMultilevel"/>
    <w:tmpl w:val="4E40813C"/>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15">
    <w:nsid w:val="12EE6836"/>
    <w:multiLevelType w:val="hybridMultilevel"/>
    <w:tmpl w:val="C3622744"/>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16">
    <w:nsid w:val="134B61E6"/>
    <w:multiLevelType w:val="hybridMultilevel"/>
    <w:tmpl w:val="8F10D67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7">
    <w:nsid w:val="149C57B8"/>
    <w:multiLevelType w:val="hybridMultilevel"/>
    <w:tmpl w:val="7F707F90"/>
    <w:lvl w:ilvl="0" w:tplc="10090001">
      <w:start w:val="1"/>
      <w:numFmt w:val="bullet"/>
      <w:lvlText w:val=""/>
      <w:lvlJc w:val="left"/>
      <w:pPr>
        <w:ind w:left="360" w:hanging="360"/>
      </w:pPr>
      <w:rPr>
        <w:rFonts w:ascii="Symbol" w:hAnsi="Symbol" w:hint="default"/>
      </w:rPr>
    </w:lvl>
    <w:lvl w:ilvl="1" w:tplc="10090003">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18">
    <w:nsid w:val="15E81240"/>
    <w:multiLevelType w:val="hybridMultilevel"/>
    <w:tmpl w:val="AEFA5F84"/>
    <w:lvl w:ilvl="0" w:tplc="70F840F4">
      <w:start w:val="1"/>
      <w:numFmt w:val="lowerRoman"/>
      <w:lvlText w:val="%1."/>
      <w:lvlJc w:val="right"/>
      <w:pPr>
        <w:ind w:left="144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9">
    <w:nsid w:val="18327B2A"/>
    <w:multiLevelType w:val="hybridMultilevel"/>
    <w:tmpl w:val="AF2A5498"/>
    <w:lvl w:ilvl="0" w:tplc="10090001">
      <w:start w:val="1"/>
      <w:numFmt w:val="bullet"/>
      <w:lvlText w:val=""/>
      <w:lvlJc w:val="left"/>
      <w:pPr>
        <w:ind w:left="360" w:hanging="360"/>
      </w:pPr>
      <w:rPr>
        <w:rFonts w:ascii="Symbol" w:hAnsi="Symbol" w:hint="default"/>
      </w:rPr>
    </w:lvl>
    <w:lvl w:ilvl="1" w:tplc="10090003">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20">
    <w:nsid w:val="18576A4B"/>
    <w:multiLevelType w:val="hybridMultilevel"/>
    <w:tmpl w:val="16F893E8"/>
    <w:lvl w:ilvl="0" w:tplc="04090003">
      <w:start w:val="1"/>
      <w:numFmt w:val="bullet"/>
      <w:lvlText w:val="o"/>
      <w:lvlJc w:val="left"/>
      <w:pPr>
        <w:ind w:left="1080" w:hanging="360"/>
      </w:pPr>
      <w:rPr>
        <w:rFonts w:ascii="Courier New" w:hAnsi="Courier New" w:cs="Courier New" w:hint="default"/>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21">
    <w:nsid w:val="189D742B"/>
    <w:multiLevelType w:val="hybridMultilevel"/>
    <w:tmpl w:val="74986F52"/>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2">
    <w:nsid w:val="1C867730"/>
    <w:multiLevelType w:val="hybridMultilevel"/>
    <w:tmpl w:val="6276BF4E"/>
    <w:lvl w:ilvl="0" w:tplc="8EEA0BD2">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nsid w:val="21353210"/>
    <w:multiLevelType w:val="hybridMultilevel"/>
    <w:tmpl w:val="99AA9EF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4">
    <w:nsid w:val="21B97163"/>
    <w:multiLevelType w:val="hybridMultilevel"/>
    <w:tmpl w:val="8A0A0FE0"/>
    <w:lvl w:ilvl="0" w:tplc="1009001B">
      <w:start w:val="1"/>
      <w:numFmt w:val="lowerRoman"/>
      <w:lvlText w:val="%1."/>
      <w:lvlJc w:val="right"/>
      <w:pPr>
        <w:ind w:left="1440" w:hanging="360"/>
      </w:pPr>
    </w:lvl>
    <w:lvl w:ilvl="1" w:tplc="10090019" w:tentative="1">
      <w:start w:val="1"/>
      <w:numFmt w:val="lowerLetter"/>
      <w:lvlText w:val="%2."/>
      <w:lvlJc w:val="left"/>
      <w:pPr>
        <w:ind w:left="2160" w:hanging="360"/>
      </w:pPr>
    </w:lvl>
    <w:lvl w:ilvl="2" w:tplc="1009001B" w:tentative="1">
      <w:start w:val="1"/>
      <w:numFmt w:val="lowerRoman"/>
      <w:lvlText w:val="%3."/>
      <w:lvlJc w:val="right"/>
      <w:pPr>
        <w:ind w:left="2880" w:hanging="180"/>
      </w:pPr>
    </w:lvl>
    <w:lvl w:ilvl="3" w:tplc="1009000F" w:tentative="1">
      <w:start w:val="1"/>
      <w:numFmt w:val="decimal"/>
      <w:lvlText w:val="%4."/>
      <w:lvlJc w:val="left"/>
      <w:pPr>
        <w:ind w:left="3600" w:hanging="360"/>
      </w:pPr>
    </w:lvl>
    <w:lvl w:ilvl="4" w:tplc="10090019" w:tentative="1">
      <w:start w:val="1"/>
      <w:numFmt w:val="lowerLetter"/>
      <w:lvlText w:val="%5."/>
      <w:lvlJc w:val="left"/>
      <w:pPr>
        <w:ind w:left="4320" w:hanging="360"/>
      </w:pPr>
    </w:lvl>
    <w:lvl w:ilvl="5" w:tplc="1009001B" w:tentative="1">
      <w:start w:val="1"/>
      <w:numFmt w:val="lowerRoman"/>
      <w:lvlText w:val="%6."/>
      <w:lvlJc w:val="right"/>
      <w:pPr>
        <w:ind w:left="5040" w:hanging="180"/>
      </w:pPr>
    </w:lvl>
    <w:lvl w:ilvl="6" w:tplc="1009000F" w:tentative="1">
      <w:start w:val="1"/>
      <w:numFmt w:val="decimal"/>
      <w:lvlText w:val="%7."/>
      <w:lvlJc w:val="left"/>
      <w:pPr>
        <w:ind w:left="5760" w:hanging="360"/>
      </w:pPr>
    </w:lvl>
    <w:lvl w:ilvl="7" w:tplc="10090019" w:tentative="1">
      <w:start w:val="1"/>
      <w:numFmt w:val="lowerLetter"/>
      <w:lvlText w:val="%8."/>
      <w:lvlJc w:val="left"/>
      <w:pPr>
        <w:ind w:left="6480" w:hanging="360"/>
      </w:pPr>
    </w:lvl>
    <w:lvl w:ilvl="8" w:tplc="1009001B" w:tentative="1">
      <w:start w:val="1"/>
      <w:numFmt w:val="lowerRoman"/>
      <w:lvlText w:val="%9."/>
      <w:lvlJc w:val="right"/>
      <w:pPr>
        <w:ind w:left="7200" w:hanging="180"/>
      </w:pPr>
    </w:lvl>
  </w:abstractNum>
  <w:abstractNum w:abstractNumId="25">
    <w:nsid w:val="24EB0ABA"/>
    <w:multiLevelType w:val="hybridMultilevel"/>
    <w:tmpl w:val="7D9E9366"/>
    <w:lvl w:ilvl="0" w:tplc="04090003">
      <w:start w:val="1"/>
      <w:numFmt w:val="bullet"/>
      <w:lvlText w:val="o"/>
      <w:lvlJc w:val="left"/>
      <w:pPr>
        <w:ind w:left="1080" w:hanging="360"/>
      </w:pPr>
      <w:rPr>
        <w:rFonts w:ascii="Courier New" w:hAnsi="Courier New" w:cs="Courier New" w:hint="default"/>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26">
    <w:nsid w:val="28697C18"/>
    <w:multiLevelType w:val="hybridMultilevel"/>
    <w:tmpl w:val="0C601E68"/>
    <w:lvl w:ilvl="0" w:tplc="10090003">
      <w:start w:val="1"/>
      <w:numFmt w:val="bullet"/>
      <w:lvlText w:val="o"/>
      <w:lvlJc w:val="left"/>
      <w:pPr>
        <w:ind w:left="1080" w:hanging="360"/>
      </w:pPr>
      <w:rPr>
        <w:rFonts w:ascii="Courier New" w:hAnsi="Courier New" w:cs="Courier New" w:hint="default"/>
      </w:rPr>
    </w:lvl>
    <w:lvl w:ilvl="1" w:tplc="10090003">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27">
    <w:nsid w:val="2CBF50AF"/>
    <w:multiLevelType w:val="hybridMultilevel"/>
    <w:tmpl w:val="1D023D02"/>
    <w:lvl w:ilvl="0" w:tplc="10090001">
      <w:start w:val="1"/>
      <w:numFmt w:val="bullet"/>
      <w:lvlText w:val=""/>
      <w:lvlJc w:val="left"/>
      <w:pPr>
        <w:ind w:left="1080" w:hanging="360"/>
      </w:pPr>
      <w:rPr>
        <w:rFonts w:ascii="Symbol" w:hAnsi="Symbol" w:hint="default"/>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28">
    <w:nsid w:val="2E292947"/>
    <w:multiLevelType w:val="hybridMultilevel"/>
    <w:tmpl w:val="A4306CE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9">
    <w:nsid w:val="2F8B2A91"/>
    <w:multiLevelType w:val="hybridMultilevel"/>
    <w:tmpl w:val="A2C61D54"/>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0">
    <w:nsid w:val="307378CE"/>
    <w:multiLevelType w:val="hybridMultilevel"/>
    <w:tmpl w:val="9BC09042"/>
    <w:lvl w:ilvl="0" w:tplc="10090001">
      <w:start w:val="1"/>
      <w:numFmt w:val="bullet"/>
      <w:lvlText w:val=""/>
      <w:lvlJc w:val="left"/>
      <w:pPr>
        <w:ind w:left="360" w:hanging="360"/>
      </w:pPr>
      <w:rPr>
        <w:rFonts w:ascii="Symbol" w:hAnsi="Symbol" w:hint="default"/>
      </w:rPr>
    </w:lvl>
    <w:lvl w:ilvl="1" w:tplc="10090003">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31">
    <w:nsid w:val="327166A8"/>
    <w:multiLevelType w:val="hybridMultilevel"/>
    <w:tmpl w:val="2CD0A1BE"/>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2">
    <w:nsid w:val="3657689A"/>
    <w:multiLevelType w:val="hybridMultilevel"/>
    <w:tmpl w:val="CAB28AB0"/>
    <w:lvl w:ilvl="0" w:tplc="10090001">
      <w:start w:val="1"/>
      <w:numFmt w:val="bullet"/>
      <w:lvlText w:val=""/>
      <w:lvlJc w:val="left"/>
      <w:pPr>
        <w:ind w:left="360" w:hanging="360"/>
      </w:pPr>
      <w:rPr>
        <w:rFonts w:ascii="Symbol" w:hAnsi="Symbol" w:hint="default"/>
      </w:rPr>
    </w:lvl>
    <w:lvl w:ilvl="1" w:tplc="10090003">
      <w:start w:val="1"/>
      <w:numFmt w:val="bullet"/>
      <w:lvlText w:val="o"/>
      <w:lvlJc w:val="left"/>
      <w:pPr>
        <w:ind w:left="990" w:hanging="360"/>
      </w:pPr>
      <w:rPr>
        <w:rFonts w:ascii="Courier New" w:hAnsi="Courier New" w:cs="Courier New" w:hint="default"/>
      </w:rPr>
    </w:lvl>
    <w:lvl w:ilvl="2" w:tplc="10090005" w:tentative="1">
      <w:start w:val="1"/>
      <w:numFmt w:val="bullet"/>
      <w:lvlText w:val=""/>
      <w:lvlJc w:val="left"/>
      <w:pPr>
        <w:ind w:left="1710" w:hanging="360"/>
      </w:pPr>
      <w:rPr>
        <w:rFonts w:ascii="Wingdings" w:hAnsi="Wingdings" w:hint="default"/>
      </w:rPr>
    </w:lvl>
    <w:lvl w:ilvl="3" w:tplc="10090001" w:tentative="1">
      <w:start w:val="1"/>
      <w:numFmt w:val="bullet"/>
      <w:lvlText w:val=""/>
      <w:lvlJc w:val="left"/>
      <w:pPr>
        <w:ind w:left="2430" w:hanging="360"/>
      </w:pPr>
      <w:rPr>
        <w:rFonts w:ascii="Symbol" w:hAnsi="Symbol" w:hint="default"/>
      </w:rPr>
    </w:lvl>
    <w:lvl w:ilvl="4" w:tplc="10090003" w:tentative="1">
      <w:start w:val="1"/>
      <w:numFmt w:val="bullet"/>
      <w:lvlText w:val="o"/>
      <w:lvlJc w:val="left"/>
      <w:pPr>
        <w:ind w:left="3150" w:hanging="360"/>
      </w:pPr>
      <w:rPr>
        <w:rFonts w:ascii="Courier New" w:hAnsi="Courier New" w:cs="Courier New" w:hint="default"/>
      </w:rPr>
    </w:lvl>
    <w:lvl w:ilvl="5" w:tplc="10090005" w:tentative="1">
      <w:start w:val="1"/>
      <w:numFmt w:val="bullet"/>
      <w:lvlText w:val=""/>
      <w:lvlJc w:val="left"/>
      <w:pPr>
        <w:ind w:left="3870" w:hanging="360"/>
      </w:pPr>
      <w:rPr>
        <w:rFonts w:ascii="Wingdings" w:hAnsi="Wingdings" w:hint="default"/>
      </w:rPr>
    </w:lvl>
    <w:lvl w:ilvl="6" w:tplc="10090001" w:tentative="1">
      <w:start w:val="1"/>
      <w:numFmt w:val="bullet"/>
      <w:lvlText w:val=""/>
      <w:lvlJc w:val="left"/>
      <w:pPr>
        <w:ind w:left="4590" w:hanging="360"/>
      </w:pPr>
      <w:rPr>
        <w:rFonts w:ascii="Symbol" w:hAnsi="Symbol" w:hint="default"/>
      </w:rPr>
    </w:lvl>
    <w:lvl w:ilvl="7" w:tplc="10090003" w:tentative="1">
      <w:start w:val="1"/>
      <w:numFmt w:val="bullet"/>
      <w:lvlText w:val="o"/>
      <w:lvlJc w:val="left"/>
      <w:pPr>
        <w:ind w:left="5310" w:hanging="360"/>
      </w:pPr>
      <w:rPr>
        <w:rFonts w:ascii="Courier New" w:hAnsi="Courier New" w:cs="Courier New" w:hint="default"/>
      </w:rPr>
    </w:lvl>
    <w:lvl w:ilvl="8" w:tplc="10090005" w:tentative="1">
      <w:start w:val="1"/>
      <w:numFmt w:val="bullet"/>
      <w:lvlText w:val=""/>
      <w:lvlJc w:val="left"/>
      <w:pPr>
        <w:ind w:left="6030" w:hanging="360"/>
      </w:pPr>
      <w:rPr>
        <w:rFonts w:ascii="Wingdings" w:hAnsi="Wingdings" w:hint="default"/>
      </w:rPr>
    </w:lvl>
  </w:abstractNum>
  <w:abstractNum w:abstractNumId="33">
    <w:nsid w:val="379F17B0"/>
    <w:multiLevelType w:val="hybridMultilevel"/>
    <w:tmpl w:val="BBE27AF0"/>
    <w:lvl w:ilvl="0" w:tplc="10090001">
      <w:start w:val="1"/>
      <w:numFmt w:val="bullet"/>
      <w:lvlText w:val=""/>
      <w:lvlJc w:val="left"/>
      <w:pPr>
        <w:ind w:left="720" w:hanging="360"/>
      </w:pPr>
      <w:rPr>
        <w:rFonts w:ascii="Symbol" w:hAnsi="Symbol" w:hint="default"/>
      </w:rPr>
    </w:lvl>
    <w:lvl w:ilvl="1" w:tplc="1FCE94C6">
      <w:numFmt w:val="bullet"/>
      <w:lvlText w:val="•"/>
      <w:lvlJc w:val="left"/>
      <w:pPr>
        <w:ind w:left="1440" w:hanging="360"/>
      </w:pPr>
      <w:rPr>
        <w:rFonts w:ascii="Arial" w:eastAsia="Times New Roman" w:hAnsi="Arial" w:cs="Arial" w:hint="default"/>
      </w:rPr>
    </w:lvl>
    <w:lvl w:ilvl="2" w:tplc="BAE68FA4">
      <w:numFmt w:val="bullet"/>
      <w:lvlText w:val="-"/>
      <w:lvlJc w:val="left"/>
      <w:pPr>
        <w:ind w:left="2160" w:hanging="360"/>
      </w:pPr>
      <w:rPr>
        <w:rFonts w:ascii="Arial" w:eastAsia="Times New Roman" w:hAnsi="Arial" w:cs="Arial" w:hint="default"/>
      </w:rPr>
    </w:lvl>
    <w:lvl w:ilvl="3" w:tplc="10090001">
      <w:start w:val="1"/>
      <w:numFmt w:val="bullet"/>
      <w:lvlText w:val=""/>
      <w:lvlJc w:val="left"/>
      <w:pPr>
        <w:ind w:left="2880" w:hanging="360"/>
      </w:pPr>
      <w:rPr>
        <w:rFonts w:ascii="Symbol" w:hAnsi="Symbol" w:hint="default"/>
      </w:rPr>
    </w:lvl>
    <w:lvl w:ilvl="4" w:tplc="10090003">
      <w:start w:val="1"/>
      <w:numFmt w:val="bullet"/>
      <w:lvlText w:val="o"/>
      <w:lvlJc w:val="left"/>
      <w:pPr>
        <w:ind w:left="3600" w:hanging="360"/>
      </w:pPr>
      <w:rPr>
        <w:rFonts w:ascii="Courier New" w:hAnsi="Courier New" w:cs="Courier New" w:hint="default"/>
      </w:rPr>
    </w:lvl>
    <w:lvl w:ilvl="5" w:tplc="10090005">
      <w:start w:val="1"/>
      <w:numFmt w:val="bullet"/>
      <w:lvlText w:val=""/>
      <w:lvlJc w:val="left"/>
      <w:pPr>
        <w:ind w:left="4320" w:hanging="360"/>
      </w:pPr>
      <w:rPr>
        <w:rFonts w:ascii="Wingdings" w:hAnsi="Wingdings" w:hint="default"/>
      </w:rPr>
    </w:lvl>
    <w:lvl w:ilvl="6" w:tplc="10090001">
      <w:start w:val="1"/>
      <w:numFmt w:val="bullet"/>
      <w:lvlText w:val=""/>
      <w:lvlJc w:val="left"/>
      <w:pPr>
        <w:ind w:left="5040" w:hanging="360"/>
      </w:pPr>
      <w:rPr>
        <w:rFonts w:ascii="Symbol" w:hAnsi="Symbol" w:hint="default"/>
      </w:rPr>
    </w:lvl>
    <w:lvl w:ilvl="7" w:tplc="10090003">
      <w:start w:val="1"/>
      <w:numFmt w:val="bullet"/>
      <w:lvlText w:val="o"/>
      <w:lvlJc w:val="left"/>
      <w:pPr>
        <w:ind w:left="5760" w:hanging="360"/>
      </w:pPr>
      <w:rPr>
        <w:rFonts w:ascii="Courier New" w:hAnsi="Courier New" w:cs="Courier New" w:hint="default"/>
      </w:rPr>
    </w:lvl>
    <w:lvl w:ilvl="8" w:tplc="10090005">
      <w:start w:val="1"/>
      <w:numFmt w:val="bullet"/>
      <w:lvlText w:val=""/>
      <w:lvlJc w:val="left"/>
      <w:pPr>
        <w:ind w:left="6480" w:hanging="360"/>
      </w:pPr>
      <w:rPr>
        <w:rFonts w:ascii="Wingdings" w:hAnsi="Wingdings" w:hint="default"/>
      </w:rPr>
    </w:lvl>
  </w:abstractNum>
  <w:abstractNum w:abstractNumId="34">
    <w:nsid w:val="39801DB9"/>
    <w:multiLevelType w:val="hybridMultilevel"/>
    <w:tmpl w:val="3B7ECE92"/>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35">
    <w:nsid w:val="3D9419C4"/>
    <w:multiLevelType w:val="hybridMultilevel"/>
    <w:tmpl w:val="68D04B34"/>
    <w:lvl w:ilvl="0" w:tplc="DC8C661C">
      <w:start w:val="1"/>
      <w:numFmt w:val="bullet"/>
      <w:lvlText w:val="­"/>
      <w:lvlJc w:val="left"/>
      <w:pPr>
        <w:ind w:left="1080" w:hanging="360"/>
      </w:pPr>
      <w:rPr>
        <w:rFonts w:ascii="Courier New" w:hAnsi="Courier New" w:hint="default"/>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36">
    <w:nsid w:val="3FE9EEC2"/>
    <w:multiLevelType w:val="hybridMultilevel"/>
    <w:tmpl w:val="E080C805"/>
    <w:lvl w:ilvl="0" w:tplc="FFFFFFFF">
      <w:start w:val="1"/>
      <w:numFmt w:val="ideographDigital"/>
      <w:lvlText w:val=""/>
      <w:lvlJc w:val="left"/>
    </w:lvl>
    <w:lvl w:ilvl="1" w:tplc="FFFFFFFF">
      <w:start w:val="1"/>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7">
    <w:nsid w:val="416C7C24"/>
    <w:multiLevelType w:val="hybridMultilevel"/>
    <w:tmpl w:val="AF1A054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8">
    <w:nsid w:val="4A3C303E"/>
    <w:multiLevelType w:val="hybridMultilevel"/>
    <w:tmpl w:val="A9D6F27A"/>
    <w:lvl w:ilvl="0" w:tplc="10090003">
      <w:start w:val="1"/>
      <w:numFmt w:val="bullet"/>
      <w:lvlText w:val="o"/>
      <w:lvlJc w:val="left"/>
      <w:pPr>
        <w:ind w:left="1080" w:hanging="360"/>
      </w:pPr>
      <w:rPr>
        <w:rFonts w:ascii="Courier New" w:hAnsi="Courier New" w:cs="Courier New" w:hint="default"/>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39">
    <w:nsid w:val="4AB66A37"/>
    <w:multiLevelType w:val="hybridMultilevel"/>
    <w:tmpl w:val="C3B4588C"/>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40">
    <w:nsid w:val="4C4B2AD4"/>
    <w:multiLevelType w:val="hybridMultilevel"/>
    <w:tmpl w:val="D466D064"/>
    <w:lvl w:ilvl="0" w:tplc="10090001">
      <w:start w:val="1"/>
      <w:numFmt w:val="bullet"/>
      <w:lvlText w:val=""/>
      <w:lvlJc w:val="left"/>
      <w:pPr>
        <w:ind w:left="360" w:hanging="360"/>
      </w:pPr>
      <w:rPr>
        <w:rFonts w:ascii="Symbol" w:hAnsi="Symbol" w:hint="default"/>
      </w:rPr>
    </w:lvl>
    <w:lvl w:ilvl="1" w:tplc="10090003">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41">
    <w:nsid w:val="4EF2698E"/>
    <w:multiLevelType w:val="hybridMultilevel"/>
    <w:tmpl w:val="76AAC47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2">
    <w:nsid w:val="50964FD0"/>
    <w:multiLevelType w:val="hybridMultilevel"/>
    <w:tmpl w:val="B844B506"/>
    <w:lvl w:ilvl="0" w:tplc="A256552A">
      <w:start w:val="1"/>
      <w:numFmt w:val="decimal"/>
      <w:lvlText w:val="%1)"/>
      <w:lvlJc w:val="left"/>
      <w:pPr>
        <w:ind w:left="36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43">
    <w:nsid w:val="51126BE5"/>
    <w:multiLevelType w:val="hybridMultilevel"/>
    <w:tmpl w:val="8BA47FC8"/>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44">
    <w:nsid w:val="51724435"/>
    <w:multiLevelType w:val="hybridMultilevel"/>
    <w:tmpl w:val="BD60BABE"/>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45">
    <w:nsid w:val="52171560"/>
    <w:multiLevelType w:val="hybridMultilevel"/>
    <w:tmpl w:val="704CAC8A"/>
    <w:lvl w:ilvl="0" w:tplc="7EECC926">
      <w:start w:val="533"/>
      <w:numFmt w:val="bullet"/>
      <w:lvlText w:val="−"/>
      <w:lvlJc w:val="left"/>
      <w:pPr>
        <w:ind w:left="786" w:hanging="360"/>
      </w:pPr>
      <w:rPr>
        <w:rFonts w:ascii="Arial" w:hAnsi="Aria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6">
    <w:nsid w:val="538B4600"/>
    <w:multiLevelType w:val="hybridMultilevel"/>
    <w:tmpl w:val="556A2F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nsid w:val="552B15DD"/>
    <w:multiLevelType w:val="hybridMultilevel"/>
    <w:tmpl w:val="0338B796"/>
    <w:lvl w:ilvl="0" w:tplc="04090003">
      <w:start w:val="1"/>
      <w:numFmt w:val="bullet"/>
      <w:lvlText w:val="o"/>
      <w:lvlJc w:val="left"/>
      <w:pPr>
        <w:ind w:left="1080" w:hanging="360"/>
      </w:pPr>
      <w:rPr>
        <w:rFonts w:ascii="Courier New" w:hAnsi="Courier New" w:cs="Courier New" w:hint="default"/>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48">
    <w:nsid w:val="55893F8D"/>
    <w:multiLevelType w:val="hybridMultilevel"/>
    <w:tmpl w:val="65F856B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9">
    <w:nsid w:val="57162685"/>
    <w:multiLevelType w:val="hybridMultilevel"/>
    <w:tmpl w:val="D062B70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50">
    <w:nsid w:val="58D52834"/>
    <w:multiLevelType w:val="hybridMultilevel"/>
    <w:tmpl w:val="0496305A"/>
    <w:lvl w:ilvl="0" w:tplc="04090003">
      <w:start w:val="1"/>
      <w:numFmt w:val="bullet"/>
      <w:lvlText w:val="o"/>
      <w:lvlJc w:val="left"/>
      <w:pPr>
        <w:ind w:left="1080" w:hanging="360"/>
      </w:pPr>
      <w:rPr>
        <w:rFonts w:ascii="Courier New" w:hAnsi="Courier New" w:cs="Courier New"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51">
    <w:nsid w:val="59A43C7E"/>
    <w:multiLevelType w:val="hybridMultilevel"/>
    <w:tmpl w:val="C8E476B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52">
    <w:nsid w:val="5BD71BBE"/>
    <w:multiLevelType w:val="hybridMultilevel"/>
    <w:tmpl w:val="905C96A4"/>
    <w:lvl w:ilvl="0" w:tplc="10090001">
      <w:start w:val="1"/>
      <w:numFmt w:val="bullet"/>
      <w:lvlText w:val=""/>
      <w:lvlJc w:val="left"/>
      <w:pPr>
        <w:ind w:left="360" w:hanging="360"/>
      </w:pPr>
      <w:rPr>
        <w:rFonts w:ascii="Symbol" w:hAnsi="Symbol" w:hint="default"/>
      </w:rPr>
    </w:lvl>
    <w:lvl w:ilvl="1" w:tplc="10090001">
      <w:start w:val="1"/>
      <w:numFmt w:val="bullet"/>
      <w:lvlText w:val=""/>
      <w:lvlJc w:val="left"/>
      <w:pPr>
        <w:ind w:left="1080" w:hanging="360"/>
      </w:pPr>
      <w:rPr>
        <w:rFonts w:ascii="Symbol" w:hAnsi="Symbol"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53">
    <w:nsid w:val="5F9C272B"/>
    <w:multiLevelType w:val="hybridMultilevel"/>
    <w:tmpl w:val="6FFA4DA6"/>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54">
    <w:nsid w:val="65523988"/>
    <w:multiLevelType w:val="hybridMultilevel"/>
    <w:tmpl w:val="257C5F78"/>
    <w:lvl w:ilvl="0" w:tplc="1009000F">
      <w:start w:val="1"/>
      <w:numFmt w:val="decimal"/>
      <w:lvlText w:val="%1."/>
      <w:lvlJc w:val="left"/>
      <w:pPr>
        <w:ind w:left="360" w:hanging="360"/>
      </w:p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55">
    <w:nsid w:val="65901A95"/>
    <w:multiLevelType w:val="multilevel"/>
    <w:tmpl w:val="D7D22AE2"/>
    <w:lvl w:ilvl="0">
      <w:start w:val="5"/>
      <w:numFmt w:val="decimal"/>
      <w:lvlText w:val="%1.0"/>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52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320" w:hanging="1440"/>
      </w:pPr>
      <w:rPr>
        <w:rFonts w:hint="default"/>
      </w:rPr>
    </w:lvl>
    <w:lvl w:ilvl="6">
      <w:start w:val="1"/>
      <w:numFmt w:val="decimal"/>
      <w:lvlText w:val="%1.%2.%3.%4.%5.%6.%7"/>
      <w:lvlJc w:val="left"/>
      <w:pPr>
        <w:ind w:left="5040" w:hanging="1440"/>
      </w:pPr>
      <w:rPr>
        <w:rFonts w:hint="default"/>
      </w:rPr>
    </w:lvl>
    <w:lvl w:ilvl="7">
      <w:start w:val="1"/>
      <w:numFmt w:val="decimal"/>
      <w:lvlText w:val="%1.%2.%3.%4.%5.%6.%7.%8"/>
      <w:lvlJc w:val="left"/>
      <w:pPr>
        <w:ind w:left="6120" w:hanging="1800"/>
      </w:pPr>
      <w:rPr>
        <w:rFonts w:hint="default"/>
      </w:rPr>
    </w:lvl>
    <w:lvl w:ilvl="8">
      <w:start w:val="1"/>
      <w:numFmt w:val="decimal"/>
      <w:lvlText w:val="%1.%2.%3.%4.%5.%6.%7.%8.%9"/>
      <w:lvlJc w:val="left"/>
      <w:pPr>
        <w:ind w:left="6840" w:hanging="1800"/>
      </w:pPr>
      <w:rPr>
        <w:rFonts w:hint="default"/>
      </w:rPr>
    </w:lvl>
  </w:abstractNum>
  <w:abstractNum w:abstractNumId="56">
    <w:nsid w:val="66E2328D"/>
    <w:multiLevelType w:val="hybridMultilevel"/>
    <w:tmpl w:val="F1D4F650"/>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57">
    <w:nsid w:val="67CF4810"/>
    <w:multiLevelType w:val="hybridMultilevel"/>
    <w:tmpl w:val="E24C18CE"/>
    <w:lvl w:ilvl="0" w:tplc="10090001">
      <w:start w:val="1"/>
      <w:numFmt w:val="bullet"/>
      <w:lvlText w:val=""/>
      <w:lvlJc w:val="left"/>
      <w:pPr>
        <w:ind w:left="-180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360" w:hanging="360"/>
      </w:pPr>
      <w:rPr>
        <w:rFonts w:ascii="Wingdings" w:hAnsi="Wingdings" w:hint="default"/>
      </w:rPr>
    </w:lvl>
    <w:lvl w:ilvl="3" w:tplc="10090001" w:tentative="1">
      <w:start w:val="1"/>
      <w:numFmt w:val="bullet"/>
      <w:lvlText w:val=""/>
      <w:lvlJc w:val="left"/>
      <w:pPr>
        <w:ind w:left="360" w:hanging="360"/>
      </w:pPr>
      <w:rPr>
        <w:rFonts w:ascii="Symbol" w:hAnsi="Symbol" w:hint="default"/>
      </w:rPr>
    </w:lvl>
    <w:lvl w:ilvl="4" w:tplc="10090003" w:tentative="1">
      <w:start w:val="1"/>
      <w:numFmt w:val="bullet"/>
      <w:lvlText w:val="o"/>
      <w:lvlJc w:val="left"/>
      <w:pPr>
        <w:ind w:left="1080" w:hanging="360"/>
      </w:pPr>
      <w:rPr>
        <w:rFonts w:ascii="Courier New" w:hAnsi="Courier New" w:cs="Courier New" w:hint="default"/>
      </w:rPr>
    </w:lvl>
    <w:lvl w:ilvl="5" w:tplc="10090005" w:tentative="1">
      <w:start w:val="1"/>
      <w:numFmt w:val="bullet"/>
      <w:lvlText w:val=""/>
      <w:lvlJc w:val="left"/>
      <w:pPr>
        <w:ind w:left="1800" w:hanging="360"/>
      </w:pPr>
      <w:rPr>
        <w:rFonts w:ascii="Wingdings" w:hAnsi="Wingdings" w:hint="default"/>
      </w:rPr>
    </w:lvl>
    <w:lvl w:ilvl="6" w:tplc="10090001" w:tentative="1">
      <w:start w:val="1"/>
      <w:numFmt w:val="bullet"/>
      <w:lvlText w:val=""/>
      <w:lvlJc w:val="left"/>
      <w:pPr>
        <w:ind w:left="2520" w:hanging="360"/>
      </w:pPr>
      <w:rPr>
        <w:rFonts w:ascii="Symbol" w:hAnsi="Symbol" w:hint="default"/>
      </w:rPr>
    </w:lvl>
    <w:lvl w:ilvl="7" w:tplc="10090003" w:tentative="1">
      <w:start w:val="1"/>
      <w:numFmt w:val="bullet"/>
      <w:lvlText w:val="o"/>
      <w:lvlJc w:val="left"/>
      <w:pPr>
        <w:ind w:left="3240" w:hanging="360"/>
      </w:pPr>
      <w:rPr>
        <w:rFonts w:ascii="Courier New" w:hAnsi="Courier New" w:cs="Courier New" w:hint="default"/>
      </w:rPr>
    </w:lvl>
    <w:lvl w:ilvl="8" w:tplc="10090005" w:tentative="1">
      <w:start w:val="1"/>
      <w:numFmt w:val="bullet"/>
      <w:lvlText w:val=""/>
      <w:lvlJc w:val="left"/>
      <w:pPr>
        <w:ind w:left="3960" w:hanging="360"/>
      </w:pPr>
      <w:rPr>
        <w:rFonts w:ascii="Wingdings" w:hAnsi="Wingdings" w:hint="default"/>
      </w:rPr>
    </w:lvl>
  </w:abstractNum>
  <w:abstractNum w:abstractNumId="58">
    <w:nsid w:val="6E0C1190"/>
    <w:multiLevelType w:val="hybridMultilevel"/>
    <w:tmpl w:val="CCFC63D6"/>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59">
    <w:nsid w:val="6E6744F5"/>
    <w:multiLevelType w:val="hybridMultilevel"/>
    <w:tmpl w:val="78BEA0B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60">
    <w:nsid w:val="6EFF71CC"/>
    <w:multiLevelType w:val="hybridMultilevel"/>
    <w:tmpl w:val="E4B47EA8"/>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start w:val="1"/>
      <w:numFmt w:val="bullet"/>
      <w:lvlText w:val=""/>
      <w:lvlJc w:val="left"/>
      <w:pPr>
        <w:ind w:left="2160" w:hanging="360"/>
      </w:pPr>
      <w:rPr>
        <w:rFonts w:ascii="Wingdings" w:hAnsi="Wingdings" w:hint="default"/>
      </w:rPr>
    </w:lvl>
    <w:lvl w:ilvl="3" w:tplc="10090001">
      <w:start w:val="1"/>
      <w:numFmt w:val="bullet"/>
      <w:lvlText w:val=""/>
      <w:lvlJc w:val="left"/>
      <w:pPr>
        <w:ind w:left="2880" w:hanging="360"/>
      </w:pPr>
      <w:rPr>
        <w:rFonts w:ascii="Symbol" w:hAnsi="Symbol" w:hint="default"/>
      </w:rPr>
    </w:lvl>
    <w:lvl w:ilvl="4" w:tplc="10090003">
      <w:start w:val="1"/>
      <w:numFmt w:val="bullet"/>
      <w:lvlText w:val="o"/>
      <w:lvlJc w:val="left"/>
      <w:pPr>
        <w:ind w:left="3600" w:hanging="360"/>
      </w:pPr>
      <w:rPr>
        <w:rFonts w:ascii="Courier New" w:hAnsi="Courier New" w:cs="Courier New" w:hint="default"/>
      </w:rPr>
    </w:lvl>
    <w:lvl w:ilvl="5" w:tplc="10090005">
      <w:start w:val="1"/>
      <w:numFmt w:val="bullet"/>
      <w:lvlText w:val=""/>
      <w:lvlJc w:val="left"/>
      <w:pPr>
        <w:ind w:left="4320" w:hanging="360"/>
      </w:pPr>
      <w:rPr>
        <w:rFonts w:ascii="Wingdings" w:hAnsi="Wingdings" w:hint="default"/>
      </w:rPr>
    </w:lvl>
    <w:lvl w:ilvl="6" w:tplc="10090001">
      <w:start w:val="1"/>
      <w:numFmt w:val="bullet"/>
      <w:lvlText w:val=""/>
      <w:lvlJc w:val="left"/>
      <w:pPr>
        <w:ind w:left="5040" w:hanging="360"/>
      </w:pPr>
      <w:rPr>
        <w:rFonts w:ascii="Symbol" w:hAnsi="Symbol" w:hint="default"/>
      </w:rPr>
    </w:lvl>
    <w:lvl w:ilvl="7" w:tplc="10090003">
      <w:start w:val="1"/>
      <w:numFmt w:val="bullet"/>
      <w:lvlText w:val="o"/>
      <w:lvlJc w:val="left"/>
      <w:pPr>
        <w:ind w:left="5760" w:hanging="360"/>
      </w:pPr>
      <w:rPr>
        <w:rFonts w:ascii="Courier New" w:hAnsi="Courier New" w:cs="Courier New" w:hint="default"/>
      </w:rPr>
    </w:lvl>
    <w:lvl w:ilvl="8" w:tplc="10090005">
      <w:start w:val="1"/>
      <w:numFmt w:val="bullet"/>
      <w:lvlText w:val=""/>
      <w:lvlJc w:val="left"/>
      <w:pPr>
        <w:ind w:left="6480" w:hanging="360"/>
      </w:pPr>
      <w:rPr>
        <w:rFonts w:ascii="Wingdings" w:hAnsi="Wingdings" w:hint="default"/>
      </w:rPr>
    </w:lvl>
  </w:abstractNum>
  <w:abstractNum w:abstractNumId="61">
    <w:nsid w:val="6F3757EC"/>
    <w:multiLevelType w:val="hybridMultilevel"/>
    <w:tmpl w:val="32765262"/>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62">
    <w:nsid w:val="70ED730C"/>
    <w:multiLevelType w:val="hybridMultilevel"/>
    <w:tmpl w:val="A358182A"/>
    <w:lvl w:ilvl="0" w:tplc="2C40DEAA">
      <w:start w:val="1"/>
      <w:numFmt w:val="lowerLetter"/>
      <w:lvlText w:val="%1."/>
      <w:lvlJc w:val="left"/>
      <w:pPr>
        <w:ind w:left="1077" w:hanging="360"/>
      </w:pPr>
      <w:rPr>
        <w:rFonts w:hint="default"/>
      </w:rPr>
    </w:lvl>
    <w:lvl w:ilvl="1" w:tplc="10090019" w:tentative="1">
      <w:start w:val="1"/>
      <w:numFmt w:val="lowerLetter"/>
      <w:lvlText w:val="%2."/>
      <w:lvlJc w:val="left"/>
      <w:pPr>
        <w:ind w:left="1797" w:hanging="360"/>
      </w:pPr>
    </w:lvl>
    <w:lvl w:ilvl="2" w:tplc="1009001B" w:tentative="1">
      <w:start w:val="1"/>
      <w:numFmt w:val="lowerRoman"/>
      <w:lvlText w:val="%3."/>
      <w:lvlJc w:val="right"/>
      <w:pPr>
        <w:ind w:left="2517" w:hanging="180"/>
      </w:pPr>
    </w:lvl>
    <w:lvl w:ilvl="3" w:tplc="1009000F" w:tentative="1">
      <w:start w:val="1"/>
      <w:numFmt w:val="decimal"/>
      <w:lvlText w:val="%4."/>
      <w:lvlJc w:val="left"/>
      <w:pPr>
        <w:ind w:left="3237" w:hanging="360"/>
      </w:pPr>
    </w:lvl>
    <w:lvl w:ilvl="4" w:tplc="10090019" w:tentative="1">
      <w:start w:val="1"/>
      <w:numFmt w:val="lowerLetter"/>
      <w:lvlText w:val="%5."/>
      <w:lvlJc w:val="left"/>
      <w:pPr>
        <w:ind w:left="3957" w:hanging="360"/>
      </w:pPr>
    </w:lvl>
    <w:lvl w:ilvl="5" w:tplc="1009001B" w:tentative="1">
      <w:start w:val="1"/>
      <w:numFmt w:val="lowerRoman"/>
      <w:lvlText w:val="%6."/>
      <w:lvlJc w:val="right"/>
      <w:pPr>
        <w:ind w:left="4677" w:hanging="180"/>
      </w:pPr>
    </w:lvl>
    <w:lvl w:ilvl="6" w:tplc="1009000F" w:tentative="1">
      <w:start w:val="1"/>
      <w:numFmt w:val="decimal"/>
      <w:lvlText w:val="%7."/>
      <w:lvlJc w:val="left"/>
      <w:pPr>
        <w:ind w:left="5397" w:hanging="360"/>
      </w:pPr>
    </w:lvl>
    <w:lvl w:ilvl="7" w:tplc="10090019" w:tentative="1">
      <w:start w:val="1"/>
      <w:numFmt w:val="lowerLetter"/>
      <w:lvlText w:val="%8."/>
      <w:lvlJc w:val="left"/>
      <w:pPr>
        <w:ind w:left="6117" w:hanging="360"/>
      </w:pPr>
    </w:lvl>
    <w:lvl w:ilvl="8" w:tplc="1009001B" w:tentative="1">
      <w:start w:val="1"/>
      <w:numFmt w:val="lowerRoman"/>
      <w:lvlText w:val="%9."/>
      <w:lvlJc w:val="right"/>
      <w:pPr>
        <w:ind w:left="6837" w:hanging="180"/>
      </w:pPr>
    </w:lvl>
  </w:abstractNum>
  <w:abstractNum w:abstractNumId="63">
    <w:nsid w:val="711D2752"/>
    <w:multiLevelType w:val="hybridMultilevel"/>
    <w:tmpl w:val="46F2059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64">
    <w:nsid w:val="72D05513"/>
    <w:multiLevelType w:val="hybridMultilevel"/>
    <w:tmpl w:val="EA2A117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65">
    <w:nsid w:val="758B2B8D"/>
    <w:multiLevelType w:val="hybridMultilevel"/>
    <w:tmpl w:val="F31279D4"/>
    <w:lvl w:ilvl="0" w:tplc="1AFED156">
      <w:start w:val="3"/>
      <w:numFmt w:val="bullet"/>
      <w:lvlText w:val=""/>
      <w:lvlJc w:val="left"/>
      <w:pPr>
        <w:ind w:left="2160" w:hanging="360"/>
      </w:pPr>
      <w:rPr>
        <w:rFonts w:ascii="Symbol" w:eastAsia="Times New Roman" w:hAnsi="Symbol" w:cs="Arial" w:hint="default"/>
      </w:rPr>
    </w:lvl>
    <w:lvl w:ilvl="1" w:tplc="10090003">
      <w:start w:val="1"/>
      <w:numFmt w:val="bullet"/>
      <w:lvlText w:val="o"/>
      <w:lvlJc w:val="left"/>
      <w:pPr>
        <w:ind w:left="2880" w:hanging="360"/>
      </w:pPr>
      <w:rPr>
        <w:rFonts w:ascii="Courier New" w:hAnsi="Courier New" w:cs="Courier New" w:hint="default"/>
      </w:rPr>
    </w:lvl>
    <w:lvl w:ilvl="2" w:tplc="10090005" w:tentative="1">
      <w:start w:val="1"/>
      <w:numFmt w:val="bullet"/>
      <w:lvlText w:val=""/>
      <w:lvlJc w:val="left"/>
      <w:pPr>
        <w:ind w:left="3600" w:hanging="360"/>
      </w:pPr>
      <w:rPr>
        <w:rFonts w:ascii="Wingdings" w:hAnsi="Wingdings" w:hint="default"/>
      </w:rPr>
    </w:lvl>
    <w:lvl w:ilvl="3" w:tplc="10090001" w:tentative="1">
      <w:start w:val="1"/>
      <w:numFmt w:val="bullet"/>
      <w:lvlText w:val=""/>
      <w:lvlJc w:val="left"/>
      <w:pPr>
        <w:ind w:left="4320" w:hanging="360"/>
      </w:pPr>
      <w:rPr>
        <w:rFonts w:ascii="Symbol" w:hAnsi="Symbol" w:hint="default"/>
      </w:rPr>
    </w:lvl>
    <w:lvl w:ilvl="4" w:tplc="10090003" w:tentative="1">
      <w:start w:val="1"/>
      <w:numFmt w:val="bullet"/>
      <w:lvlText w:val="o"/>
      <w:lvlJc w:val="left"/>
      <w:pPr>
        <w:ind w:left="5040" w:hanging="360"/>
      </w:pPr>
      <w:rPr>
        <w:rFonts w:ascii="Courier New" w:hAnsi="Courier New" w:cs="Courier New" w:hint="default"/>
      </w:rPr>
    </w:lvl>
    <w:lvl w:ilvl="5" w:tplc="10090005" w:tentative="1">
      <w:start w:val="1"/>
      <w:numFmt w:val="bullet"/>
      <w:lvlText w:val=""/>
      <w:lvlJc w:val="left"/>
      <w:pPr>
        <w:ind w:left="5760" w:hanging="360"/>
      </w:pPr>
      <w:rPr>
        <w:rFonts w:ascii="Wingdings" w:hAnsi="Wingdings" w:hint="default"/>
      </w:rPr>
    </w:lvl>
    <w:lvl w:ilvl="6" w:tplc="10090001" w:tentative="1">
      <w:start w:val="1"/>
      <w:numFmt w:val="bullet"/>
      <w:lvlText w:val=""/>
      <w:lvlJc w:val="left"/>
      <w:pPr>
        <w:ind w:left="6480" w:hanging="360"/>
      </w:pPr>
      <w:rPr>
        <w:rFonts w:ascii="Symbol" w:hAnsi="Symbol" w:hint="default"/>
      </w:rPr>
    </w:lvl>
    <w:lvl w:ilvl="7" w:tplc="10090003" w:tentative="1">
      <w:start w:val="1"/>
      <w:numFmt w:val="bullet"/>
      <w:lvlText w:val="o"/>
      <w:lvlJc w:val="left"/>
      <w:pPr>
        <w:ind w:left="7200" w:hanging="360"/>
      </w:pPr>
      <w:rPr>
        <w:rFonts w:ascii="Courier New" w:hAnsi="Courier New" w:cs="Courier New" w:hint="default"/>
      </w:rPr>
    </w:lvl>
    <w:lvl w:ilvl="8" w:tplc="10090005" w:tentative="1">
      <w:start w:val="1"/>
      <w:numFmt w:val="bullet"/>
      <w:lvlText w:val=""/>
      <w:lvlJc w:val="left"/>
      <w:pPr>
        <w:ind w:left="7920" w:hanging="360"/>
      </w:pPr>
      <w:rPr>
        <w:rFonts w:ascii="Wingdings" w:hAnsi="Wingdings" w:hint="default"/>
      </w:rPr>
    </w:lvl>
  </w:abstractNum>
  <w:abstractNum w:abstractNumId="66">
    <w:nsid w:val="7A607AAB"/>
    <w:multiLevelType w:val="hybridMultilevel"/>
    <w:tmpl w:val="856C288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67">
    <w:nsid w:val="7D823918"/>
    <w:multiLevelType w:val="hybridMultilevel"/>
    <w:tmpl w:val="2902B306"/>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68">
    <w:nsid w:val="7F511555"/>
    <w:multiLevelType w:val="hybridMultilevel"/>
    <w:tmpl w:val="23F6D5D6"/>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69">
    <w:nsid w:val="7FF53C43"/>
    <w:multiLevelType w:val="hybridMultilevel"/>
    <w:tmpl w:val="F5543F96"/>
    <w:lvl w:ilvl="0" w:tplc="1009000F">
      <w:start w:val="1"/>
      <w:numFmt w:val="decimal"/>
      <w:lvlText w:val="%1."/>
      <w:lvlJc w:val="left"/>
      <w:pPr>
        <w:ind w:left="360" w:hanging="360"/>
      </w:pPr>
      <w:rPr>
        <w:lang w:val="fr-CA"/>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num w:numId="1">
    <w:abstractNumId w:val="9"/>
  </w:num>
  <w:num w:numId="2">
    <w:abstractNumId w:val="55"/>
  </w:num>
  <w:num w:numId="3">
    <w:abstractNumId w:val="24"/>
  </w:num>
  <w:num w:numId="4">
    <w:abstractNumId w:val="69"/>
  </w:num>
  <w:num w:numId="5">
    <w:abstractNumId w:val="11"/>
  </w:num>
  <w:num w:numId="6">
    <w:abstractNumId w:val="10"/>
  </w:num>
  <w:num w:numId="7">
    <w:abstractNumId w:val="6"/>
  </w:num>
  <w:num w:numId="8">
    <w:abstractNumId w:val="53"/>
  </w:num>
  <w:num w:numId="9">
    <w:abstractNumId w:val="3"/>
  </w:num>
  <w:num w:numId="10">
    <w:abstractNumId w:val="58"/>
  </w:num>
  <w:num w:numId="11">
    <w:abstractNumId w:val="32"/>
  </w:num>
  <w:num w:numId="12">
    <w:abstractNumId w:val="39"/>
  </w:num>
  <w:num w:numId="13">
    <w:abstractNumId w:val="40"/>
  </w:num>
  <w:num w:numId="14">
    <w:abstractNumId w:val="26"/>
  </w:num>
  <w:num w:numId="15">
    <w:abstractNumId w:val="17"/>
  </w:num>
  <w:num w:numId="16">
    <w:abstractNumId w:val="30"/>
  </w:num>
  <w:num w:numId="17">
    <w:abstractNumId w:val="2"/>
  </w:num>
  <w:num w:numId="18">
    <w:abstractNumId w:val="15"/>
  </w:num>
  <w:num w:numId="19">
    <w:abstractNumId w:val="1"/>
  </w:num>
  <w:num w:numId="20">
    <w:abstractNumId w:val="36"/>
  </w:num>
  <w:num w:numId="21">
    <w:abstractNumId w:val="0"/>
  </w:num>
  <w:num w:numId="22">
    <w:abstractNumId w:val="56"/>
  </w:num>
  <w:num w:numId="23">
    <w:abstractNumId w:val="31"/>
  </w:num>
  <w:num w:numId="24">
    <w:abstractNumId w:val="54"/>
  </w:num>
  <w:num w:numId="25">
    <w:abstractNumId w:val="61"/>
  </w:num>
  <w:num w:numId="26">
    <w:abstractNumId w:val="66"/>
  </w:num>
  <w:num w:numId="27">
    <w:abstractNumId w:val="29"/>
  </w:num>
  <w:num w:numId="28">
    <w:abstractNumId w:val="64"/>
  </w:num>
  <w:num w:numId="29">
    <w:abstractNumId w:val="23"/>
  </w:num>
  <w:num w:numId="30">
    <w:abstractNumId w:val="42"/>
  </w:num>
  <w:num w:numId="31">
    <w:abstractNumId w:val="18"/>
  </w:num>
  <w:num w:numId="32">
    <w:abstractNumId w:val="44"/>
  </w:num>
  <w:num w:numId="33">
    <w:abstractNumId w:val="67"/>
  </w:num>
  <w:num w:numId="34">
    <w:abstractNumId w:val="38"/>
  </w:num>
  <w:num w:numId="35">
    <w:abstractNumId w:val="51"/>
  </w:num>
  <w:num w:numId="36">
    <w:abstractNumId w:val="16"/>
  </w:num>
  <w:num w:numId="37">
    <w:abstractNumId w:val="4"/>
  </w:num>
  <w:num w:numId="38">
    <w:abstractNumId w:val="41"/>
  </w:num>
  <w:num w:numId="39">
    <w:abstractNumId w:val="7"/>
  </w:num>
  <w:num w:numId="40">
    <w:abstractNumId w:val="34"/>
  </w:num>
  <w:num w:numId="41">
    <w:abstractNumId w:val="14"/>
  </w:num>
  <w:num w:numId="42">
    <w:abstractNumId w:val="43"/>
  </w:num>
  <w:num w:numId="43">
    <w:abstractNumId w:val="33"/>
  </w:num>
  <w:num w:numId="44">
    <w:abstractNumId w:val="60"/>
  </w:num>
  <w:num w:numId="45">
    <w:abstractNumId w:val="19"/>
  </w:num>
  <w:num w:numId="46">
    <w:abstractNumId w:val="35"/>
  </w:num>
  <w:num w:numId="47">
    <w:abstractNumId w:val="52"/>
  </w:num>
  <w:num w:numId="48">
    <w:abstractNumId w:val="59"/>
  </w:num>
  <w:num w:numId="49">
    <w:abstractNumId w:val="49"/>
  </w:num>
  <w:num w:numId="50">
    <w:abstractNumId w:val="68"/>
  </w:num>
  <w:num w:numId="51">
    <w:abstractNumId w:val="63"/>
  </w:num>
  <w:num w:numId="52">
    <w:abstractNumId w:val="57"/>
  </w:num>
  <w:num w:numId="53">
    <w:abstractNumId w:val="45"/>
  </w:num>
  <w:num w:numId="54">
    <w:abstractNumId w:val="65"/>
  </w:num>
  <w:num w:numId="55">
    <w:abstractNumId w:val="27"/>
  </w:num>
  <w:num w:numId="56">
    <w:abstractNumId w:val="21"/>
  </w:num>
  <w:num w:numId="57">
    <w:abstractNumId w:val="12"/>
  </w:num>
  <w:num w:numId="58">
    <w:abstractNumId w:val="22"/>
  </w:num>
  <w:num w:numId="59">
    <w:abstractNumId w:val="28"/>
  </w:num>
  <w:num w:numId="60">
    <w:abstractNumId w:val="5"/>
  </w:num>
  <w:num w:numId="61">
    <w:abstractNumId w:val="47"/>
  </w:num>
  <w:num w:numId="62">
    <w:abstractNumId w:val="25"/>
  </w:num>
  <w:num w:numId="63">
    <w:abstractNumId w:val="20"/>
  </w:num>
  <w:num w:numId="64">
    <w:abstractNumId w:val="50"/>
  </w:num>
  <w:num w:numId="65">
    <w:abstractNumId w:val="48"/>
  </w:num>
  <w:num w:numId="66">
    <w:abstractNumId w:val="46"/>
  </w:num>
  <w:num w:numId="67">
    <w:abstractNumId w:val="37"/>
  </w:num>
  <w:num w:numId="68">
    <w:abstractNumId w:val="13"/>
  </w:num>
  <w:num w:numId="69">
    <w:abstractNumId w:val="62"/>
  </w:num>
  <w:num w:numId="70">
    <w:abstractNumId w:val="8"/>
  </w:num>
  <w:numIdMacAtCleanup w:val="6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2"/>
    <o:shapelayout v:ext="edit">
      <o:idmap v:ext="edit" data="2"/>
    </o:shapelayout>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A7647"/>
    <w:rsid w:val="00002AA9"/>
    <w:rsid w:val="00006396"/>
    <w:rsid w:val="00010337"/>
    <w:rsid w:val="00012A8F"/>
    <w:rsid w:val="000137FB"/>
    <w:rsid w:val="000139DC"/>
    <w:rsid w:val="00014D17"/>
    <w:rsid w:val="0001510A"/>
    <w:rsid w:val="0001523C"/>
    <w:rsid w:val="000152E1"/>
    <w:rsid w:val="00016998"/>
    <w:rsid w:val="00016D17"/>
    <w:rsid w:val="00017C59"/>
    <w:rsid w:val="00020DC0"/>
    <w:rsid w:val="00021CAB"/>
    <w:rsid w:val="00022AB5"/>
    <w:rsid w:val="00023016"/>
    <w:rsid w:val="00024475"/>
    <w:rsid w:val="00026B20"/>
    <w:rsid w:val="0002783C"/>
    <w:rsid w:val="00031B43"/>
    <w:rsid w:val="00032386"/>
    <w:rsid w:val="00033D9A"/>
    <w:rsid w:val="00034A9E"/>
    <w:rsid w:val="00041B38"/>
    <w:rsid w:val="00041BC1"/>
    <w:rsid w:val="0004668A"/>
    <w:rsid w:val="00046DB0"/>
    <w:rsid w:val="00046F8F"/>
    <w:rsid w:val="00050085"/>
    <w:rsid w:val="0005169E"/>
    <w:rsid w:val="00053F38"/>
    <w:rsid w:val="000555FE"/>
    <w:rsid w:val="00057ECD"/>
    <w:rsid w:val="00061E3D"/>
    <w:rsid w:val="00062EDD"/>
    <w:rsid w:val="0006360B"/>
    <w:rsid w:val="000643B6"/>
    <w:rsid w:val="000653F3"/>
    <w:rsid w:val="00065AAE"/>
    <w:rsid w:val="00066E18"/>
    <w:rsid w:val="00067319"/>
    <w:rsid w:val="00071DB4"/>
    <w:rsid w:val="0007288B"/>
    <w:rsid w:val="000730A6"/>
    <w:rsid w:val="00073E08"/>
    <w:rsid w:val="00076462"/>
    <w:rsid w:val="000808AE"/>
    <w:rsid w:val="00081BF4"/>
    <w:rsid w:val="00081E05"/>
    <w:rsid w:val="00081F15"/>
    <w:rsid w:val="00083D1D"/>
    <w:rsid w:val="000845F3"/>
    <w:rsid w:val="00085E4A"/>
    <w:rsid w:val="000872B6"/>
    <w:rsid w:val="00087F05"/>
    <w:rsid w:val="000919F4"/>
    <w:rsid w:val="00091CA7"/>
    <w:rsid w:val="0009265D"/>
    <w:rsid w:val="000967BE"/>
    <w:rsid w:val="00096D65"/>
    <w:rsid w:val="000972FB"/>
    <w:rsid w:val="0009775F"/>
    <w:rsid w:val="000A2104"/>
    <w:rsid w:val="000A3228"/>
    <w:rsid w:val="000B1580"/>
    <w:rsid w:val="000B2FB2"/>
    <w:rsid w:val="000B36CC"/>
    <w:rsid w:val="000B73C0"/>
    <w:rsid w:val="000B7D89"/>
    <w:rsid w:val="000B7E3D"/>
    <w:rsid w:val="000C0C00"/>
    <w:rsid w:val="000C32F2"/>
    <w:rsid w:val="000C3F20"/>
    <w:rsid w:val="000C7911"/>
    <w:rsid w:val="000D146B"/>
    <w:rsid w:val="000D3274"/>
    <w:rsid w:val="000D6229"/>
    <w:rsid w:val="000D695B"/>
    <w:rsid w:val="000D6C85"/>
    <w:rsid w:val="000D70C0"/>
    <w:rsid w:val="000E0C50"/>
    <w:rsid w:val="000E1175"/>
    <w:rsid w:val="000E195E"/>
    <w:rsid w:val="000E1F5C"/>
    <w:rsid w:val="000E222C"/>
    <w:rsid w:val="000E5BE3"/>
    <w:rsid w:val="000E663B"/>
    <w:rsid w:val="000E6950"/>
    <w:rsid w:val="000E7395"/>
    <w:rsid w:val="000F25DE"/>
    <w:rsid w:val="00102B8F"/>
    <w:rsid w:val="00102D8A"/>
    <w:rsid w:val="00105312"/>
    <w:rsid w:val="00105464"/>
    <w:rsid w:val="001054D7"/>
    <w:rsid w:val="00106233"/>
    <w:rsid w:val="001076E1"/>
    <w:rsid w:val="00114D25"/>
    <w:rsid w:val="00117DE1"/>
    <w:rsid w:val="00121EC8"/>
    <w:rsid w:val="0012392E"/>
    <w:rsid w:val="00124749"/>
    <w:rsid w:val="001259D3"/>
    <w:rsid w:val="00125D0F"/>
    <w:rsid w:val="00130ADA"/>
    <w:rsid w:val="001332C4"/>
    <w:rsid w:val="001339FB"/>
    <w:rsid w:val="00136419"/>
    <w:rsid w:val="001404A0"/>
    <w:rsid w:val="0014226A"/>
    <w:rsid w:val="001464EC"/>
    <w:rsid w:val="00147F0E"/>
    <w:rsid w:val="00150BC5"/>
    <w:rsid w:val="00150E6B"/>
    <w:rsid w:val="00151F86"/>
    <w:rsid w:val="001633B4"/>
    <w:rsid w:val="00167027"/>
    <w:rsid w:val="0017046D"/>
    <w:rsid w:val="00173B17"/>
    <w:rsid w:val="00173FA3"/>
    <w:rsid w:val="00175762"/>
    <w:rsid w:val="00176523"/>
    <w:rsid w:val="00177450"/>
    <w:rsid w:val="0018109E"/>
    <w:rsid w:val="0018486C"/>
    <w:rsid w:val="00186D0A"/>
    <w:rsid w:val="001876DA"/>
    <w:rsid w:val="00187E85"/>
    <w:rsid w:val="00192E34"/>
    <w:rsid w:val="00193789"/>
    <w:rsid w:val="00194B08"/>
    <w:rsid w:val="0019629F"/>
    <w:rsid w:val="001A08A5"/>
    <w:rsid w:val="001A10F9"/>
    <w:rsid w:val="001A2501"/>
    <w:rsid w:val="001A38DE"/>
    <w:rsid w:val="001A48E3"/>
    <w:rsid w:val="001A7B9A"/>
    <w:rsid w:val="001B216C"/>
    <w:rsid w:val="001B52F2"/>
    <w:rsid w:val="001B6264"/>
    <w:rsid w:val="001B6EEF"/>
    <w:rsid w:val="001C0363"/>
    <w:rsid w:val="001C20E7"/>
    <w:rsid w:val="001C5C73"/>
    <w:rsid w:val="001C64F0"/>
    <w:rsid w:val="001C66FF"/>
    <w:rsid w:val="001D35D0"/>
    <w:rsid w:val="001D3E6F"/>
    <w:rsid w:val="001D5A1C"/>
    <w:rsid w:val="001D695C"/>
    <w:rsid w:val="001D7481"/>
    <w:rsid w:val="001D7DB4"/>
    <w:rsid w:val="001E1060"/>
    <w:rsid w:val="001E152A"/>
    <w:rsid w:val="001E1B39"/>
    <w:rsid w:val="001E2BDA"/>
    <w:rsid w:val="001E3599"/>
    <w:rsid w:val="001E4DF6"/>
    <w:rsid w:val="001E5B04"/>
    <w:rsid w:val="001E6563"/>
    <w:rsid w:val="001E6D22"/>
    <w:rsid w:val="001F0184"/>
    <w:rsid w:val="001F089A"/>
    <w:rsid w:val="001F0DDB"/>
    <w:rsid w:val="001F2F1B"/>
    <w:rsid w:val="001F31DF"/>
    <w:rsid w:val="001F6180"/>
    <w:rsid w:val="00200A8C"/>
    <w:rsid w:val="00200AFE"/>
    <w:rsid w:val="00200B10"/>
    <w:rsid w:val="002028E2"/>
    <w:rsid w:val="0020373C"/>
    <w:rsid w:val="00204EFB"/>
    <w:rsid w:val="002060CC"/>
    <w:rsid w:val="002064A9"/>
    <w:rsid w:val="00207B58"/>
    <w:rsid w:val="00210666"/>
    <w:rsid w:val="00210A7F"/>
    <w:rsid w:val="0021159B"/>
    <w:rsid w:val="00211947"/>
    <w:rsid w:val="00211976"/>
    <w:rsid w:val="00214532"/>
    <w:rsid w:val="00214E49"/>
    <w:rsid w:val="002158EF"/>
    <w:rsid w:val="00216B56"/>
    <w:rsid w:val="0022118E"/>
    <w:rsid w:val="002218F5"/>
    <w:rsid w:val="002276B1"/>
    <w:rsid w:val="00230847"/>
    <w:rsid w:val="00230CF9"/>
    <w:rsid w:val="00230F59"/>
    <w:rsid w:val="00232060"/>
    <w:rsid w:val="00232E9D"/>
    <w:rsid w:val="00234F11"/>
    <w:rsid w:val="00235396"/>
    <w:rsid w:val="00235840"/>
    <w:rsid w:val="00235D14"/>
    <w:rsid w:val="00235ED1"/>
    <w:rsid w:val="00237591"/>
    <w:rsid w:val="002378A5"/>
    <w:rsid w:val="002419C9"/>
    <w:rsid w:val="002429F3"/>
    <w:rsid w:val="00245016"/>
    <w:rsid w:val="00246DEE"/>
    <w:rsid w:val="002500B6"/>
    <w:rsid w:val="00254625"/>
    <w:rsid w:val="00257046"/>
    <w:rsid w:val="00261893"/>
    <w:rsid w:val="00263864"/>
    <w:rsid w:val="00263F99"/>
    <w:rsid w:val="00264E01"/>
    <w:rsid w:val="00275A56"/>
    <w:rsid w:val="002778C4"/>
    <w:rsid w:val="00280F03"/>
    <w:rsid w:val="00284A9E"/>
    <w:rsid w:val="00284F5A"/>
    <w:rsid w:val="00286AA1"/>
    <w:rsid w:val="00287B78"/>
    <w:rsid w:val="00290185"/>
    <w:rsid w:val="002930F8"/>
    <w:rsid w:val="002964AF"/>
    <w:rsid w:val="00296697"/>
    <w:rsid w:val="002A137B"/>
    <w:rsid w:val="002A26F0"/>
    <w:rsid w:val="002A36F6"/>
    <w:rsid w:val="002A38E8"/>
    <w:rsid w:val="002A7647"/>
    <w:rsid w:val="002A77B4"/>
    <w:rsid w:val="002B0DAD"/>
    <w:rsid w:val="002B0FF0"/>
    <w:rsid w:val="002B21F9"/>
    <w:rsid w:val="002B23AB"/>
    <w:rsid w:val="002B2B91"/>
    <w:rsid w:val="002B343C"/>
    <w:rsid w:val="002B4580"/>
    <w:rsid w:val="002B5374"/>
    <w:rsid w:val="002B71B8"/>
    <w:rsid w:val="002B78ED"/>
    <w:rsid w:val="002C1F00"/>
    <w:rsid w:val="002C3245"/>
    <w:rsid w:val="002C468F"/>
    <w:rsid w:val="002C59C6"/>
    <w:rsid w:val="002C5C65"/>
    <w:rsid w:val="002C6D31"/>
    <w:rsid w:val="002D3629"/>
    <w:rsid w:val="002D3BBF"/>
    <w:rsid w:val="002D476F"/>
    <w:rsid w:val="002D5E85"/>
    <w:rsid w:val="002D64D9"/>
    <w:rsid w:val="002D7706"/>
    <w:rsid w:val="002E1E94"/>
    <w:rsid w:val="002E23C3"/>
    <w:rsid w:val="002E2F17"/>
    <w:rsid w:val="002E3770"/>
    <w:rsid w:val="002E4D5F"/>
    <w:rsid w:val="002E4E46"/>
    <w:rsid w:val="002F0B09"/>
    <w:rsid w:val="002F18EA"/>
    <w:rsid w:val="002F26DB"/>
    <w:rsid w:val="002F2CA6"/>
    <w:rsid w:val="002F33FF"/>
    <w:rsid w:val="002F3F9C"/>
    <w:rsid w:val="002F42ED"/>
    <w:rsid w:val="003000CC"/>
    <w:rsid w:val="00300BD4"/>
    <w:rsid w:val="00300CEB"/>
    <w:rsid w:val="003027E3"/>
    <w:rsid w:val="00302B7E"/>
    <w:rsid w:val="003042FC"/>
    <w:rsid w:val="00310EAF"/>
    <w:rsid w:val="0031220C"/>
    <w:rsid w:val="00312D81"/>
    <w:rsid w:val="003140CD"/>
    <w:rsid w:val="00315C8F"/>
    <w:rsid w:val="00316034"/>
    <w:rsid w:val="0031621D"/>
    <w:rsid w:val="0031697E"/>
    <w:rsid w:val="00316C63"/>
    <w:rsid w:val="003175C3"/>
    <w:rsid w:val="00317955"/>
    <w:rsid w:val="0032073E"/>
    <w:rsid w:val="00323877"/>
    <w:rsid w:val="00326045"/>
    <w:rsid w:val="00327505"/>
    <w:rsid w:val="00332DCD"/>
    <w:rsid w:val="00333991"/>
    <w:rsid w:val="0033488D"/>
    <w:rsid w:val="00335E61"/>
    <w:rsid w:val="0033734D"/>
    <w:rsid w:val="00337F90"/>
    <w:rsid w:val="00340251"/>
    <w:rsid w:val="00341956"/>
    <w:rsid w:val="00341E93"/>
    <w:rsid w:val="00343912"/>
    <w:rsid w:val="00343A09"/>
    <w:rsid w:val="00350C13"/>
    <w:rsid w:val="00351895"/>
    <w:rsid w:val="00351D72"/>
    <w:rsid w:val="003539E0"/>
    <w:rsid w:val="00355075"/>
    <w:rsid w:val="00355135"/>
    <w:rsid w:val="003576F7"/>
    <w:rsid w:val="003616CF"/>
    <w:rsid w:val="00363295"/>
    <w:rsid w:val="00367038"/>
    <w:rsid w:val="003677C5"/>
    <w:rsid w:val="00373B2D"/>
    <w:rsid w:val="003744BB"/>
    <w:rsid w:val="00375AC9"/>
    <w:rsid w:val="00376729"/>
    <w:rsid w:val="00380C87"/>
    <w:rsid w:val="00382069"/>
    <w:rsid w:val="00384E1A"/>
    <w:rsid w:val="00385BB3"/>
    <w:rsid w:val="00387D78"/>
    <w:rsid w:val="00393482"/>
    <w:rsid w:val="00394C1B"/>
    <w:rsid w:val="00395DDC"/>
    <w:rsid w:val="003962A7"/>
    <w:rsid w:val="003A0A50"/>
    <w:rsid w:val="003A0F83"/>
    <w:rsid w:val="003A2C49"/>
    <w:rsid w:val="003A2E56"/>
    <w:rsid w:val="003A4DDC"/>
    <w:rsid w:val="003A57A4"/>
    <w:rsid w:val="003A7A92"/>
    <w:rsid w:val="003B0FE7"/>
    <w:rsid w:val="003B1E5C"/>
    <w:rsid w:val="003B7A75"/>
    <w:rsid w:val="003C124E"/>
    <w:rsid w:val="003C25EB"/>
    <w:rsid w:val="003C2C65"/>
    <w:rsid w:val="003C34B0"/>
    <w:rsid w:val="003C48EA"/>
    <w:rsid w:val="003C5829"/>
    <w:rsid w:val="003C64C4"/>
    <w:rsid w:val="003C7712"/>
    <w:rsid w:val="003C7CC6"/>
    <w:rsid w:val="003D37AD"/>
    <w:rsid w:val="003D3A99"/>
    <w:rsid w:val="003D5CEF"/>
    <w:rsid w:val="003D711E"/>
    <w:rsid w:val="003E0847"/>
    <w:rsid w:val="003E0A89"/>
    <w:rsid w:val="003E1389"/>
    <w:rsid w:val="003E1D90"/>
    <w:rsid w:val="003E1DAA"/>
    <w:rsid w:val="003E30D8"/>
    <w:rsid w:val="003E3CE5"/>
    <w:rsid w:val="003E4612"/>
    <w:rsid w:val="003E5F15"/>
    <w:rsid w:val="003E5F5D"/>
    <w:rsid w:val="003E76BF"/>
    <w:rsid w:val="003E76FD"/>
    <w:rsid w:val="003E7B2B"/>
    <w:rsid w:val="003F0408"/>
    <w:rsid w:val="003F2D4B"/>
    <w:rsid w:val="003F722C"/>
    <w:rsid w:val="004027DA"/>
    <w:rsid w:val="00403289"/>
    <w:rsid w:val="00403836"/>
    <w:rsid w:val="00403A85"/>
    <w:rsid w:val="004048AC"/>
    <w:rsid w:val="00406F76"/>
    <w:rsid w:val="00410B0F"/>
    <w:rsid w:val="00412178"/>
    <w:rsid w:val="00414F76"/>
    <w:rsid w:val="0041664A"/>
    <w:rsid w:val="00423410"/>
    <w:rsid w:val="004234D3"/>
    <w:rsid w:val="00424C6A"/>
    <w:rsid w:val="00425244"/>
    <w:rsid w:val="00425CC3"/>
    <w:rsid w:val="004325F3"/>
    <w:rsid w:val="00432A23"/>
    <w:rsid w:val="00433BC5"/>
    <w:rsid w:val="0043648E"/>
    <w:rsid w:val="0044052E"/>
    <w:rsid w:val="004405BF"/>
    <w:rsid w:val="00440E0F"/>
    <w:rsid w:val="00443004"/>
    <w:rsid w:val="00443955"/>
    <w:rsid w:val="00444556"/>
    <w:rsid w:val="004472EC"/>
    <w:rsid w:val="00453792"/>
    <w:rsid w:val="0045388D"/>
    <w:rsid w:val="004544BC"/>
    <w:rsid w:val="00457EA1"/>
    <w:rsid w:val="0046005D"/>
    <w:rsid w:val="0046021F"/>
    <w:rsid w:val="0046123B"/>
    <w:rsid w:val="00461CF7"/>
    <w:rsid w:val="0046404B"/>
    <w:rsid w:val="004653F5"/>
    <w:rsid w:val="00465A9B"/>
    <w:rsid w:val="00466FBD"/>
    <w:rsid w:val="00467C8E"/>
    <w:rsid w:val="004728A2"/>
    <w:rsid w:val="004732A0"/>
    <w:rsid w:val="0047457D"/>
    <w:rsid w:val="0047784C"/>
    <w:rsid w:val="0048070A"/>
    <w:rsid w:val="0048101B"/>
    <w:rsid w:val="00481F4C"/>
    <w:rsid w:val="004824E6"/>
    <w:rsid w:val="00482E8F"/>
    <w:rsid w:val="0048387C"/>
    <w:rsid w:val="004869FA"/>
    <w:rsid w:val="0048724F"/>
    <w:rsid w:val="00487C73"/>
    <w:rsid w:val="00491943"/>
    <w:rsid w:val="0049472C"/>
    <w:rsid w:val="00497C4F"/>
    <w:rsid w:val="004A068C"/>
    <w:rsid w:val="004A137F"/>
    <w:rsid w:val="004A1883"/>
    <w:rsid w:val="004A2227"/>
    <w:rsid w:val="004A29C3"/>
    <w:rsid w:val="004A2F11"/>
    <w:rsid w:val="004A31FA"/>
    <w:rsid w:val="004A34FB"/>
    <w:rsid w:val="004A41A7"/>
    <w:rsid w:val="004A4FC8"/>
    <w:rsid w:val="004A5431"/>
    <w:rsid w:val="004A5D4C"/>
    <w:rsid w:val="004A7017"/>
    <w:rsid w:val="004B1731"/>
    <w:rsid w:val="004B510D"/>
    <w:rsid w:val="004B549C"/>
    <w:rsid w:val="004B592D"/>
    <w:rsid w:val="004C21FA"/>
    <w:rsid w:val="004C4D3B"/>
    <w:rsid w:val="004C749F"/>
    <w:rsid w:val="004C78EB"/>
    <w:rsid w:val="004D08B8"/>
    <w:rsid w:val="004D0979"/>
    <w:rsid w:val="004D1B2A"/>
    <w:rsid w:val="004D2E21"/>
    <w:rsid w:val="004D6F2A"/>
    <w:rsid w:val="004D7BB3"/>
    <w:rsid w:val="004E56A0"/>
    <w:rsid w:val="004E68D9"/>
    <w:rsid w:val="004F01AD"/>
    <w:rsid w:val="005001D3"/>
    <w:rsid w:val="005011B1"/>
    <w:rsid w:val="00501E40"/>
    <w:rsid w:val="005044F8"/>
    <w:rsid w:val="0050491B"/>
    <w:rsid w:val="00504C62"/>
    <w:rsid w:val="00505656"/>
    <w:rsid w:val="00506788"/>
    <w:rsid w:val="005073C1"/>
    <w:rsid w:val="005108C9"/>
    <w:rsid w:val="00511827"/>
    <w:rsid w:val="00511C3D"/>
    <w:rsid w:val="00513203"/>
    <w:rsid w:val="00514111"/>
    <w:rsid w:val="00514C9A"/>
    <w:rsid w:val="00517DCE"/>
    <w:rsid w:val="00521399"/>
    <w:rsid w:val="00522D53"/>
    <w:rsid w:val="00523927"/>
    <w:rsid w:val="00524197"/>
    <w:rsid w:val="00524A9C"/>
    <w:rsid w:val="0052742D"/>
    <w:rsid w:val="005308DE"/>
    <w:rsid w:val="00533751"/>
    <w:rsid w:val="00533945"/>
    <w:rsid w:val="00534B22"/>
    <w:rsid w:val="00534DED"/>
    <w:rsid w:val="00536D16"/>
    <w:rsid w:val="005410CF"/>
    <w:rsid w:val="00541AE7"/>
    <w:rsid w:val="005421D1"/>
    <w:rsid w:val="00542D5F"/>
    <w:rsid w:val="0054367F"/>
    <w:rsid w:val="00543A8C"/>
    <w:rsid w:val="00543F57"/>
    <w:rsid w:val="005444FD"/>
    <w:rsid w:val="0054652B"/>
    <w:rsid w:val="005518CF"/>
    <w:rsid w:val="00551999"/>
    <w:rsid w:val="00551B01"/>
    <w:rsid w:val="00557B6A"/>
    <w:rsid w:val="005605BC"/>
    <w:rsid w:val="00560848"/>
    <w:rsid w:val="00560CA1"/>
    <w:rsid w:val="00562937"/>
    <w:rsid w:val="00563F90"/>
    <w:rsid w:val="00564432"/>
    <w:rsid w:val="0056671D"/>
    <w:rsid w:val="00567989"/>
    <w:rsid w:val="00571C48"/>
    <w:rsid w:val="00571EB9"/>
    <w:rsid w:val="005733E9"/>
    <w:rsid w:val="00576366"/>
    <w:rsid w:val="00580409"/>
    <w:rsid w:val="005804C7"/>
    <w:rsid w:val="00581020"/>
    <w:rsid w:val="00582FCF"/>
    <w:rsid w:val="005835D5"/>
    <w:rsid w:val="00584155"/>
    <w:rsid w:val="00590895"/>
    <w:rsid w:val="00594EDC"/>
    <w:rsid w:val="00596362"/>
    <w:rsid w:val="00597DF4"/>
    <w:rsid w:val="00597F4E"/>
    <w:rsid w:val="005A0123"/>
    <w:rsid w:val="005A1F2A"/>
    <w:rsid w:val="005A35DD"/>
    <w:rsid w:val="005A4142"/>
    <w:rsid w:val="005A4643"/>
    <w:rsid w:val="005B17E3"/>
    <w:rsid w:val="005B2B67"/>
    <w:rsid w:val="005B2F01"/>
    <w:rsid w:val="005B3808"/>
    <w:rsid w:val="005B3DA5"/>
    <w:rsid w:val="005B3FE0"/>
    <w:rsid w:val="005B46D6"/>
    <w:rsid w:val="005B48DD"/>
    <w:rsid w:val="005B5344"/>
    <w:rsid w:val="005B592C"/>
    <w:rsid w:val="005B5C04"/>
    <w:rsid w:val="005C430B"/>
    <w:rsid w:val="005C510D"/>
    <w:rsid w:val="005C52C2"/>
    <w:rsid w:val="005C5FF3"/>
    <w:rsid w:val="005C770B"/>
    <w:rsid w:val="005C792A"/>
    <w:rsid w:val="005C7C45"/>
    <w:rsid w:val="005D1C58"/>
    <w:rsid w:val="005D1E7F"/>
    <w:rsid w:val="005D301A"/>
    <w:rsid w:val="005D43DB"/>
    <w:rsid w:val="005D65AA"/>
    <w:rsid w:val="005D67C4"/>
    <w:rsid w:val="005E00C0"/>
    <w:rsid w:val="005E0CC9"/>
    <w:rsid w:val="005E18D7"/>
    <w:rsid w:val="005E3341"/>
    <w:rsid w:val="005E37CB"/>
    <w:rsid w:val="005E5357"/>
    <w:rsid w:val="005E5ED4"/>
    <w:rsid w:val="005E5F49"/>
    <w:rsid w:val="005E611F"/>
    <w:rsid w:val="005E699E"/>
    <w:rsid w:val="005F0083"/>
    <w:rsid w:val="005F1F81"/>
    <w:rsid w:val="005F1F8A"/>
    <w:rsid w:val="005F2EB0"/>
    <w:rsid w:val="005F3F7C"/>
    <w:rsid w:val="005F48EF"/>
    <w:rsid w:val="005F5C8C"/>
    <w:rsid w:val="006008B4"/>
    <w:rsid w:val="00600E3E"/>
    <w:rsid w:val="00601082"/>
    <w:rsid w:val="00602789"/>
    <w:rsid w:val="00603E30"/>
    <w:rsid w:val="006046E9"/>
    <w:rsid w:val="00605ED9"/>
    <w:rsid w:val="00605FE6"/>
    <w:rsid w:val="00606354"/>
    <w:rsid w:val="00607FD5"/>
    <w:rsid w:val="00611E3C"/>
    <w:rsid w:val="00614F68"/>
    <w:rsid w:val="0061608F"/>
    <w:rsid w:val="00616F9E"/>
    <w:rsid w:val="00620AD7"/>
    <w:rsid w:val="00621A2C"/>
    <w:rsid w:val="00624C72"/>
    <w:rsid w:val="00625DF0"/>
    <w:rsid w:val="00631246"/>
    <w:rsid w:val="00632C3D"/>
    <w:rsid w:val="00633A17"/>
    <w:rsid w:val="00633E5B"/>
    <w:rsid w:val="006353D3"/>
    <w:rsid w:val="00635907"/>
    <w:rsid w:val="00637258"/>
    <w:rsid w:val="00640EF6"/>
    <w:rsid w:val="00641670"/>
    <w:rsid w:val="006420AA"/>
    <w:rsid w:val="006462D3"/>
    <w:rsid w:val="00646A0C"/>
    <w:rsid w:val="0064727B"/>
    <w:rsid w:val="00650396"/>
    <w:rsid w:val="0065067A"/>
    <w:rsid w:val="00650B5D"/>
    <w:rsid w:val="00650CD0"/>
    <w:rsid w:val="00652B37"/>
    <w:rsid w:val="00653DB3"/>
    <w:rsid w:val="006558C3"/>
    <w:rsid w:val="00657EB0"/>
    <w:rsid w:val="0066067E"/>
    <w:rsid w:val="006623A3"/>
    <w:rsid w:val="00663893"/>
    <w:rsid w:val="006638DC"/>
    <w:rsid w:val="00663DA1"/>
    <w:rsid w:val="0066474E"/>
    <w:rsid w:val="00664D59"/>
    <w:rsid w:val="00664FA8"/>
    <w:rsid w:val="006655AF"/>
    <w:rsid w:val="00666E21"/>
    <w:rsid w:val="006677CA"/>
    <w:rsid w:val="0067109A"/>
    <w:rsid w:val="00671C28"/>
    <w:rsid w:val="0067211F"/>
    <w:rsid w:val="00673021"/>
    <w:rsid w:val="00674B90"/>
    <w:rsid w:val="0067579E"/>
    <w:rsid w:val="0067794C"/>
    <w:rsid w:val="00680649"/>
    <w:rsid w:val="006822FE"/>
    <w:rsid w:val="00682D38"/>
    <w:rsid w:val="006851CF"/>
    <w:rsid w:val="006865EA"/>
    <w:rsid w:val="00687598"/>
    <w:rsid w:val="00687CF5"/>
    <w:rsid w:val="00687FD3"/>
    <w:rsid w:val="00690F01"/>
    <w:rsid w:val="00691504"/>
    <w:rsid w:val="00691817"/>
    <w:rsid w:val="0069189C"/>
    <w:rsid w:val="006924B8"/>
    <w:rsid w:val="006928E2"/>
    <w:rsid w:val="00693B63"/>
    <w:rsid w:val="00695952"/>
    <w:rsid w:val="00696DC0"/>
    <w:rsid w:val="006A0C17"/>
    <w:rsid w:val="006A43A9"/>
    <w:rsid w:val="006A508F"/>
    <w:rsid w:val="006A50CB"/>
    <w:rsid w:val="006A5108"/>
    <w:rsid w:val="006A76E9"/>
    <w:rsid w:val="006A7807"/>
    <w:rsid w:val="006B2515"/>
    <w:rsid w:val="006B6935"/>
    <w:rsid w:val="006B74F1"/>
    <w:rsid w:val="006C0076"/>
    <w:rsid w:val="006C1CDD"/>
    <w:rsid w:val="006C277B"/>
    <w:rsid w:val="006C3702"/>
    <w:rsid w:val="006C63AE"/>
    <w:rsid w:val="006C65B8"/>
    <w:rsid w:val="006C6769"/>
    <w:rsid w:val="006D18D4"/>
    <w:rsid w:val="006D1F63"/>
    <w:rsid w:val="006D2481"/>
    <w:rsid w:val="006D3CB1"/>
    <w:rsid w:val="006D4BC7"/>
    <w:rsid w:val="006D562D"/>
    <w:rsid w:val="006E4D3F"/>
    <w:rsid w:val="006E7AEB"/>
    <w:rsid w:val="006E7BDC"/>
    <w:rsid w:val="006F2163"/>
    <w:rsid w:val="006F5A37"/>
    <w:rsid w:val="006F6D95"/>
    <w:rsid w:val="007001B0"/>
    <w:rsid w:val="007002A1"/>
    <w:rsid w:val="007003CC"/>
    <w:rsid w:val="007016B7"/>
    <w:rsid w:val="0070352B"/>
    <w:rsid w:val="00707D7A"/>
    <w:rsid w:val="00707DA4"/>
    <w:rsid w:val="007146F6"/>
    <w:rsid w:val="007151E7"/>
    <w:rsid w:val="007159C5"/>
    <w:rsid w:val="00720B17"/>
    <w:rsid w:val="00720FE0"/>
    <w:rsid w:val="00724094"/>
    <w:rsid w:val="007242C1"/>
    <w:rsid w:val="007258AC"/>
    <w:rsid w:val="00726CC5"/>
    <w:rsid w:val="00726EBC"/>
    <w:rsid w:val="007279F3"/>
    <w:rsid w:val="00727F16"/>
    <w:rsid w:val="00730930"/>
    <w:rsid w:val="007316DE"/>
    <w:rsid w:val="00732EBD"/>
    <w:rsid w:val="00734282"/>
    <w:rsid w:val="0073452E"/>
    <w:rsid w:val="0073568F"/>
    <w:rsid w:val="00735A02"/>
    <w:rsid w:val="00736A9D"/>
    <w:rsid w:val="00736D61"/>
    <w:rsid w:val="0073701D"/>
    <w:rsid w:val="00740406"/>
    <w:rsid w:val="007405C2"/>
    <w:rsid w:val="00741E80"/>
    <w:rsid w:val="007421A0"/>
    <w:rsid w:val="00745659"/>
    <w:rsid w:val="00747FB7"/>
    <w:rsid w:val="00750216"/>
    <w:rsid w:val="00751A71"/>
    <w:rsid w:val="00751C81"/>
    <w:rsid w:val="0075287D"/>
    <w:rsid w:val="00752943"/>
    <w:rsid w:val="007569CA"/>
    <w:rsid w:val="00760E40"/>
    <w:rsid w:val="00760F8D"/>
    <w:rsid w:val="007611AB"/>
    <w:rsid w:val="00762AA4"/>
    <w:rsid w:val="00763692"/>
    <w:rsid w:val="00764A01"/>
    <w:rsid w:val="00764E4F"/>
    <w:rsid w:val="00765870"/>
    <w:rsid w:val="00765F94"/>
    <w:rsid w:val="00770687"/>
    <w:rsid w:val="00771AEF"/>
    <w:rsid w:val="0077209C"/>
    <w:rsid w:val="007720DF"/>
    <w:rsid w:val="007726C1"/>
    <w:rsid w:val="007741DD"/>
    <w:rsid w:val="00774B87"/>
    <w:rsid w:val="007765C9"/>
    <w:rsid w:val="00777706"/>
    <w:rsid w:val="007831BE"/>
    <w:rsid w:val="00783715"/>
    <w:rsid w:val="00790C27"/>
    <w:rsid w:val="0079114C"/>
    <w:rsid w:val="00791783"/>
    <w:rsid w:val="00791C10"/>
    <w:rsid w:val="007A0BC3"/>
    <w:rsid w:val="007A2FEE"/>
    <w:rsid w:val="007A5826"/>
    <w:rsid w:val="007A5DD1"/>
    <w:rsid w:val="007B3C07"/>
    <w:rsid w:val="007B40FC"/>
    <w:rsid w:val="007B521D"/>
    <w:rsid w:val="007B5539"/>
    <w:rsid w:val="007C278C"/>
    <w:rsid w:val="007C30AD"/>
    <w:rsid w:val="007C3876"/>
    <w:rsid w:val="007C6C2F"/>
    <w:rsid w:val="007C6F4B"/>
    <w:rsid w:val="007C7F5D"/>
    <w:rsid w:val="007D1086"/>
    <w:rsid w:val="007D1894"/>
    <w:rsid w:val="007D1B63"/>
    <w:rsid w:val="007D2195"/>
    <w:rsid w:val="007D222E"/>
    <w:rsid w:val="007D2557"/>
    <w:rsid w:val="007D5BAE"/>
    <w:rsid w:val="007D6CD6"/>
    <w:rsid w:val="007D7C81"/>
    <w:rsid w:val="007E1229"/>
    <w:rsid w:val="007E16E2"/>
    <w:rsid w:val="007E277D"/>
    <w:rsid w:val="007E4A4D"/>
    <w:rsid w:val="007E571F"/>
    <w:rsid w:val="007E57FA"/>
    <w:rsid w:val="007E5989"/>
    <w:rsid w:val="007E6778"/>
    <w:rsid w:val="007E7291"/>
    <w:rsid w:val="007F0323"/>
    <w:rsid w:val="007F0C6A"/>
    <w:rsid w:val="007F10B7"/>
    <w:rsid w:val="007F12F9"/>
    <w:rsid w:val="007F2A90"/>
    <w:rsid w:val="007F2AB9"/>
    <w:rsid w:val="007F37EB"/>
    <w:rsid w:val="007F52A0"/>
    <w:rsid w:val="007F60A0"/>
    <w:rsid w:val="007F6433"/>
    <w:rsid w:val="007F6534"/>
    <w:rsid w:val="007F6CB8"/>
    <w:rsid w:val="007F6E21"/>
    <w:rsid w:val="00800FBD"/>
    <w:rsid w:val="008040BB"/>
    <w:rsid w:val="00804570"/>
    <w:rsid w:val="00805113"/>
    <w:rsid w:val="00805397"/>
    <w:rsid w:val="0080561E"/>
    <w:rsid w:val="00807317"/>
    <w:rsid w:val="008074AC"/>
    <w:rsid w:val="00807B00"/>
    <w:rsid w:val="00811200"/>
    <w:rsid w:val="00811BC9"/>
    <w:rsid w:val="008128DF"/>
    <w:rsid w:val="00812A7E"/>
    <w:rsid w:val="00812FB0"/>
    <w:rsid w:val="00813276"/>
    <w:rsid w:val="00813A65"/>
    <w:rsid w:val="00813E1D"/>
    <w:rsid w:val="008142AA"/>
    <w:rsid w:val="00814C7B"/>
    <w:rsid w:val="00817F43"/>
    <w:rsid w:val="00820B3F"/>
    <w:rsid w:val="00824669"/>
    <w:rsid w:val="008246E7"/>
    <w:rsid w:val="0082582F"/>
    <w:rsid w:val="00825E08"/>
    <w:rsid w:val="00826716"/>
    <w:rsid w:val="00827BF2"/>
    <w:rsid w:val="00827EFD"/>
    <w:rsid w:val="00830DF4"/>
    <w:rsid w:val="00830E01"/>
    <w:rsid w:val="008314FD"/>
    <w:rsid w:val="008316C2"/>
    <w:rsid w:val="0083298D"/>
    <w:rsid w:val="00833EFF"/>
    <w:rsid w:val="00837CDF"/>
    <w:rsid w:val="00837F03"/>
    <w:rsid w:val="0084082D"/>
    <w:rsid w:val="008416E1"/>
    <w:rsid w:val="00841828"/>
    <w:rsid w:val="008424DA"/>
    <w:rsid w:val="00842E93"/>
    <w:rsid w:val="00843B47"/>
    <w:rsid w:val="00843BEA"/>
    <w:rsid w:val="00844A63"/>
    <w:rsid w:val="00845250"/>
    <w:rsid w:val="0084580F"/>
    <w:rsid w:val="00845917"/>
    <w:rsid w:val="00845AC1"/>
    <w:rsid w:val="00845E32"/>
    <w:rsid w:val="00846EB5"/>
    <w:rsid w:val="00851715"/>
    <w:rsid w:val="00851CDD"/>
    <w:rsid w:val="0085261D"/>
    <w:rsid w:val="00854D1E"/>
    <w:rsid w:val="00857E6B"/>
    <w:rsid w:val="00860017"/>
    <w:rsid w:val="00862914"/>
    <w:rsid w:val="00862BF1"/>
    <w:rsid w:val="008633A9"/>
    <w:rsid w:val="00863563"/>
    <w:rsid w:val="00865E76"/>
    <w:rsid w:val="00867AA2"/>
    <w:rsid w:val="00876167"/>
    <w:rsid w:val="00876347"/>
    <w:rsid w:val="0088090E"/>
    <w:rsid w:val="00882031"/>
    <w:rsid w:val="00882FA4"/>
    <w:rsid w:val="00884926"/>
    <w:rsid w:val="00890C3D"/>
    <w:rsid w:val="00893172"/>
    <w:rsid w:val="008945E2"/>
    <w:rsid w:val="00894E87"/>
    <w:rsid w:val="008959B7"/>
    <w:rsid w:val="00895A60"/>
    <w:rsid w:val="00896F88"/>
    <w:rsid w:val="00896FC3"/>
    <w:rsid w:val="008A52E4"/>
    <w:rsid w:val="008A56D0"/>
    <w:rsid w:val="008A71F8"/>
    <w:rsid w:val="008A7675"/>
    <w:rsid w:val="008B0BC1"/>
    <w:rsid w:val="008B3CBD"/>
    <w:rsid w:val="008B4034"/>
    <w:rsid w:val="008B445D"/>
    <w:rsid w:val="008B4921"/>
    <w:rsid w:val="008B5321"/>
    <w:rsid w:val="008B7FD4"/>
    <w:rsid w:val="008C0368"/>
    <w:rsid w:val="008C0408"/>
    <w:rsid w:val="008C2647"/>
    <w:rsid w:val="008C2A0D"/>
    <w:rsid w:val="008C32CF"/>
    <w:rsid w:val="008C52A5"/>
    <w:rsid w:val="008C5E44"/>
    <w:rsid w:val="008C6F13"/>
    <w:rsid w:val="008C79AC"/>
    <w:rsid w:val="008D029F"/>
    <w:rsid w:val="008D114B"/>
    <w:rsid w:val="008D2EA6"/>
    <w:rsid w:val="008D36DA"/>
    <w:rsid w:val="008D453C"/>
    <w:rsid w:val="008D53BE"/>
    <w:rsid w:val="008D7E5A"/>
    <w:rsid w:val="008E24C5"/>
    <w:rsid w:val="008E37B9"/>
    <w:rsid w:val="008E52C1"/>
    <w:rsid w:val="008F0E44"/>
    <w:rsid w:val="008F1A1A"/>
    <w:rsid w:val="008F206D"/>
    <w:rsid w:val="008F2C97"/>
    <w:rsid w:val="008F4FD4"/>
    <w:rsid w:val="008F5AF3"/>
    <w:rsid w:val="008F5D6C"/>
    <w:rsid w:val="009008E5"/>
    <w:rsid w:val="009009B5"/>
    <w:rsid w:val="00900C57"/>
    <w:rsid w:val="009026A5"/>
    <w:rsid w:val="009040C0"/>
    <w:rsid w:val="009042AC"/>
    <w:rsid w:val="00904A88"/>
    <w:rsid w:val="009067FA"/>
    <w:rsid w:val="00907ACF"/>
    <w:rsid w:val="00907AD3"/>
    <w:rsid w:val="00913DA6"/>
    <w:rsid w:val="00914612"/>
    <w:rsid w:val="00914968"/>
    <w:rsid w:val="00916F28"/>
    <w:rsid w:val="00920EE3"/>
    <w:rsid w:val="00921322"/>
    <w:rsid w:val="0092220C"/>
    <w:rsid w:val="00922AE5"/>
    <w:rsid w:val="00926F6A"/>
    <w:rsid w:val="00927A4E"/>
    <w:rsid w:val="00927E7F"/>
    <w:rsid w:val="0093074C"/>
    <w:rsid w:val="00934860"/>
    <w:rsid w:val="00934F06"/>
    <w:rsid w:val="009355D8"/>
    <w:rsid w:val="00935E55"/>
    <w:rsid w:val="0093648D"/>
    <w:rsid w:val="00936DDA"/>
    <w:rsid w:val="00937277"/>
    <w:rsid w:val="0094083B"/>
    <w:rsid w:val="009436DC"/>
    <w:rsid w:val="009443CF"/>
    <w:rsid w:val="00947A2F"/>
    <w:rsid w:val="009504CD"/>
    <w:rsid w:val="009516EC"/>
    <w:rsid w:val="00951909"/>
    <w:rsid w:val="00954044"/>
    <w:rsid w:val="0096062F"/>
    <w:rsid w:val="00961AAA"/>
    <w:rsid w:val="00962558"/>
    <w:rsid w:val="00962D72"/>
    <w:rsid w:val="00963AC0"/>
    <w:rsid w:val="00963C71"/>
    <w:rsid w:val="009652F1"/>
    <w:rsid w:val="00965692"/>
    <w:rsid w:val="00970A35"/>
    <w:rsid w:val="00972CE9"/>
    <w:rsid w:val="00973EBB"/>
    <w:rsid w:val="00974A0E"/>
    <w:rsid w:val="00974E25"/>
    <w:rsid w:val="009758AF"/>
    <w:rsid w:val="0097738C"/>
    <w:rsid w:val="009776B5"/>
    <w:rsid w:val="009778B9"/>
    <w:rsid w:val="00977FFD"/>
    <w:rsid w:val="0098082B"/>
    <w:rsid w:val="00985084"/>
    <w:rsid w:val="009851D4"/>
    <w:rsid w:val="00985752"/>
    <w:rsid w:val="009869D9"/>
    <w:rsid w:val="00987BFC"/>
    <w:rsid w:val="0099137B"/>
    <w:rsid w:val="00991932"/>
    <w:rsid w:val="0099286A"/>
    <w:rsid w:val="00996081"/>
    <w:rsid w:val="009A1CEA"/>
    <w:rsid w:val="009A2CF7"/>
    <w:rsid w:val="009A3273"/>
    <w:rsid w:val="009A3710"/>
    <w:rsid w:val="009A3A61"/>
    <w:rsid w:val="009A40ED"/>
    <w:rsid w:val="009A50A0"/>
    <w:rsid w:val="009A5D06"/>
    <w:rsid w:val="009A7D38"/>
    <w:rsid w:val="009A7D6E"/>
    <w:rsid w:val="009B0BC8"/>
    <w:rsid w:val="009B2B33"/>
    <w:rsid w:val="009B3009"/>
    <w:rsid w:val="009B3787"/>
    <w:rsid w:val="009B69FA"/>
    <w:rsid w:val="009C0B40"/>
    <w:rsid w:val="009C1E0A"/>
    <w:rsid w:val="009C240E"/>
    <w:rsid w:val="009C567D"/>
    <w:rsid w:val="009D0C1B"/>
    <w:rsid w:val="009D0CFE"/>
    <w:rsid w:val="009D1A9F"/>
    <w:rsid w:val="009D5E7A"/>
    <w:rsid w:val="009D68B6"/>
    <w:rsid w:val="009D7029"/>
    <w:rsid w:val="009D7ADE"/>
    <w:rsid w:val="009D7F41"/>
    <w:rsid w:val="009E1888"/>
    <w:rsid w:val="009E1984"/>
    <w:rsid w:val="009E37DF"/>
    <w:rsid w:val="009E43F7"/>
    <w:rsid w:val="009E5A76"/>
    <w:rsid w:val="009E653B"/>
    <w:rsid w:val="009F0BE3"/>
    <w:rsid w:val="009F35D9"/>
    <w:rsid w:val="009F3F10"/>
    <w:rsid w:val="009F5265"/>
    <w:rsid w:val="009F7311"/>
    <w:rsid w:val="00A0075C"/>
    <w:rsid w:val="00A011F8"/>
    <w:rsid w:val="00A036A6"/>
    <w:rsid w:val="00A04D84"/>
    <w:rsid w:val="00A06E6C"/>
    <w:rsid w:val="00A127CA"/>
    <w:rsid w:val="00A15D76"/>
    <w:rsid w:val="00A16109"/>
    <w:rsid w:val="00A20149"/>
    <w:rsid w:val="00A20B5D"/>
    <w:rsid w:val="00A21B83"/>
    <w:rsid w:val="00A22262"/>
    <w:rsid w:val="00A2343D"/>
    <w:rsid w:val="00A24CE5"/>
    <w:rsid w:val="00A2511C"/>
    <w:rsid w:val="00A26758"/>
    <w:rsid w:val="00A31340"/>
    <w:rsid w:val="00A34403"/>
    <w:rsid w:val="00A35F96"/>
    <w:rsid w:val="00A36FDE"/>
    <w:rsid w:val="00A40482"/>
    <w:rsid w:val="00A412DF"/>
    <w:rsid w:val="00A46D29"/>
    <w:rsid w:val="00A471FA"/>
    <w:rsid w:val="00A51254"/>
    <w:rsid w:val="00A517EE"/>
    <w:rsid w:val="00A522C1"/>
    <w:rsid w:val="00A53B6B"/>
    <w:rsid w:val="00A55009"/>
    <w:rsid w:val="00A64FD1"/>
    <w:rsid w:val="00A65167"/>
    <w:rsid w:val="00A707FB"/>
    <w:rsid w:val="00A72B61"/>
    <w:rsid w:val="00A74DD8"/>
    <w:rsid w:val="00A75692"/>
    <w:rsid w:val="00A80B6A"/>
    <w:rsid w:val="00A81F17"/>
    <w:rsid w:val="00A83214"/>
    <w:rsid w:val="00A835C0"/>
    <w:rsid w:val="00A8604E"/>
    <w:rsid w:val="00A869D0"/>
    <w:rsid w:val="00A9106F"/>
    <w:rsid w:val="00A913B2"/>
    <w:rsid w:val="00A913C6"/>
    <w:rsid w:val="00A9205D"/>
    <w:rsid w:val="00A9383A"/>
    <w:rsid w:val="00A93873"/>
    <w:rsid w:val="00A94082"/>
    <w:rsid w:val="00AA05C3"/>
    <w:rsid w:val="00AA0C86"/>
    <w:rsid w:val="00AA1AFB"/>
    <w:rsid w:val="00AA1C39"/>
    <w:rsid w:val="00AA5143"/>
    <w:rsid w:val="00AB24B2"/>
    <w:rsid w:val="00AB2940"/>
    <w:rsid w:val="00AB5E75"/>
    <w:rsid w:val="00AB62E3"/>
    <w:rsid w:val="00AB6C6E"/>
    <w:rsid w:val="00AC1F2F"/>
    <w:rsid w:val="00AC231D"/>
    <w:rsid w:val="00AC2FEB"/>
    <w:rsid w:val="00AC460A"/>
    <w:rsid w:val="00AC4C4D"/>
    <w:rsid w:val="00AC5359"/>
    <w:rsid w:val="00AC6C65"/>
    <w:rsid w:val="00AC793F"/>
    <w:rsid w:val="00AD1460"/>
    <w:rsid w:val="00AD1C7C"/>
    <w:rsid w:val="00AD2FF4"/>
    <w:rsid w:val="00AD3D9B"/>
    <w:rsid w:val="00AD6C40"/>
    <w:rsid w:val="00AE1495"/>
    <w:rsid w:val="00AE1BF9"/>
    <w:rsid w:val="00AE3F7E"/>
    <w:rsid w:val="00AE44AC"/>
    <w:rsid w:val="00AE6D94"/>
    <w:rsid w:val="00AE739A"/>
    <w:rsid w:val="00AF0673"/>
    <w:rsid w:val="00AF0A58"/>
    <w:rsid w:val="00AF0C7F"/>
    <w:rsid w:val="00AF1074"/>
    <w:rsid w:val="00AF1D8B"/>
    <w:rsid w:val="00AF2C92"/>
    <w:rsid w:val="00AF582A"/>
    <w:rsid w:val="00AF5AF5"/>
    <w:rsid w:val="00AF71CF"/>
    <w:rsid w:val="00B009CC"/>
    <w:rsid w:val="00B00CBD"/>
    <w:rsid w:val="00B0253C"/>
    <w:rsid w:val="00B02658"/>
    <w:rsid w:val="00B029A0"/>
    <w:rsid w:val="00B0412F"/>
    <w:rsid w:val="00B04ABA"/>
    <w:rsid w:val="00B07740"/>
    <w:rsid w:val="00B079D6"/>
    <w:rsid w:val="00B108AB"/>
    <w:rsid w:val="00B13095"/>
    <w:rsid w:val="00B13B12"/>
    <w:rsid w:val="00B157F5"/>
    <w:rsid w:val="00B16186"/>
    <w:rsid w:val="00B164CE"/>
    <w:rsid w:val="00B1654F"/>
    <w:rsid w:val="00B16C03"/>
    <w:rsid w:val="00B16D4C"/>
    <w:rsid w:val="00B17A0A"/>
    <w:rsid w:val="00B17FF1"/>
    <w:rsid w:val="00B20020"/>
    <w:rsid w:val="00B205FF"/>
    <w:rsid w:val="00B22F14"/>
    <w:rsid w:val="00B23109"/>
    <w:rsid w:val="00B23F83"/>
    <w:rsid w:val="00B2456E"/>
    <w:rsid w:val="00B25050"/>
    <w:rsid w:val="00B27891"/>
    <w:rsid w:val="00B3084A"/>
    <w:rsid w:val="00B32AFB"/>
    <w:rsid w:val="00B32FD4"/>
    <w:rsid w:val="00B33507"/>
    <w:rsid w:val="00B33535"/>
    <w:rsid w:val="00B33C90"/>
    <w:rsid w:val="00B35C4B"/>
    <w:rsid w:val="00B366AA"/>
    <w:rsid w:val="00B3759A"/>
    <w:rsid w:val="00B402F5"/>
    <w:rsid w:val="00B407B8"/>
    <w:rsid w:val="00B408C1"/>
    <w:rsid w:val="00B42680"/>
    <w:rsid w:val="00B426AA"/>
    <w:rsid w:val="00B44AE7"/>
    <w:rsid w:val="00B44AF9"/>
    <w:rsid w:val="00B44E9E"/>
    <w:rsid w:val="00B46253"/>
    <w:rsid w:val="00B46662"/>
    <w:rsid w:val="00B5091D"/>
    <w:rsid w:val="00B50ED6"/>
    <w:rsid w:val="00B517C1"/>
    <w:rsid w:val="00B5183C"/>
    <w:rsid w:val="00B61DF1"/>
    <w:rsid w:val="00B62115"/>
    <w:rsid w:val="00B64857"/>
    <w:rsid w:val="00B66FEA"/>
    <w:rsid w:val="00B70B6D"/>
    <w:rsid w:val="00B70FE1"/>
    <w:rsid w:val="00B712EE"/>
    <w:rsid w:val="00B7172F"/>
    <w:rsid w:val="00B71C18"/>
    <w:rsid w:val="00B744FD"/>
    <w:rsid w:val="00B75F45"/>
    <w:rsid w:val="00B760AA"/>
    <w:rsid w:val="00B774EA"/>
    <w:rsid w:val="00B81E51"/>
    <w:rsid w:val="00B83AB4"/>
    <w:rsid w:val="00B8449A"/>
    <w:rsid w:val="00B844A6"/>
    <w:rsid w:val="00B85992"/>
    <w:rsid w:val="00B86430"/>
    <w:rsid w:val="00B92C34"/>
    <w:rsid w:val="00B94A4A"/>
    <w:rsid w:val="00BA05FC"/>
    <w:rsid w:val="00BA0C1A"/>
    <w:rsid w:val="00BA1F57"/>
    <w:rsid w:val="00BA203B"/>
    <w:rsid w:val="00BA2BBB"/>
    <w:rsid w:val="00BA5D04"/>
    <w:rsid w:val="00BA62FF"/>
    <w:rsid w:val="00BB0208"/>
    <w:rsid w:val="00BB0EB3"/>
    <w:rsid w:val="00BB1F5C"/>
    <w:rsid w:val="00BB371B"/>
    <w:rsid w:val="00BB3D26"/>
    <w:rsid w:val="00BB6EB6"/>
    <w:rsid w:val="00BB7D02"/>
    <w:rsid w:val="00BC0011"/>
    <w:rsid w:val="00BC18A2"/>
    <w:rsid w:val="00BC4025"/>
    <w:rsid w:val="00BC51D7"/>
    <w:rsid w:val="00BC5881"/>
    <w:rsid w:val="00BC6A9E"/>
    <w:rsid w:val="00BD41F4"/>
    <w:rsid w:val="00BD519D"/>
    <w:rsid w:val="00BD5E68"/>
    <w:rsid w:val="00BD6274"/>
    <w:rsid w:val="00BD66F2"/>
    <w:rsid w:val="00BD77D6"/>
    <w:rsid w:val="00BE0E80"/>
    <w:rsid w:val="00BE1266"/>
    <w:rsid w:val="00BE2F91"/>
    <w:rsid w:val="00BE3176"/>
    <w:rsid w:val="00BE5A77"/>
    <w:rsid w:val="00BE5A84"/>
    <w:rsid w:val="00BE68DC"/>
    <w:rsid w:val="00BE6AE7"/>
    <w:rsid w:val="00BE7F3E"/>
    <w:rsid w:val="00BF1D59"/>
    <w:rsid w:val="00BF3357"/>
    <w:rsid w:val="00BF60D9"/>
    <w:rsid w:val="00BF74FE"/>
    <w:rsid w:val="00BF7D3D"/>
    <w:rsid w:val="00C0067D"/>
    <w:rsid w:val="00C01D27"/>
    <w:rsid w:val="00C05B4C"/>
    <w:rsid w:val="00C06A2F"/>
    <w:rsid w:val="00C11C2D"/>
    <w:rsid w:val="00C15C78"/>
    <w:rsid w:val="00C16215"/>
    <w:rsid w:val="00C17160"/>
    <w:rsid w:val="00C201A9"/>
    <w:rsid w:val="00C227D5"/>
    <w:rsid w:val="00C22E4C"/>
    <w:rsid w:val="00C22F4E"/>
    <w:rsid w:val="00C25B56"/>
    <w:rsid w:val="00C315DB"/>
    <w:rsid w:val="00C33F5B"/>
    <w:rsid w:val="00C364BE"/>
    <w:rsid w:val="00C3684E"/>
    <w:rsid w:val="00C3710C"/>
    <w:rsid w:val="00C40807"/>
    <w:rsid w:val="00C42160"/>
    <w:rsid w:val="00C45286"/>
    <w:rsid w:val="00C47943"/>
    <w:rsid w:val="00C50EFF"/>
    <w:rsid w:val="00C52EE2"/>
    <w:rsid w:val="00C55152"/>
    <w:rsid w:val="00C5669B"/>
    <w:rsid w:val="00C56C6F"/>
    <w:rsid w:val="00C57D11"/>
    <w:rsid w:val="00C61424"/>
    <w:rsid w:val="00C61481"/>
    <w:rsid w:val="00C628EF"/>
    <w:rsid w:val="00C70619"/>
    <w:rsid w:val="00C733F5"/>
    <w:rsid w:val="00C756EA"/>
    <w:rsid w:val="00C75A28"/>
    <w:rsid w:val="00C76127"/>
    <w:rsid w:val="00C76DAE"/>
    <w:rsid w:val="00C812BD"/>
    <w:rsid w:val="00C82290"/>
    <w:rsid w:val="00C83284"/>
    <w:rsid w:val="00C8366D"/>
    <w:rsid w:val="00C85122"/>
    <w:rsid w:val="00C859DD"/>
    <w:rsid w:val="00C865F9"/>
    <w:rsid w:val="00C95815"/>
    <w:rsid w:val="00C95C06"/>
    <w:rsid w:val="00CA0DEF"/>
    <w:rsid w:val="00CA2DB9"/>
    <w:rsid w:val="00CA4698"/>
    <w:rsid w:val="00CA7DD8"/>
    <w:rsid w:val="00CB3079"/>
    <w:rsid w:val="00CB3896"/>
    <w:rsid w:val="00CB474B"/>
    <w:rsid w:val="00CB6625"/>
    <w:rsid w:val="00CB7296"/>
    <w:rsid w:val="00CB78CB"/>
    <w:rsid w:val="00CB7A11"/>
    <w:rsid w:val="00CC0AAD"/>
    <w:rsid w:val="00CC2851"/>
    <w:rsid w:val="00CC74D0"/>
    <w:rsid w:val="00CD01DC"/>
    <w:rsid w:val="00CD0EF5"/>
    <w:rsid w:val="00CD3312"/>
    <w:rsid w:val="00CE0066"/>
    <w:rsid w:val="00CE0E21"/>
    <w:rsid w:val="00CE63C3"/>
    <w:rsid w:val="00CE63D9"/>
    <w:rsid w:val="00CE6866"/>
    <w:rsid w:val="00CE7841"/>
    <w:rsid w:val="00CF0237"/>
    <w:rsid w:val="00CF0A05"/>
    <w:rsid w:val="00CF2CBA"/>
    <w:rsid w:val="00CF464C"/>
    <w:rsid w:val="00CF5035"/>
    <w:rsid w:val="00D01291"/>
    <w:rsid w:val="00D0227D"/>
    <w:rsid w:val="00D0616D"/>
    <w:rsid w:val="00D10F6F"/>
    <w:rsid w:val="00D15B5C"/>
    <w:rsid w:val="00D16C33"/>
    <w:rsid w:val="00D17533"/>
    <w:rsid w:val="00D177A8"/>
    <w:rsid w:val="00D20108"/>
    <w:rsid w:val="00D204D0"/>
    <w:rsid w:val="00D22C83"/>
    <w:rsid w:val="00D24B02"/>
    <w:rsid w:val="00D25619"/>
    <w:rsid w:val="00D25B53"/>
    <w:rsid w:val="00D263EB"/>
    <w:rsid w:val="00D2693B"/>
    <w:rsid w:val="00D27549"/>
    <w:rsid w:val="00D27B21"/>
    <w:rsid w:val="00D308EE"/>
    <w:rsid w:val="00D314F5"/>
    <w:rsid w:val="00D31A40"/>
    <w:rsid w:val="00D32A4E"/>
    <w:rsid w:val="00D33DC5"/>
    <w:rsid w:val="00D34BAD"/>
    <w:rsid w:val="00D36137"/>
    <w:rsid w:val="00D36C68"/>
    <w:rsid w:val="00D40069"/>
    <w:rsid w:val="00D406CF"/>
    <w:rsid w:val="00D42DD3"/>
    <w:rsid w:val="00D44492"/>
    <w:rsid w:val="00D45326"/>
    <w:rsid w:val="00D45BBD"/>
    <w:rsid w:val="00D50FDF"/>
    <w:rsid w:val="00D54E47"/>
    <w:rsid w:val="00D5623A"/>
    <w:rsid w:val="00D60EF2"/>
    <w:rsid w:val="00D61725"/>
    <w:rsid w:val="00D621B9"/>
    <w:rsid w:val="00D63E76"/>
    <w:rsid w:val="00D653A8"/>
    <w:rsid w:val="00D665BE"/>
    <w:rsid w:val="00D7021D"/>
    <w:rsid w:val="00D71418"/>
    <w:rsid w:val="00D71784"/>
    <w:rsid w:val="00D72CAE"/>
    <w:rsid w:val="00D75A9B"/>
    <w:rsid w:val="00D75E57"/>
    <w:rsid w:val="00D801D2"/>
    <w:rsid w:val="00D84241"/>
    <w:rsid w:val="00D84C56"/>
    <w:rsid w:val="00D858FE"/>
    <w:rsid w:val="00D91E27"/>
    <w:rsid w:val="00D92872"/>
    <w:rsid w:val="00D937C4"/>
    <w:rsid w:val="00D96AD7"/>
    <w:rsid w:val="00D9707F"/>
    <w:rsid w:val="00D975AB"/>
    <w:rsid w:val="00DA028B"/>
    <w:rsid w:val="00DA2713"/>
    <w:rsid w:val="00DA4A52"/>
    <w:rsid w:val="00DA4EC3"/>
    <w:rsid w:val="00DA56B3"/>
    <w:rsid w:val="00DA6E62"/>
    <w:rsid w:val="00DA6EDB"/>
    <w:rsid w:val="00DA7E22"/>
    <w:rsid w:val="00DB09E2"/>
    <w:rsid w:val="00DB691B"/>
    <w:rsid w:val="00DB7E5B"/>
    <w:rsid w:val="00DC2AEC"/>
    <w:rsid w:val="00DC7504"/>
    <w:rsid w:val="00DD0B05"/>
    <w:rsid w:val="00DD2B32"/>
    <w:rsid w:val="00DD4722"/>
    <w:rsid w:val="00DD7CE1"/>
    <w:rsid w:val="00DE0AA1"/>
    <w:rsid w:val="00DE1EE7"/>
    <w:rsid w:val="00DE26BC"/>
    <w:rsid w:val="00DE426C"/>
    <w:rsid w:val="00DE5104"/>
    <w:rsid w:val="00DE5A29"/>
    <w:rsid w:val="00DE6426"/>
    <w:rsid w:val="00DE66C6"/>
    <w:rsid w:val="00DE7B54"/>
    <w:rsid w:val="00DF0697"/>
    <w:rsid w:val="00DF19CA"/>
    <w:rsid w:val="00DF2559"/>
    <w:rsid w:val="00DF3EE6"/>
    <w:rsid w:val="00DF4662"/>
    <w:rsid w:val="00DF6CBE"/>
    <w:rsid w:val="00DF73D9"/>
    <w:rsid w:val="00DF7C41"/>
    <w:rsid w:val="00E026EE"/>
    <w:rsid w:val="00E034B2"/>
    <w:rsid w:val="00E05DEA"/>
    <w:rsid w:val="00E070EE"/>
    <w:rsid w:val="00E11EB3"/>
    <w:rsid w:val="00E128AB"/>
    <w:rsid w:val="00E13147"/>
    <w:rsid w:val="00E14760"/>
    <w:rsid w:val="00E163E7"/>
    <w:rsid w:val="00E2062C"/>
    <w:rsid w:val="00E23DD2"/>
    <w:rsid w:val="00E2794F"/>
    <w:rsid w:val="00E27B15"/>
    <w:rsid w:val="00E27EEC"/>
    <w:rsid w:val="00E303B5"/>
    <w:rsid w:val="00E320A1"/>
    <w:rsid w:val="00E327A4"/>
    <w:rsid w:val="00E32C78"/>
    <w:rsid w:val="00E341CC"/>
    <w:rsid w:val="00E3452B"/>
    <w:rsid w:val="00E352C9"/>
    <w:rsid w:val="00E35AE4"/>
    <w:rsid w:val="00E361C2"/>
    <w:rsid w:val="00E36B4B"/>
    <w:rsid w:val="00E374C9"/>
    <w:rsid w:val="00E37D15"/>
    <w:rsid w:val="00E41A0F"/>
    <w:rsid w:val="00E43C25"/>
    <w:rsid w:val="00E44AB0"/>
    <w:rsid w:val="00E45DAE"/>
    <w:rsid w:val="00E517AA"/>
    <w:rsid w:val="00E53935"/>
    <w:rsid w:val="00E53F1E"/>
    <w:rsid w:val="00E547F9"/>
    <w:rsid w:val="00E54E45"/>
    <w:rsid w:val="00E60692"/>
    <w:rsid w:val="00E607B0"/>
    <w:rsid w:val="00E60821"/>
    <w:rsid w:val="00E6095D"/>
    <w:rsid w:val="00E63D7E"/>
    <w:rsid w:val="00E65DBE"/>
    <w:rsid w:val="00E67AF4"/>
    <w:rsid w:val="00E708D3"/>
    <w:rsid w:val="00E73A9F"/>
    <w:rsid w:val="00E73F2F"/>
    <w:rsid w:val="00E75C68"/>
    <w:rsid w:val="00E7648F"/>
    <w:rsid w:val="00E80E85"/>
    <w:rsid w:val="00E8425D"/>
    <w:rsid w:val="00E85E7B"/>
    <w:rsid w:val="00E918D6"/>
    <w:rsid w:val="00E9197A"/>
    <w:rsid w:val="00E9264D"/>
    <w:rsid w:val="00E94245"/>
    <w:rsid w:val="00E942E0"/>
    <w:rsid w:val="00E973A4"/>
    <w:rsid w:val="00EA1493"/>
    <w:rsid w:val="00EA3742"/>
    <w:rsid w:val="00EA37A5"/>
    <w:rsid w:val="00EA3995"/>
    <w:rsid w:val="00EA67F4"/>
    <w:rsid w:val="00EB0766"/>
    <w:rsid w:val="00EB0B4B"/>
    <w:rsid w:val="00EB17BF"/>
    <w:rsid w:val="00EB1C2A"/>
    <w:rsid w:val="00EB25B7"/>
    <w:rsid w:val="00EB7819"/>
    <w:rsid w:val="00EC0DED"/>
    <w:rsid w:val="00EC0E8C"/>
    <w:rsid w:val="00EC1A8F"/>
    <w:rsid w:val="00EC27DC"/>
    <w:rsid w:val="00EC3825"/>
    <w:rsid w:val="00EC6894"/>
    <w:rsid w:val="00EC7CC5"/>
    <w:rsid w:val="00EC7CD0"/>
    <w:rsid w:val="00ED016F"/>
    <w:rsid w:val="00ED01D5"/>
    <w:rsid w:val="00ED196F"/>
    <w:rsid w:val="00ED220C"/>
    <w:rsid w:val="00ED3234"/>
    <w:rsid w:val="00ED550A"/>
    <w:rsid w:val="00ED67B5"/>
    <w:rsid w:val="00ED70EE"/>
    <w:rsid w:val="00ED7786"/>
    <w:rsid w:val="00EE02ED"/>
    <w:rsid w:val="00EE1150"/>
    <w:rsid w:val="00EE212E"/>
    <w:rsid w:val="00EE2306"/>
    <w:rsid w:val="00EE234D"/>
    <w:rsid w:val="00EE3D73"/>
    <w:rsid w:val="00EE5783"/>
    <w:rsid w:val="00EF3385"/>
    <w:rsid w:val="00F005C2"/>
    <w:rsid w:val="00F00CCD"/>
    <w:rsid w:val="00F01399"/>
    <w:rsid w:val="00F04777"/>
    <w:rsid w:val="00F05972"/>
    <w:rsid w:val="00F1100D"/>
    <w:rsid w:val="00F1173D"/>
    <w:rsid w:val="00F12A40"/>
    <w:rsid w:val="00F1328F"/>
    <w:rsid w:val="00F13379"/>
    <w:rsid w:val="00F16CE3"/>
    <w:rsid w:val="00F16FBC"/>
    <w:rsid w:val="00F21451"/>
    <w:rsid w:val="00F22A44"/>
    <w:rsid w:val="00F23E06"/>
    <w:rsid w:val="00F24B70"/>
    <w:rsid w:val="00F262E9"/>
    <w:rsid w:val="00F26845"/>
    <w:rsid w:val="00F27F5E"/>
    <w:rsid w:val="00F300F2"/>
    <w:rsid w:val="00F30EF9"/>
    <w:rsid w:val="00F33042"/>
    <w:rsid w:val="00F336F0"/>
    <w:rsid w:val="00F35976"/>
    <w:rsid w:val="00F3769F"/>
    <w:rsid w:val="00F41524"/>
    <w:rsid w:val="00F42E9E"/>
    <w:rsid w:val="00F458A4"/>
    <w:rsid w:val="00F45A5E"/>
    <w:rsid w:val="00F50C06"/>
    <w:rsid w:val="00F517FD"/>
    <w:rsid w:val="00F53BEF"/>
    <w:rsid w:val="00F545BF"/>
    <w:rsid w:val="00F54BE6"/>
    <w:rsid w:val="00F553D7"/>
    <w:rsid w:val="00F57AEA"/>
    <w:rsid w:val="00F57F46"/>
    <w:rsid w:val="00F6046C"/>
    <w:rsid w:val="00F6132B"/>
    <w:rsid w:val="00F63551"/>
    <w:rsid w:val="00F6648A"/>
    <w:rsid w:val="00F6749A"/>
    <w:rsid w:val="00F718AC"/>
    <w:rsid w:val="00F72943"/>
    <w:rsid w:val="00F72F1E"/>
    <w:rsid w:val="00F74D26"/>
    <w:rsid w:val="00F767DA"/>
    <w:rsid w:val="00F773DD"/>
    <w:rsid w:val="00F7783F"/>
    <w:rsid w:val="00F80A06"/>
    <w:rsid w:val="00F82694"/>
    <w:rsid w:val="00F82A17"/>
    <w:rsid w:val="00F83478"/>
    <w:rsid w:val="00F84AAC"/>
    <w:rsid w:val="00F85FC1"/>
    <w:rsid w:val="00F87617"/>
    <w:rsid w:val="00F87911"/>
    <w:rsid w:val="00F90886"/>
    <w:rsid w:val="00F9203D"/>
    <w:rsid w:val="00F93185"/>
    <w:rsid w:val="00F949F9"/>
    <w:rsid w:val="00F94F57"/>
    <w:rsid w:val="00F95CD2"/>
    <w:rsid w:val="00F97E3C"/>
    <w:rsid w:val="00FA1EBA"/>
    <w:rsid w:val="00FA3485"/>
    <w:rsid w:val="00FA4836"/>
    <w:rsid w:val="00FA657D"/>
    <w:rsid w:val="00FA6804"/>
    <w:rsid w:val="00FA68B0"/>
    <w:rsid w:val="00FB0EE7"/>
    <w:rsid w:val="00FB3866"/>
    <w:rsid w:val="00FB430B"/>
    <w:rsid w:val="00FB5EBB"/>
    <w:rsid w:val="00FB6787"/>
    <w:rsid w:val="00FB6AAB"/>
    <w:rsid w:val="00FB6E52"/>
    <w:rsid w:val="00FB70B8"/>
    <w:rsid w:val="00FC22C6"/>
    <w:rsid w:val="00FC2D06"/>
    <w:rsid w:val="00FC3446"/>
    <w:rsid w:val="00FC3BA6"/>
    <w:rsid w:val="00FD18C4"/>
    <w:rsid w:val="00FD5B04"/>
    <w:rsid w:val="00FD5BEF"/>
    <w:rsid w:val="00FD5FC0"/>
    <w:rsid w:val="00FE7165"/>
    <w:rsid w:val="00FF0970"/>
    <w:rsid w:val="00FF1BBC"/>
    <w:rsid w:val="00FF2A00"/>
    <w:rsid w:val="00FF464E"/>
    <w:rsid w:val="00FF6BA6"/>
    <w:rsid w:val="00FF6C25"/>
    <w:rsid w:val="00FF7091"/>
    <w:rsid w:val="00FF78D0"/>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2"/>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CA" w:eastAsia="en-CA"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uiPriority="99"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Default Paragraph Font" w:uiPriority="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Plain Text"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A4A52"/>
    <w:rPr>
      <w:sz w:val="24"/>
      <w:szCs w:val="24"/>
    </w:rPr>
  </w:style>
  <w:style w:type="paragraph" w:styleId="Heading2">
    <w:name w:val="heading 2"/>
    <w:basedOn w:val="Normal"/>
    <w:next w:val="Normal"/>
    <w:link w:val="Heading2Char1"/>
    <w:uiPriority w:val="99"/>
    <w:qFormat/>
    <w:rsid w:val="00534B22"/>
    <w:pPr>
      <w:keepNext/>
      <w:jc w:val="right"/>
      <w:outlineLvl w:val="1"/>
    </w:pPr>
    <w:rPr>
      <w:rFonts w:ascii="Georgia" w:eastAsia="Calibri" w:hAnsi="Georgia"/>
      <w:b/>
      <w:bCs/>
      <w:color w:val="808080"/>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2A7647"/>
    <w:rPr>
      <w:color w:val="0000FF"/>
      <w:u w:val="single"/>
    </w:rPr>
  </w:style>
  <w:style w:type="paragraph" w:styleId="NormalWeb">
    <w:name w:val="Normal (Web)"/>
    <w:basedOn w:val="Normal"/>
    <w:rsid w:val="002A7647"/>
    <w:pPr>
      <w:spacing w:before="120" w:after="360" w:line="300" w:lineRule="atLeast"/>
    </w:pPr>
    <w:rPr>
      <w:sz w:val="23"/>
      <w:szCs w:val="23"/>
    </w:rPr>
  </w:style>
  <w:style w:type="character" w:styleId="Strong">
    <w:name w:val="Strong"/>
    <w:qFormat/>
    <w:rsid w:val="002A7647"/>
    <w:rPr>
      <w:b/>
      <w:bCs/>
    </w:rPr>
  </w:style>
  <w:style w:type="table" w:styleId="TableGrid">
    <w:name w:val="Table Grid"/>
    <w:basedOn w:val="TableNormal"/>
    <w:uiPriority w:val="59"/>
    <w:rsid w:val="002A76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basedOn w:val="Normal"/>
    <w:rsid w:val="009D1A9F"/>
    <w:pPr>
      <w:autoSpaceDE w:val="0"/>
      <w:autoSpaceDN w:val="0"/>
    </w:pPr>
    <w:rPr>
      <w:rFonts w:ascii="Arial" w:eastAsia="MS Mincho" w:hAnsi="Arial" w:cs="Arial"/>
      <w:color w:val="000000"/>
      <w:lang w:eastAsia="ja-JP"/>
    </w:rPr>
  </w:style>
  <w:style w:type="character" w:styleId="CommentReference">
    <w:name w:val="annotation reference"/>
    <w:rsid w:val="00AF582A"/>
    <w:rPr>
      <w:sz w:val="16"/>
      <w:szCs w:val="16"/>
    </w:rPr>
  </w:style>
  <w:style w:type="paragraph" w:styleId="CommentText">
    <w:name w:val="annotation text"/>
    <w:basedOn w:val="Normal"/>
    <w:link w:val="CommentTextChar"/>
    <w:rsid w:val="00AF582A"/>
    <w:rPr>
      <w:sz w:val="20"/>
      <w:szCs w:val="20"/>
    </w:rPr>
  </w:style>
  <w:style w:type="paragraph" w:styleId="CommentSubject">
    <w:name w:val="annotation subject"/>
    <w:basedOn w:val="CommentText"/>
    <w:next w:val="CommentText"/>
    <w:semiHidden/>
    <w:rsid w:val="00AF582A"/>
    <w:rPr>
      <w:b/>
      <w:bCs/>
    </w:rPr>
  </w:style>
  <w:style w:type="paragraph" w:styleId="BalloonText">
    <w:name w:val="Balloon Text"/>
    <w:basedOn w:val="Normal"/>
    <w:semiHidden/>
    <w:rsid w:val="00AF582A"/>
    <w:rPr>
      <w:rFonts w:ascii="Tahoma" w:hAnsi="Tahoma" w:cs="Tahoma"/>
      <w:sz w:val="16"/>
      <w:szCs w:val="16"/>
    </w:rPr>
  </w:style>
  <w:style w:type="paragraph" w:styleId="Footer">
    <w:name w:val="footer"/>
    <w:basedOn w:val="Normal"/>
    <w:rsid w:val="007D2557"/>
    <w:pPr>
      <w:tabs>
        <w:tab w:val="center" w:pos="4320"/>
        <w:tab w:val="right" w:pos="8640"/>
      </w:tabs>
    </w:pPr>
  </w:style>
  <w:style w:type="character" w:styleId="PageNumber">
    <w:name w:val="page number"/>
    <w:basedOn w:val="DefaultParagraphFont"/>
    <w:rsid w:val="007D2557"/>
  </w:style>
  <w:style w:type="paragraph" w:styleId="DocumentMap">
    <w:name w:val="Document Map"/>
    <w:basedOn w:val="Normal"/>
    <w:semiHidden/>
    <w:rsid w:val="004A5431"/>
    <w:pPr>
      <w:shd w:val="clear" w:color="auto" w:fill="000080"/>
    </w:pPr>
    <w:rPr>
      <w:rFonts w:ascii="Tahoma" w:hAnsi="Tahoma" w:cs="Tahoma"/>
      <w:sz w:val="20"/>
      <w:szCs w:val="20"/>
    </w:rPr>
  </w:style>
  <w:style w:type="paragraph" w:styleId="Header">
    <w:name w:val="header"/>
    <w:basedOn w:val="Normal"/>
    <w:rsid w:val="002158EF"/>
    <w:pPr>
      <w:tabs>
        <w:tab w:val="center" w:pos="4320"/>
        <w:tab w:val="right" w:pos="8640"/>
      </w:tabs>
    </w:pPr>
  </w:style>
  <w:style w:type="character" w:styleId="FollowedHyperlink">
    <w:name w:val="FollowedHyperlink"/>
    <w:rsid w:val="00394C1B"/>
    <w:rPr>
      <w:color w:val="800080"/>
      <w:u w:val="single"/>
    </w:rPr>
  </w:style>
  <w:style w:type="character" w:styleId="HTMLCite">
    <w:name w:val="HTML Cite"/>
    <w:rsid w:val="00AD2FF4"/>
    <w:rPr>
      <w:i/>
      <w:iCs/>
    </w:rPr>
  </w:style>
  <w:style w:type="paragraph" w:styleId="FootnoteText">
    <w:name w:val="footnote text"/>
    <w:basedOn w:val="Normal"/>
    <w:link w:val="FootnoteTextChar"/>
    <w:semiHidden/>
    <w:rsid w:val="005804C7"/>
    <w:rPr>
      <w:sz w:val="20"/>
      <w:szCs w:val="20"/>
    </w:rPr>
  </w:style>
  <w:style w:type="character" w:styleId="FootnoteReference">
    <w:name w:val="footnote reference"/>
    <w:semiHidden/>
    <w:rsid w:val="005804C7"/>
    <w:rPr>
      <w:vertAlign w:val="superscript"/>
    </w:rPr>
  </w:style>
  <w:style w:type="paragraph" w:styleId="BodyText2">
    <w:name w:val="Body Text 2"/>
    <w:basedOn w:val="Normal"/>
    <w:rsid w:val="007E5989"/>
    <w:rPr>
      <w:b/>
      <w:szCs w:val="20"/>
      <w:lang w:val="en-US" w:eastAsia="en-US"/>
    </w:rPr>
  </w:style>
  <w:style w:type="paragraph" w:styleId="ListParagraph">
    <w:name w:val="List Paragraph"/>
    <w:aliases w:val="Bullet List 1,Heading 4 test,Unordered List Level 1,Indented Paragraph,BN 1,MOU List Number i,Chart Title,List Paragraph1,Recommendation,List Paragraph11,L,List Paragraph2,CV text,Table text,F5 List Paragraph,Dot pt,List Paragraph111"/>
    <w:basedOn w:val="Normal"/>
    <w:link w:val="ListParagraphChar"/>
    <w:uiPriority w:val="34"/>
    <w:qFormat/>
    <w:rsid w:val="00504C62"/>
    <w:pPr>
      <w:ind w:left="720"/>
      <w:contextualSpacing/>
    </w:pPr>
  </w:style>
  <w:style w:type="character" w:customStyle="1" w:styleId="FootnoteTextChar">
    <w:name w:val="Footnote Text Char"/>
    <w:basedOn w:val="DefaultParagraphFont"/>
    <w:link w:val="FootnoteText"/>
    <w:semiHidden/>
    <w:rsid w:val="00B94A4A"/>
  </w:style>
  <w:style w:type="paragraph" w:styleId="Revision">
    <w:name w:val="Revision"/>
    <w:hidden/>
    <w:uiPriority w:val="99"/>
    <w:semiHidden/>
    <w:rsid w:val="00DC7504"/>
    <w:rPr>
      <w:sz w:val="24"/>
      <w:szCs w:val="24"/>
    </w:rPr>
  </w:style>
  <w:style w:type="character" w:customStyle="1" w:styleId="CommentTextChar">
    <w:name w:val="Comment Text Char"/>
    <w:basedOn w:val="DefaultParagraphFont"/>
    <w:link w:val="CommentText"/>
    <w:rsid w:val="009C567D"/>
  </w:style>
  <w:style w:type="paragraph" w:customStyle="1" w:styleId="Default0">
    <w:name w:val="Default"/>
    <w:rsid w:val="003E7B2B"/>
    <w:pPr>
      <w:autoSpaceDE w:val="0"/>
      <w:autoSpaceDN w:val="0"/>
      <w:adjustRightInd w:val="0"/>
    </w:pPr>
    <w:rPr>
      <w:color w:val="000000"/>
      <w:sz w:val="24"/>
      <w:szCs w:val="24"/>
      <w:lang w:val="en-US"/>
    </w:rPr>
  </w:style>
  <w:style w:type="paragraph" w:styleId="NoSpacing">
    <w:name w:val="No Spacing"/>
    <w:uiPriority w:val="1"/>
    <w:qFormat/>
    <w:rsid w:val="00106233"/>
    <w:rPr>
      <w:sz w:val="24"/>
      <w:szCs w:val="24"/>
    </w:rPr>
  </w:style>
  <w:style w:type="character" w:customStyle="1" w:styleId="apple-converted-space">
    <w:name w:val="apple-converted-space"/>
    <w:basedOn w:val="DefaultParagraphFont"/>
    <w:rsid w:val="009B0BC8"/>
  </w:style>
  <w:style w:type="character" w:customStyle="1" w:styleId="CommentTextChar1">
    <w:name w:val="Comment Text Char1"/>
    <w:basedOn w:val="DefaultParagraphFont"/>
    <w:uiPriority w:val="99"/>
    <w:semiHidden/>
    <w:locked/>
    <w:rsid w:val="00580409"/>
    <w:rPr>
      <w:rFonts w:cs="Times New Roman"/>
      <w:lang w:eastAsia="en-US"/>
    </w:rPr>
  </w:style>
  <w:style w:type="paragraph" w:styleId="PlainText">
    <w:name w:val="Plain Text"/>
    <w:basedOn w:val="Normal"/>
    <w:link w:val="PlainTextChar"/>
    <w:uiPriority w:val="99"/>
    <w:semiHidden/>
    <w:unhideWhenUsed/>
    <w:rsid w:val="005B3FE0"/>
    <w:rPr>
      <w:rFonts w:asciiTheme="minorHAnsi" w:eastAsiaTheme="minorHAnsi" w:hAnsiTheme="minorHAnsi" w:cs="Consolas"/>
      <w:sz w:val="22"/>
      <w:szCs w:val="21"/>
      <w:lang w:eastAsia="en-US"/>
    </w:rPr>
  </w:style>
  <w:style w:type="character" w:customStyle="1" w:styleId="PlainTextChar">
    <w:name w:val="Plain Text Char"/>
    <w:basedOn w:val="DefaultParagraphFont"/>
    <w:link w:val="PlainText"/>
    <w:uiPriority w:val="99"/>
    <w:semiHidden/>
    <w:rsid w:val="005B3FE0"/>
    <w:rPr>
      <w:rFonts w:asciiTheme="minorHAnsi" w:eastAsiaTheme="minorHAnsi" w:hAnsiTheme="minorHAnsi" w:cs="Consolas"/>
      <w:sz w:val="22"/>
      <w:szCs w:val="21"/>
      <w:lang w:eastAsia="en-US"/>
    </w:rPr>
  </w:style>
  <w:style w:type="character" w:customStyle="1" w:styleId="ListParagraphChar">
    <w:name w:val="List Paragraph Char"/>
    <w:aliases w:val="Bullet List 1 Char,Heading 4 test Char,Unordered List Level 1 Char,Indented Paragraph Char,BN 1 Char,MOU List Number i Char,Chart Title Char,List Paragraph1 Char,Recommendation Char,List Paragraph11 Char,L Char,List Paragraph2 Char"/>
    <w:basedOn w:val="DefaultParagraphFont"/>
    <w:link w:val="ListParagraph"/>
    <w:uiPriority w:val="34"/>
    <w:locked/>
    <w:rsid w:val="00F93185"/>
    <w:rPr>
      <w:sz w:val="24"/>
      <w:szCs w:val="24"/>
    </w:rPr>
  </w:style>
  <w:style w:type="character" w:customStyle="1" w:styleId="Heading2Char">
    <w:name w:val="Heading 2 Char"/>
    <w:basedOn w:val="DefaultParagraphFont"/>
    <w:semiHidden/>
    <w:rsid w:val="00534B22"/>
    <w:rPr>
      <w:rFonts w:asciiTheme="majorHAnsi" w:eastAsiaTheme="majorEastAsia" w:hAnsiTheme="majorHAnsi" w:cstheme="majorBidi"/>
      <w:b/>
      <w:bCs/>
      <w:color w:val="4F81BD" w:themeColor="accent1"/>
      <w:sz w:val="26"/>
      <w:szCs w:val="26"/>
    </w:rPr>
  </w:style>
  <w:style w:type="character" w:customStyle="1" w:styleId="Heading2Char1">
    <w:name w:val="Heading 2 Char1"/>
    <w:basedOn w:val="DefaultParagraphFont"/>
    <w:link w:val="Heading2"/>
    <w:uiPriority w:val="99"/>
    <w:locked/>
    <w:rsid w:val="00534B22"/>
    <w:rPr>
      <w:rFonts w:ascii="Georgia" w:eastAsia="Calibri" w:hAnsi="Georgia"/>
      <w:b/>
      <w:bCs/>
      <w:color w:val="808080"/>
      <w:sz w:val="24"/>
      <w:szCs w:val="24"/>
      <w:lang w:val="en-US" w:eastAsia="en-US"/>
    </w:rPr>
  </w:style>
  <w:style w:type="paragraph" w:styleId="BodyText">
    <w:name w:val="Body Text"/>
    <w:basedOn w:val="Normal"/>
    <w:link w:val="BodyTextChar"/>
    <w:semiHidden/>
    <w:unhideWhenUsed/>
    <w:rsid w:val="00EB0766"/>
    <w:pPr>
      <w:spacing w:after="120"/>
    </w:pPr>
  </w:style>
  <w:style w:type="character" w:customStyle="1" w:styleId="BodyTextChar">
    <w:name w:val="Body Text Char"/>
    <w:basedOn w:val="DefaultParagraphFont"/>
    <w:link w:val="BodyText"/>
    <w:semiHidden/>
    <w:rsid w:val="00EB0766"/>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CA" w:eastAsia="en-CA"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uiPriority="99"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Default Paragraph Font" w:uiPriority="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Plain Text"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A4A52"/>
    <w:rPr>
      <w:sz w:val="24"/>
      <w:szCs w:val="24"/>
    </w:rPr>
  </w:style>
  <w:style w:type="paragraph" w:styleId="Heading2">
    <w:name w:val="heading 2"/>
    <w:basedOn w:val="Normal"/>
    <w:next w:val="Normal"/>
    <w:link w:val="Heading2Char1"/>
    <w:uiPriority w:val="99"/>
    <w:qFormat/>
    <w:rsid w:val="00534B22"/>
    <w:pPr>
      <w:keepNext/>
      <w:jc w:val="right"/>
      <w:outlineLvl w:val="1"/>
    </w:pPr>
    <w:rPr>
      <w:rFonts w:ascii="Georgia" w:eastAsia="Calibri" w:hAnsi="Georgia"/>
      <w:b/>
      <w:bCs/>
      <w:color w:val="808080"/>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2A7647"/>
    <w:rPr>
      <w:color w:val="0000FF"/>
      <w:u w:val="single"/>
    </w:rPr>
  </w:style>
  <w:style w:type="paragraph" w:styleId="NormalWeb">
    <w:name w:val="Normal (Web)"/>
    <w:basedOn w:val="Normal"/>
    <w:rsid w:val="002A7647"/>
    <w:pPr>
      <w:spacing w:before="120" w:after="360" w:line="300" w:lineRule="atLeast"/>
    </w:pPr>
    <w:rPr>
      <w:sz w:val="23"/>
      <w:szCs w:val="23"/>
    </w:rPr>
  </w:style>
  <w:style w:type="character" w:styleId="Strong">
    <w:name w:val="Strong"/>
    <w:qFormat/>
    <w:rsid w:val="002A7647"/>
    <w:rPr>
      <w:b/>
      <w:bCs/>
    </w:rPr>
  </w:style>
  <w:style w:type="table" w:styleId="TableGrid">
    <w:name w:val="Table Grid"/>
    <w:basedOn w:val="TableNormal"/>
    <w:uiPriority w:val="59"/>
    <w:rsid w:val="002A76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basedOn w:val="Normal"/>
    <w:rsid w:val="009D1A9F"/>
    <w:pPr>
      <w:autoSpaceDE w:val="0"/>
      <w:autoSpaceDN w:val="0"/>
    </w:pPr>
    <w:rPr>
      <w:rFonts w:ascii="Arial" w:eastAsia="MS Mincho" w:hAnsi="Arial" w:cs="Arial"/>
      <w:color w:val="000000"/>
      <w:lang w:eastAsia="ja-JP"/>
    </w:rPr>
  </w:style>
  <w:style w:type="character" w:styleId="CommentReference">
    <w:name w:val="annotation reference"/>
    <w:rsid w:val="00AF582A"/>
    <w:rPr>
      <w:sz w:val="16"/>
      <w:szCs w:val="16"/>
    </w:rPr>
  </w:style>
  <w:style w:type="paragraph" w:styleId="CommentText">
    <w:name w:val="annotation text"/>
    <w:basedOn w:val="Normal"/>
    <w:link w:val="CommentTextChar"/>
    <w:rsid w:val="00AF582A"/>
    <w:rPr>
      <w:sz w:val="20"/>
      <w:szCs w:val="20"/>
    </w:rPr>
  </w:style>
  <w:style w:type="paragraph" w:styleId="CommentSubject">
    <w:name w:val="annotation subject"/>
    <w:basedOn w:val="CommentText"/>
    <w:next w:val="CommentText"/>
    <w:semiHidden/>
    <w:rsid w:val="00AF582A"/>
    <w:rPr>
      <w:b/>
      <w:bCs/>
    </w:rPr>
  </w:style>
  <w:style w:type="paragraph" w:styleId="BalloonText">
    <w:name w:val="Balloon Text"/>
    <w:basedOn w:val="Normal"/>
    <w:semiHidden/>
    <w:rsid w:val="00AF582A"/>
    <w:rPr>
      <w:rFonts w:ascii="Tahoma" w:hAnsi="Tahoma" w:cs="Tahoma"/>
      <w:sz w:val="16"/>
      <w:szCs w:val="16"/>
    </w:rPr>
  </w:style>
  <w:style w:type="paragraph" w:styleId="Footer">
    <w:name w:val="footer"/>
    <w:basedOn w:val="Normal"/>
    <w:rsid w:val="007D2557"/>
    <w:pPr>
      <w:tabs>
        <w:tab w:val="center" w:pos="4320"/>
        <w:tab w:val="right" w:pos="8640"/>
      </w:tabs>
    </w:pPr>
  </w:style>
  <w:style w:type="character" w:styleId="PageNumber">
    <w:name w:val="page number"/>
    <w:basedOn w:val="DefaultParagraphFont"/>
    <w:rsid w:val="007D2557"/>
  </w:style>
  <w:style w:type="paragraph" w:styleId="DocumentMap">
    <w:name w:val="Document Map"/>
    <w:basedOn w:val="Normal"/>
    <w:semiHidden/>
    <w:rsid w:val="004A5431"/>
    <w:pPr>
      <w:shd w:val="clear" w:color="auto" w:fill="000080"/>
    </w:pPr>
    <w:rPr>
      <w:rFonts w:ascii="Tahoma" w:hAnsi="Tahoma" w:cs="Tahoma"/>
      <w:sz w:val="20"/>
      <w:szCs w:val="20"/>
    </w:rPr>
  </w:style>
  <w:style w:type="paragraph" w:styleId="Header">
    <w:name w:val="header"/>
    <w:basedOn w:val="Normal"/>
    <w:rsid w:val="002158EF"/>
    <w:pPr>
      <w:tabs>
        <w:tab w:val="center" w:pos="4320"/>
        <w:tab w:val="right" w:pos="8640"/>
      </w:tabs>
    </w:pPr>
  </w:style>
  <w:style w:type="character" w:styleId="FollowedHyperlink">
    <w:name w:val="FollowedHyperlink"/>
    <w:rsid w:val="00394C1B"/>
    <w:rPr>
      <w:color w:val="800080"/>
      <w:u w:val="single"/>
    </w:rPr>
  </w:style>
  <w:style w:type="character" w:styleId="HTMLCite">
    <w:name w:val="HTML Cite"/>
    <w:rsid w:val="00AD2FF4"/>
    <w:rPr>
      <w:i/>
      <w:iCs/>
    </w:rPr>
  </w:style>
  <w:style w:type="paragraph" w:styleId="FootnoteText">
    <w:name w:val="footnote text"/>
    <w:basedOn w:val="Normal"/>
    <w:link w:val="FootnoteTextChar"/>
    <w:semiHidden/>
    <w:rsid w:val="005804C7"/>
    <w:rPr>
      <w:sz w:val="20"/>
      <w:szCs w:val="20"/>
    </w:rPr>
  </w:style>
  <w:style w:type="character" w:styleId="FootnoteReference">
    <w:name w:val="footnote reference"/>
    <w:semiHidden/>
    <w:rsid w:val="005804C7"/>
    <w:rPr>
      <w:vertAlign w:val="superscript"/>
    </w:rPr>
  </w:style>
  <w:style w:type="paragraph" w:styleId="BodyText2">
    <w:name w:val="Body Text 2"/>
    <w:basedOn w:val="Normal"/>
    <w:rsid w:val="007E5989"/>
    <w:rPr>
      <w:b/>
      <w:szCs w:val="20"/>
      <w:lang w:val="en-US" w:eastAsia="en-US"/>
    </w:rPr>
  </w:style>
  <w:style w:type="paragraph" w:styleId="ListParagraph">
    <w:name w:val="List Paragraph"/>
    <w:aliases w:val="Bullet List 1,Heading 4 test,Unordered List Level 1,Indented Paragraph,BN 1,MOU List Number i,Chart Title,List Paragraph1,Recommendation,List Paragraph11,L,List Paragraph2,CV text,Table text,F5 List Paragraph,Dot pt,List Paragraph111"/>
    <w:basedOn w:val="Normal"/>
    <w:link w:val="ListParagraphChar"/>
    <w:uiPriority w:val="34"/>
    <w:qFormat/>
    <w:rsid w:val="00504C62"/>
    <w:pPr>
      <w:ind w:left="720"/>
      <w:contextualSpacing/>
    </w:pPr>
  </w:style>
  <w:style w:type="character" w:customStyle="1" w:styleId="FootnoteTextChar">
    <w:name w:val="Footnote Text Char"/>
    <w:basedOn w:val="DefaultParagraphFont"/>
    <w:link w:val="FootnoteText"/>
    <w:semiHidden/>
    <w:rsid w:val="00B94A4A"/>
  </w:style>
  <w:style w:type="paragraph" w:styleId="Revision">
    <w:name w:val="Revision"/>
    <w:hidden/>
    <w:uiPriority w:val="99"/>
    <w:semiHidden/>
    <w:rsid w:val="00DC7504"/>
    <w:rPr>
      <w:sz w:val="24"/>
      <w:szCs w:val="24"/>
    </w:rPr>
  </w:style>
  <w:style w:type="character" w:customStyle="1" w:styleId="CommentTextChar">
    <w:name w:val="Comment Text Char"/>
    <w:basedOn w:val="DefaultParagraphFont"/>
    <w:link w:val="CommentText"/>
    <w:rsid w:val="009C567D"/>
  </w:style>
  <w:style w:type="paragraph" w:customStyle="1" w:styleId="Default0">
    <w:name w:val="Default"/>
    <w:rsid w:val="003E7B2B"/>
    <w:pPr>
      <w:autoSpaceDE w:val="0"/>
      <w:autoSpaceDN w:val="0"/>
      <w:adjustRightInd w:val="0"/>
    </w:pPr>
    <w:rPr>
      <w:color w:val="000000"/>
      <w:sz w:val="24"/>
      <w:szCs w:val="24"/>
      <w:lang w:val="en-US"/>
    </w:rPr>
  </w:style>
  <w:style w:type="paragraph" w:styleId="NoSpacing">
    <w:name w:val="No Spacing"/>
    <w:uiPriority w:val="1"/>
    <w:qFormat/>
    <w:rsid w:val="00106233"/>
    <w:rPr>
      <w:sz w:val="24"/>
      <w:szCs w:val="24"/>
    </w:rPr>
  </w:style>
  <w:style w:type="character" w:customStyle="1" w:styleId="apple-converted-space">
    <w:name w:val="apple-converted-space"/>
    <w:basedOn w:val="DefaultParagraphFont"/>
    <w:rsid w:val="009B0BC8"/>
  </w:style>
  <w:style w:type="character" w:customStyle="1" w:styleId="CommentTextChar1">
    <w:name w:val="Comment Text Char1"/>
    <w:basedOn w:val="DefaultParagraphFont"/>
    <w:uiPriority w:val="99"/>
    <w:semiHidden/>
    <w:locked/>
    <w:rsid w:val="00580409"/>
    <w:rPr>
      <w:rFonts w:cs="Times New Roman"/>
      <w:lang w:eastAsia="en-US"/>
    </w:rPr>
  </w:style>
  <w:style w:type="paragraph" w:styleId="PlainText">
    <w:name w:val="Plain Text"/>
    <w:basedOn w:val="Normal"/>
    <w:link w:val="PlainTextChar"/>
    <w:uiPriority w:val="99"/>
    <w:semiHidden/>
    <w:unhideWhenUsed/>
    <w:rsid w:val="005B3FE0"/>
    <w:rPr>
      <w:rFonts w:asciiTheme="minorHAnsi" w:eastAsiaTheme="minorHAnsi" w:hAnsiTheme="minorHAnsi" w:cs="Consolas"/>
      <w:sz w:val="22"/>
      <w:szCs w:val="21"/>
      <w:lang w:eastAsia="en-US"/>
    </w:rPr>
  </w:style>
  <w:style w:type="character" w:customStyle="1" w:styleId="PlainTextChar">
    <w:name w:val="Plain Text Char"/>
    <w:basedOn w:val="DefaultParagraphFont"/>
    <w:link w:val="PlainText"/>
    <w:uiPriority w:val="99"/>
    <w:semiHidden/>
    <w:rsid w:val="005B3FE0"/>
    <w:rPr>
      <w:rFonts w:asciiTheme="minorHAnsi" w:eastAsiaTheme="minorHAnsi" w:hAnsiTheme="minorHAnsi" w:cs="Consolas"/>
      <w:sz w:val="22"/>
      <w:szCs w:val="21"/>
      <w:lang w:eastAsia="en-US"/>
    </w:rPr>
  </w:style>
  <w:style w:type="character" w:customStyle="1" w:styleId="ListParagraphChar">
    <w:name w:val="List Paragraph Char"/>
    <w:aliases w:val="Bullet List 1 Char,Heading 4 test Char,Unordered List Level 1 Char,Indented Paragraph Char,BN 1 Char,MOU List Number i Char,Chart Title Char,List Paragraph1 Char,Recommendation Char,List Paragraph11 Char,L Char,List Paragraph2 Char"/>
    <w:basedOn w:val="DefaultParagraphFont"/>
    <w:link w:val="ListParagraph"/>
    <w:uiPriority w:val="34"/>
    <w:locked/>
    <w:rsid w:val="00F93185"/>
    <w:rPr>
      <w:sz w:val="24"/>
      <w:szCs w:val="24"/>
    </w:rPr>
  </w:style>
  <w:style w:type="character" w:customStyle="1" w:styleId="Heading2Char">
    <w:name w:val="Heading 2 Char"/>
    <w:basedOn w:val="DefaultParagraphFont"/>
    <w:semiHidden/>
    <w:rsid w:val="00534B22"/>
    <w:rPr>
      <w:rFonts w:asciiTheme="majorHAnsi" w:eastAsiaTheme="majorEastAsia" w:hAnsiTheme="majorHAnsi" w:cstheme="majorBidi"/>
      <w:b/>
      <w:bCs/>
      <w:color w:val="4F81BD" w:themeColor="accent1"/>
      <w:sz w:val="26"/>
      <w:szCs w:val="26"/>
    </w:rPr>
  </w:style>
  <w:style w:type="character" w:customStyle="1" w:styleId="Heading2Char1">
    <w:name w:val="Heading 2 Char1"/>
    <w:basedOn w:val="DefaultParagraphFont"/>
    <w:link w:val="Heading2"/>
    <w:uiPriority w:val="99"/>
    <w:locked/>
    <w:rsid w:val="00534B22"/>
    <w:rPr>
      <w:rFonts w:ascii="Georgia" w:eastAsia="Calibri" w:hAnsi="Georgia"/>
      <w:b/>
      <w:bCs/>
      <w:color w:val="808080"/>
      <w:sz w:val="24"/>
      <w:szCs w:val="24"/>
      <w:lang w:val="en-US" w:eastAsia="en-US"/>
    </w:rPr>
  </w:style>
  <w:style w:type="paragraph" w:styleId="BodyText">
    <w:name w:val="Body Text"/>
    <w:basedOn w:val="Normal"/>
    <w:link w:val="BodyTextChar"/>
    <w:semiHidden/>
    <w:unhideWhenUsed/>
    <w:rsid w:val="00EB0766"/>
    <w:pPr>
      <w:spacing w:after="120"/>
    </w:pPr>
  </w:style>
  <w:style w:type="character" w:customStyle="1" w:styleId="BodyTextChar">
    <w:name w:val="Body Text Char"/>
    <w:basedOn w:val="DefaultParagraphFont"/>
    <w:link w:val="BodyText"/>
    <w:semiHidden/>
    <w:rsid w:val="00EB0766"/>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986887">
      <w:bodyDiv w:val="1"/>
      <w:marLeft w:val="0"/>
      <w:marRight w:val="0"/>
      <w:marTop w:val="0"/>
      <w:marBottom w:val="0"/>
      <w:divBdr>
        <w:top w:val="none" w:sz="0" w:space="0" w:color="auto"/>
        <w:left w:val="none" w:sz="0" w:space="0" w:color="auto"/>
        <w:bottom w:val="none" w:sz="0" w:space="0" w:color="auto"/>
        <w:right w:val="none" w:sz="0" w:space="0" w:color="auto"/>
      </w:divBdr>
      <w:divsChild>
        <w:div w:id="17317252">
          <w:marLeft w:val="562"/>
          <w:marRight w:val="14"/>
          <w:marTop w:val="67"/>
          <w:marBottom w:val="0"/>
          <w:divBdr>
            <w:top w:val="none" w:sz="0" w:space="0" w:color="auto"/>
            <w:left w:val="none" w:sz="0" w:space="0" w:color="auto"/>
            <w:bottom w:val="none" w:sz="0" w:space="0" w:color="auto"/>
            <w:right w:val="none" w:sz="0" w:space="0" w:color="auto"/>
          </w:divBdr>
        </w:div>
      </w:divsChild>
    </w:div>
    <w:div w:id="29762777">
      <w:bodyDiv w:val="1"/>
      <w:marLeft w:val="0"/>
      <w:marRight w:val="0"/>
      <w:marTop w:val="0"/>
      <w:marBottom w:val="0"/>
      <w:divBdr>
        <w:top w:val="none" w:sz="0" w:space="0" w:color="auto"/>
        <w:left w:val="none" w:sz="0" w:space="0" w:color="auto"/>
        <w:bottom w:val="none" w:sz="0" w:space="0" w:color="auto"/>
        <w:right w:val="none" w:sz="0" w:space="0" w:color="auto"/>
      </w:divBdr>
    </w:div>
    <w:div w:id="33887927">
      <w:bodyDiv w:val="1"/>
      <w:marLeft w:val="0"/>
      <w:marRight w:val="0"/>
      <w:marTop w:val="0"/>
      <w:marBottom w:val="0"/>
      <w:divBdr>
        <w:top w:val="none" w:sz="0" w:space="0" w:color="auto"/>
        <w:left w:val="none" w:sz="0" w:space="0" w:color="auto"/>
        <w:bottom w:val="none" w:sz="0" w:space="0" w:color="auto"/>
        <w:right w:val="none" w:sz="0" w:space="0" w:color="auto"/>
      </w:divBdr>
    </w:div>
    <w:div w:id="42021651">
      <w:bodyDiv w:val="1"/>
      <w:marLeft w:val="0"/>
      <w:marRight w:val="0"/>
      <w:marTop w:val="0"/>
      <w:marBottom w:val="0"/>
      <w:divBdr>
        <w:top w:val="none" w:sz="0" w:space="0" w:color="auto"/>
        <w:left w:val="none" w:sz="0" w:space="0" w:color="auto"/>
        <w:bottom w:val="none" w:sz="0" w:space="0" w:color="auto"/>
        <w:right w:val="none" w:sz="0" w:space="0" w:color="auto"/>
      </w:divBdr>
    </w:div>
    <w:div w:id="44839269">
      <w:bodyDiv w:val="1"/>
      <w:marLeft w:val="0"/>
      <w:marRight w:val="0"/>
      <w:marTop w:val="0"/>
      <w:marBottom w:val="0"/>
      <w:divBdr>
        <w:top w:val="none" w:sz="0" w:space="0" w:color="auto"/>
        <w:left w:val="none" w:sz="0" w:space="0" w:color="auto"/>
        <w:bottom w:val="none" w:sz="0" w:space="0" w:color="auto"/>
        <w:right w:val="none" w:sz="0" w:space="0" w:color="auto"/>
      </w:divBdr>
      <w:divsChild>
        <w:div w:id="1528982347">
          <w:marLeft w:val="547"/>
          <w:marRight w:val="0"/>
          <w:marTop w:val="77"/>
          <w:marBottom w:val="0"/>
          <w:divBdr>
            <w:top w:val="none" w:sz="0" w:space="0" w:color="auto"/>
            <w:left w:val="none" w:sz="0" w:space="0" w:color="auto"/>
            <w:bottom w:val="none" w:sz="0" w:space="0" w:color="auto"/>
            <w:right w:val="none" w:sz="0" w:space="0" w:color="auto"/>
          </w:divBdr>
        </w:div>
        <w:div w:id="880478884">
          <w:marLeft w:val="1267"/>
          <w:marRight w:val="0"/>
          <w:marTop w:val="67"/>
          <w:marBottom w:val="0"/>
          <w:divBdr>
            <w:top w:val="none" w:sz="0" w:space="0" w:color="auto"/>
            <w:left w:val="none" w:sz="0" w:space="0" w:color="auto"/>
            <w:bottom w:val="none" w:sz="0" w:space="0" w:color="auto"/>
            <w:right w:val="none" w:sz="0" w:space="0" w:color="auto"/>
          </w:divBdr>
        </w:div>
        <w:div w:id="133106732">
          <w:marLeft w:val="1987"/>
          <w:marRight w:val="0"/>
          <w:marTop w:val="58"/>
          <w:marBottom w:val="0"/>
          <w:divBdr>
            <w:top w:val="none" w:sz="0" w:space="0" w:color="auto"/>
            <w:left w:val="none" w:sz="0" w:space="0" w:color="auto"/>
            <w:bottom w:val="none" w:sz="0" w:space="0" w:color="auto"/>
            <w:right w:val="none" w:sz="0" w:space="0" w:color="auto"/>
          </w:divBdr>
        </w:div>
        <w:div w:id="2146894537">
          <w:marLeft w:val="1987"/>
          <w:marRight w:val="0"/>
          <w:marTop w:val="58"/>
          <w:marBottom w:val="0"/>
          <w:divBdr>
            <w:top w:val="none" w:sz="0" w:space="0" w:color="auto"/>
            <w:left w:val="none" w:sz="0" w:space="0" w:color="auto"/>
            <w:bottom w:val="none" w:sz="0" w:space="0" w:color="auto"/>
            <w:right w:val="none" w:sz="0" w:space="0" w:color="auto"/>
          </w:divBdr>
        </w:div>
        <w:div w:id="1158618898">
          <w:marLeft w:val="1267"/>
          <w:marRight w:val="0"/>
          <w:marTop w:val="67"/>
          <w:marBottom w:val="0"/>
          <w:divBdr>
            <w:top w:val="none" w:sz="0" w:space="0" w:color="auto"/>
            <w:left w:val="none" w:sz="0" w:space="0" w:color="auto"/>
            <w:bottom w:val="none" w:sz="0" w:space="0" w:color="auto"/>
            <w:right w:val="none" w:sz="0" w:space="0" w:color="auto"/>
          </w:divBdr>
        </w:div>
        <w:div w:id="540439351">
          <w:marLeft w:val="1267"/>
          <w:marRight w:val="0"/>
          <w:marTop w:val="67"/>
          <w:marBottom w:val="0"/>
          <w:divBdr>
            <w:top w:val="none" w:sz="0" w:space="0" w:color="auto"/>
            <w:left w:val="none" w:sz="0" w:space="0" w:color="auto"/>
            <w:bottom w:val="none" w:sz="0" w:space="0" w:color="auto"/>
            <w:right w:val="none" w:sz="0" w:space="0" w:color="auto"/>
          </w:divBdr>
        </w:div>
        <w:div w:id="431898636">
          <w:marLeft w:val="1987"/>
          <w:marRight w:val="0"/>
          <w:marTop w:val="58"/>
          <w:marBottom w:val="0"/>
          <w:divBdr>
            <w:top w:val="none" w:sz="0" w:space="0" w:color="auto"/>
            <w:left w:val="none" w:sz="0" w:space="0" w:color="auto"/>
            <w:bottom w:val="none" w:sz="0" w:space="0" w:color="auto"/>
            <w:right w:val="none" w:sz="0" w:space="0" w:color="auto"/>
          </w:divBdr>
        </w:div>
        <w:div w:id="2117090278">
          <w:marLeft w:val="1987"/>
          <w:marRight w:val="0"/>
          <w:marTop w:val="58"/>
          <w:marBottom w:val="0"/>
          <w:divBdr>
            <w:top w:val="none" w:sz="0" w:space="0" w:color="auto"/>
            <w:left w:val="none" w:sz="0" w:space="0" w:color="auto"/>
            <w:bottom w:val="none" w:sz="0" w:space="0" w:color="auto"/>
            <w:right w:val="none" w:sz="0" w:space="0" w:color="auto"/>
          </w:divBdr>
        </w:div>
        <w:div w:id="189027192">
          <w:marLeft w:val="1987"/>
          <w:marRight w:val="0"/>
          <w:marTop w:val="58"/>
          <w:marBottom w:val="0"/>
          <w:divBdr>
            <w:top w:val="none" w:sz="0" w:space="0" w:color="auto"/>
            <w:left w:val="none" w:sz="0" w:space="0" w:color="auto"/>
            <w:bottom w:val="none" w:sz="0" w:space="0" w:color="auto"/>
            <w:right w:val="none" w:sz="0" w:space="0" w:color="auto"/>
          </w:divBdr>
        </w:div>
        <w:div w:id="351954010">
          <w:marLeft w:val="1987"/>
          <w:marRight w:val="0"/>
          <w:marTop w:val="58"/>
          <w:marBottom w:val="0"/>
          <w:divBdr>
            <w:top w:val="none" w:sz="0" w:space="0" w:color="auto"/>
            <w:left w:val="none" w:sz="0" w:space="0" w:color="auto"/>
            <w:bottom w:val="none" w:sz="0" w:space="0" w:color="auto"/>
            <w:right w:val="none" w:sz="0" w:space="0" w:color="auto"/>
          </w:divBdr>
        </w:div>
        <w:div w:id="1053383034">
          <w:marLeft w:val="1267"/>
          <w:marRight w:val="0"/>
          <w:marTop w:val="67"/>
          <w:marBottom w:val="0"/>
          <w:divBdr>
            <w:top w:val="none" w:sz="0" w:space="0" w:color="auto"/>
            <w:left w:val="none" w:sz="0" w:space="0" w:color="auto"/>
            <w:bottom w:val="none" w:sz="0" w:space="0" w:color="auto"/>
            <w:right w:val="none" w:sz="0" w:space="0" w:color="auto"/>
          </w:divBdr>
        </w:div>
        <w:div w:id="647366110">
          <w:marLeft w:val="1987"/>
          <w:marRight w:val="0"/>
          <w:marTop w:val="58"/>
          <w:marBottom w:val="0"/>
          <w:divBdr>
            <w:top w:val="none" w:sz="0" w:space="0" w:color="auto"/>
            <w:left w:val="none" w:sz="0" w:space="0" w:color="auto"/>
            <w:bottom w:val="none" w:sz="0" w:space="0" w:color="auto"/>
            <w:right w:val="none" w:sz="0" w:space="0" w:color="auto"/>
          </w:divBdr>
        </w:div>
        <w:div w:id="904950862">
          <w:marLeft w:val="1987"/>
          <w:marRight w:val="0"/>
          <w:marTop w:val="58"/>
          <w:marBottom w:val="0"/>
          <w:divBdr>
            <w:top w:val="none" w:sz="0" w:space="0" w:color="auto"/>
            <w:left w:val="none" w:sz="0" w:space="0" w:color="auto"/>
            <w:bottom w:val="none" w:sz="0" w:space="0" w:color="auto"/>
            <w:right w:val="none" w:sz="0" w:space="0" w:color="auto"/>
          </w:divBdr>
        </w:div>
      </w:divsChild>
    </w:div>
    <w:div w:id="69930487">
      <w:bodyDiv w:val="1"/>
      <w:marLeft w:val="0"/>
      <w:marRight w:val="0"/>
      <w:marTop w:val="0"/>
      <w:marBottom w:val="0"/>
      <w:divBdr>
        <w:top w:val="none" w:sz="0" w:space="0" w:color="auto"/>
        <w:left w:val="none" w:sz="0" w:space="0" w:color="auto"/>
        <w:bottom w:val="none" w:sz="0" w:space="0" w:color="auto"/>
        <w:right w:val="none" w:sz="0" w:space="0" w:color="auto"/>
      </w:divBdr>
      <w:divsChild>
        <w:div w:id="2065136689">
          <w:marLeft w:val="1282"/>
          <w:marRight w:val="14"/>
          <w:marTop w:val="53"/>
          <w:marBottom w:val="0"/>
          <w:divBdr>
            <w:top w:val="none" w:sz="0" w:space="0" w:color="auto"/>
            <w:left w:val="none" w:sz="0" w:space="0" w:color="auto"/>
            <w:bottom w:val="none" w:sz="0" w:space="0" w:color="auto"/>
            <w:right w:val="none" w:sz="0" w:space="0" w:color="auto"/>
          </w:divBdr>
        </w:div>
      </w:divsChild>
    </w:div>
    <w:div w:id="87309517">
      <w:bodyDiv w:val="1"/>
      <w:marLeft w:val="0"/>
      <w:marRight w:val="0"/>
      <w:marTop w:val="0"/>
      <w:marBottom w:val="0"/>
      <w:divBdr>
        <w:top w:val="none" w:sz="0" w:space="0" w:color="auto"/>
        <w:left w:val="none" w:sz="0" w:space="0" w:color="auto"/>
        <w:bottom w:val="none" w:sz="0" w:space="0" w:color="auto"/>
        <w:right w:val="none" w:sz="0" w:space="0" w:color="auto"/>
      </w:divBdr>
      <w:divsChild>
        <w:div w:id="1043481712">
          <w:marLeft w:val="547"/>
          <w:marRight w:val="0"/>
          <w:marTop w:val="62"/>
          <w:marBottom w:val="0"/>
          <w:divBdr>
            <w:top w:val="none" w:sz="0" w:space="0" w:color="auto"/>
            <w:left w:val="none" w:sz="0" w:space="0" w:color="auto"/>
            <w:bottom w:val="none" w:sz="0" w:space="0" w:color="auto"/>
            <w:right w:val="none" w:sz="0" w:space="0" w:color="auto"/>
          </w:divBdr>
        </w:div>
        <w:div w:id="1827162827">
          <w:marLeft w:val="547"/>
          <w:marRight w:val="0"/>
          <w:marTop w:val="62"/>
          <w:marBottom w:val="0"/>
          <w:divBdr>
            <w:top w:val="none" w:sz="0" w:space="0" w:color="auto"/>
            <w:left w:val="none" w:sz="0" w:space="0" w:color="auto"/>
            <w:bottom w:val="none" w:sz="0" w:space="0" w:color="auto"/>
            <w:right w:val="none" w:sz="0" w:space="0" w:color="auto"/>
          </w:divBdr>
        </w:div>
        <w:div w:id="906767886">
          <w:marLeft w:val="547"/>
          <w:marRight w:val="0"/>
          <w:marTop w:val="62"/>
          <w:marBottom w:val="0"/>
          <w:divBdr>
            <w:top w:val="none" w:sz="0" w:space="0" w:color="auto"/>
            <w:left w:val="none" w:sz="0" w:space="0" w:color="auto"/>
            <w:bottom w:val="none" w:sz="0" w:space="0" w:color="auto"/>
            <w:right w:val="none" w:sz="0" w:space="0" w:color="auto"/>
          </w:divBdr>
        </w:div>
        <w:div w:id="1696268327">
          <w:marLeft w:val="1166"/>
          <w:marRight w:val="0"/>
          <w:marTop w:val="62"/>
          <w:marBottom w:val="0"/>
          <w:divBdr>
            <w:top w:val="none" w:sz="0" w:space="0" w:color="auto"/>
            <w:left w:val="none" w:sz="0" w:space="0" w:color="auto"/>
            <w:bottom w:val="none" w:sz="0" w:space="0" w:color="auto"/>
            <w:right w:val="none" w:sz="0" w:space="0" w:color="auto"/>
          </w:divBdr>
        </w:div>
        <w:div w:id="1357585798">
          <w:marLeft w:val="1166"/>
          <w:marRight w:val="0"/>
          <w:marTop w:val="62"/>
          <w:marBottom w:val="0"/>
          <w:divBdr>
            <w:top w:val="none" w:sz="0" w:space="0" w:color="auto"/>
            <w:left w:val="none" w:sz="0" w:space="0" w:color="auto"/>
            <w:bottom w:val="none" w:sz="0" w:space="0" w:color="auto"/>
            <w:right w:val="none" w:sz="0" w:space="0" w:color="auto"/>
          </w:divBdr>
        </w:div>
        <w:div w:id="2134664156">
          <w:marLeft w:val="1166"/>
          <w:marRight w:val="0"/>
          <w:marTop w:val="62"/>
          <w:marBottom w:val="0"/>
          <w:divBdr>
            <w:top w:val="none" w:sz="0" w:space="0" w:color="auto"/>
            <w:left w:val="none" w:sz="0" w:space="0" w:color="auto"/>
            <w:bottom w:val="none" w:sz="0" w:space="0" w:color="auto"/>
            <w:right w:val="none" w:sz="0" w:space="0" w:color="auto"/>
          </w:divBdr>
        </w:div>
        <w:div w:id="355351359">
          <w:marLeft w:val="1166"/>
          <w:marRight w:val="0"/>
          <w:marTop w:val="62"/>
          <w:marBottom w:val="0"/>
          <w:divBdr>
            <w:top w:val="none" w:sz="0" w:space="0" w:color="auto"/>
            <w:left w:val="none" w:sz="0" w:space="0" w:color="auto"/>
            <w:bottom w:val="none" w:sz="0" w:space="0" w:color="auto"/>
            <w:right w:val="none" w:sz="0" w:space="0" w:color="auto"/>
          </w:divBdr>
        </w:div>
      </w:divsChild>
    </w:div>
    <w:div w:id="88474062">
      <w:bodyDiv w:val="1"/>
      <w:marLeft w:val="0"/>
      <w:marRight w:val="0"/>
      <w:marTop w:val="0"/>
      <w:marBottom w:val="0"/>
      <w:divBdr>
        <w:top w:val="none" w:sz="0" w:space="0" w:color="auto"/>
        <w:left w:val="none" w:sz="0" w:space="0" w:color="auto"/>
        <w:bottom w:val="none" w:sz="0" w:space="0" w:color="auto"/>
        <w:right w:val="none" w:sz="0" w:space="0" w:color="auto"/>
      </w:divBdr>
    </w:div>
    <w:div w:id="118645504">
      <w:bodyDiv w:val="1"/>
      <w:marLeft w:val="0"/>
      <w:marRight w:val="0"/>
      <w:marTop w:val="0"/>
      <w:marBottom w:val="0"/>
      <w:divBdr>
        <w:top w:val="none" w:sz="0" w:space="0" w:color="auto"/>
        <w:left w:val="none" w:sz="0" w:space="0" w:color="auto"/>
        <w:bottom w:val="none" w:sz="0" w:space="0" w:color="auto"/>
        <w:right w:val="none" w:sz="0" w:space="0" w:color="auto"/>
      </w:divBdr>
    </w:div>
    <w:div w:id="127822209">
      <w:bodyDiv w:val="1"/>
      <w:marLeft w:val="0"/>
      <w:marRight w:val="0"/>
      <w:marTop w:val="0"/>
      <w:marBottom w:val="0"/>
      <w:divBdr>
        <w:top w:val="none" w:sz="0" w:space="0" w:color="auto"/>
        <w:left w:val="none" w:sz="0" w:space="0" w:color="auto"/>
        <w:bottom w:val="none" w:sz="0" w:space="0" w:color="auto"/>
        <w:right w:val="none" w:sz="0" w:space="0" w:color="auto"/>
      </w:divBdr>
      <w:divsChild>
        <w:div w:id="820537991">
          <w:marLeft w:val="547"/>
          <w:marRight w:val="0"/>
          <w:marTop w:val="58"/>
          <w:marBottom w:val="0"/>
          <w:divBdr>
            <w:top w:val="none" w:sz="0" w:space="0" w:color="auto"/>
            <w:left w:val="none" w:sz="0" w:space="0" w:color="auto"/>
            <w:bottom w:val="none" w:sz="0" w:space="0" w:color="auto"/>
            <w:right w:val="none" w:sz="0" w:space="0" w:color="auto"/>
          </w:divBdr>
        </w:div>
        <w:div w:id="639961169">
          <w:marLeft w:val="547"/>
          <w:marRight w:val="0"/>
          <w:marTop w:val="58"/>
          <w:marBottom w:val="0"/>
          <w:divBdr>
            <w:top w:val="none" w:sz="0" w:space="0" w:color="auto"/>
            <w:left w:val="none" w:sz="0" w:space="0" w:color="auto"/>
            <w:bottom w:val="none" w:sz="0" w:space="0" w:color="auto"/>
            <w:right w:val="none" w:sz="0" w:space="0" w:color="auto"/>
          </w:divBdr>
        </w:div>
      </w:divsChild>
    </w:div>
    <w:div w:id="176579701">
      <w:bodyDiv w:val="1"/>
      <w:marLeft w:val="0"/>
      <w:marRight w:val="0"/>
      <w:marTop w:val="0"/>
      <w:marBottom w:val="0"/>
      <w:divBdr>
        <w:top w:val="none" w:sz="0" w:space="0" w:color="auto"/>
        <w:left w:val="none" w:sz="0" w:space="0" w:color="auto"/>
        <w:bottom w:val="none" w:sz="0" w:space="0" w:color="auto"/>
        <w:right w:val="none" w:sz="0" w:space="0" w:color="auto"/>
      </w:divBdr>
    </w:div>
    <w:div w:id="298536165">
      <w:bodyDiv w:val="1"/>
      <w:marLeft w:val="0"/>
      <w:marRight w:val="0"/>
      <w:marTop w:val="0"/>
      <w:marBottom w:val="0"/>
      <w:divBdr>
        <w:top w:val="none" w:sz="0" w:space="0" w:color="auto"/>
        <w:left w:val="none" w:sz="0" w:space="0" w:color="auto"/>
        <w:bottom w:val="none" w:sz="0" w:space="0" w:color="auto"/>
        <w:right w:val="none" w:sz="0" w:space="0" w:color="auto"/>
      </w:divBdr>
      <w:divsChild>
        <w:div w:id="898513261">
          <w:marLeft w:val="1282"/>
          <w:marRight w:val="14"/>
          <w:marTop w:val="50"/>
          <w:marBottom w:val="0"/>
          <w:divBdr>
            <w:top w:val="none" w:sz="0" w:space="0" w:color="auto"/>
            <w:left w:val="none" w:sz="0" w:space="0" w:color="auto"/>
            <w:bottom w:val="none" w:sz="0" w:space="0" w:color="auto"/>
            <w:right w:val="none" w:sz="0" w:space="0" w:color="auto"/>
          </w:divBdr>
        </w:div>
      </w:divsChild>
    </w:div>
    <w:div w:id="333849594">
      <w:bodyDiv w:val="1"/>
      <w:marLeft w:val="0"/>
      <w:marRight w:val="0"/>
      <w:marTop w:val="0"/>
      <w:marBottom w:val="0"/>
      <w:divBdr>
        <w:top w:val="none" w:sz="0" w:space="0" w:color="auto"/>
        <w:left w:val="none" w:sz="0" w:space="0" w:color="auto"/>
        <w:bottom w:val="none" w:sz="0" w:space="0" w:color="auto"/>
        <w:right w:val="none" w:sz="0" w:space="0" w:color="auto"/>
      </w:divBdr>
    </w:div>
    <w:div w:id="344982070">
      <w:bodyDiv w:val="1"/>
      <w:marLeft w:val="0"/>
      <w:marRight w:val="0"/>
      <w:marTop w:val="0"/>
      <w:marBottom w:val="0"/>
      <w:divBdr>
        <w:top w:val="none" w:sz="0" w:space="0" w:color="auto"/>
        <w:left w:val="none" w:sz="0" w:space="0" w:color="auto"/>
        <w:bottom w:val="none" w:sz="0" w:space="0" w:color="auto"/>
        <w:right w:val="none" w:sz="0" w:space="0" w:color="auto"/>
      </w:divBdr>
      <w:divsChild>
        <w:div w:id="1542787847">
          <w:marLeft w:val="547"/>
          <w:marRight w:val="0"/>
          <w:marTop w:val="58"/>
          <w:marBottom w:val="0"/>
          <w:divBdr>
            <w:top w:val="none" w:sz="0" w:space="0" w:color="auto"/>
            <w:left w:val="none" w:sz="0" w:space="0" w:color="auto"/>
            <w:bottom w:val="none" w:sz="0" w:space="0" w:color="auto"/>
            <w:right w:val="none" w:sz="0" w:space="0" w:color="auto"/>
          </w:divBdr>
        </w:div>
        <w:div w:id="762839882">
          <w:marLeft w:val="547"/>
          <w:marRight w:val="0"/>
          <w:marTop w:val="58"/>
          <w:marBottom w:val="0"/>
          <w:divBdr>
            <w:top w:val="none" w:sz="0" w:space="0" w:color="auto"/>
            <w:left w:val="none" w:sz="0" w:space="0" w:color="auto"/>
            <w:bottom w:val="none" w:sz="0" w:space="0" w:color="auto"/>
            <w:right w:val="none" w:sz="0" w:space="0" w:color="auto"/>
          </w:divBdr>
        </w:div>
        <w:div w:id="649405628">
          <w:marLeft w:val="547"/>
          <w:marRight w:val="0"/>
          <w:marTop w:val="58"/>
          <w:marBottom w:val="0"/>
          <w:divBdr>
            <w:top w:val="none" w:sz="0" w:space="0" w:color="auto"/>
            <w:left w:val="none" w:sz="0" w:space="0" w:color="auto"/>
            <w:bottom w:val="none" w:sz="0" w:space="0" w:color="auto"/>
            <w:right w:val="none" w:sz="0" w:space="0" w:color="auto"/>
          </w:divBdr>
        </w:div>
        <w:div w:id="265650106">
          <w:marLeft w:val="1166"/>
          <w:marRight w:val="0"/>
          <w:marTop w:val="53"/>
          <w:marBottom w:val="0"/>
          <w:divBdr>
            <w:top w:val="none" w:sz="0" w:space="0" w:color="auto"/>
            <w:left w:val="none" w:sz="0" w:space="0" w:color="auto"/>
            <w:bottom w:val="none" w:sz="0" w:space="0" w:color="auto"/>
            <w:right w:val="none" w:sz="0" w:space="0" w:color="auto"/>
          </w:divBdr>
        </w:div>
        <w:div w:id="1528715101">
          <w:marLeft w:val="1166"/>
          <w:marRight w:val="0"/>
          <w:marTop w:val="53"/>
          <w:marBottom w:val="0"/>
          <w:divBdr>
            <w:top w:val="none" w:sz="0" w:space="0" w:color="auto"/>
            <w:left w:val="none" w:sz="0" w:space="0" w:color="auto"/>
            <w:bottom w:val="none" w:sz="0" w:space="0" w:color="auto"/>
            <w:right w:val="none" w:sz="0" w:space="0" w:color="auto"/>
          </w:divBdr>
        </w:div>
        <w:div w:id="1459493333">
          <w:marLeft w:val="1166"/>
          <w:marRight w:val="0"/>
          <w:marTop w:val="53"/>
          <w:marBottom w:val="0"/>
          <w:divBdr>
            <w:top w:val="none" w:sz="0" w:space="0" w:color="auto"/>
            <w:left w:val="none" w:sz="0" w:space="0" w:color="auto"/>
            <w:bottom w:val="none" w:sz="0" w:space="0" w:color="auto"/>
            <w:right w:val="none" w:sz="0" w:space="0" w:color="auto"/>
          </w:divBdr>
        </w:div>
      </w:divsChild>
    </w:div>
    <w:div w:id="366878297">
      <w:bodyDiv w:val="1"/>
      <w:marLeft w:val="0"/>
      <w:marRight w:val="0"/>
      <w:marTop w:val="0"/>
      <w:marBottom w:val="0"/>
      <w:divBdr>
        <w:top w:val="none" w:sz="0" w:space="0" w:color="auto"/>
        <w:left w:val="none" w:sz="0" w:space="0" w:color="auto"/>
        <w:bottom w:val="none" w:sz="0" w:space="0" w:color="auto"/>
        <w:right w:val="none" w:sz="0" w:space="0" w:color="auto"/>
      </w:divBdr>
      <w:divsChild>
        <w:div w:id="1027801586">
          <w:marLeft w:val="547"/>
          <w:marRight w:val="0"/>
          <w:marTop w:val="0"/>
          <w:marBottom w:val="120"/>
          <w:divBdr>
            <w:top w:val="none" w:sz="0" w:space="0" w:color="auto"/>
            <w:left w:val="none" w:sz="0" w:space="0" w:color="auto"/>
            <w:bottom w:val="none" w:sz="0" w:space="0" w:color="auto"/>
            <w:right w:val="none" w:sz="0" w:space="0" w:color="auto"/>
          </w:divBdr>
        </w:div>
        <w:div w:id="1658147350">
          <w:marLeft w:val="1166"/>
          <w:marRight w:val="0"/>
          <w:marTop w:val="0"/>
          <w:marBottom w:val="120"/>
          <w:divBdr>
            <w:top w:val="none" w:sz="0" w:space="0" w:color="auto"/>
            <w:left w:val="none" w:sz="0" w:space="0" w:color="auto"/>
            <w:bottom w:val="none" w:sz="0" w:space="0" w:color="auto"/>
            <w:right w:val="none" w:sz="0" w:space="0" w:color="auto"/>
          </w:divBdr>
        </w:div>
        <w:div w:id="2105106500">
          <w:marLeft w:val="547"/>
          <w:marRight w:val="0"/>
          <w:marTop w:val="0"/>
          <w:marBottom w:val="120"/>
          <w:divBdr>
            <w:top w:val="none" w:sz="0" w:space="0" w:color="auto"/>
            <w:left w:val="none" w:sz="0" w:space="0" w:color="auto"/>
            <w:bottom w:val="none" w:sz="0" w:space="0" w:color="auto"/>
            <w:right w:val="none" w:sz="0" w:space="0" w:color="auto"/>
          </w:divBdr>
        </w:div>
        <w:div w:id="299307157">
          <w:marLeft w:val="1166"/>
          <w:marRight w:val="0"/>
          <w:marTop w:val="0"/>
          <w:marBottom w:val="60"/>
          <w:divBdr>
            <w:top w:val="none" w:sz="0" w:space="0" w:color="auto"/>
            <w:left w:val="none" w:sz="0" w:space="0" w:color="auto"/>
            <w:bottom w:val="none" w:sz="0" w:space="0" w:color="auto"/>
            <w:right w:val="none" w:sz="0" w:space="0" w:color="auto"/>
          </w:divBdr>
        </w:div>
        <w:div w:id="1039747429">
          <w:marLeft w:val="1166"/>
          <w:marRight w:val="0"/>
          <w:marTop w:val="0"/>
          <w:marBottom w:val="120"/>
          <w:divBdr>
            <w:top w:val="none" w:sz="0" w:space="0" w:color="auto"/>
            <w:left w:val="none" w:sz="0" w:space="0" w:color="auto"/>
            <w:bottom w:val="none" w:sz="0" w:space="0" w:color="auto"/>
            <w:right w:val="none" w:sz="0" w:space="0" w:color="auto"/>
          </w:divBdr>
        </w:div>
        <w:div w:id="459374569">
          <w:marLeft w:val="547"/>
          <w:marRight w:val="0"/>
          <w:marTop w:val="0"/>
          <w:marBottom w:val="120"/>
          <w:divBdr>
            <w:top w:val="none" w:sz="0" w:space="0" w:color="auto"/>
            <w:left w:val="none" w:sz="0" w:space="0" w:color="auto"/>
            <w:bottom w:val="none" w:sz="0" w:space="0" w:color="auto"/>
            <w:right w:val="none" w:sz="0" w:space="0" w:color="auto"/>
          </w:divBdr>
        </w:div>
        <w:div w:id="159666358">
          <w:marLeft w:val="1166"/>
          <w:marRight w:val="0"/>
          <w:marTop w:val="0"/>
          <w:marBottom w:val="120"/>
          <w:divBdr>
            <w:top w:val="none" w:sz="0" w:space="0" w:color="auto"/>
            <w:left w:val="none" w:sz="0" w:space="0" w:color="auto"/>
            <w:bottom w:val="none" w:sz="0" w:space="0" w:color="auto"/>
            <w:right w:val="none" w:sz="0" w:space="0" w:color="auto"/>
          </w:divBdr>
        </w:div>
        <w:div w:id="176844494">
          <w:marLeft w:val="1166"/>
          <w:marRight w:val="0"/>
          <w:marTop w:val="0"/>
          <w:marBottom w:val="120"/>
          <w:divBdr>
            <w:top w:val="none" w:sz="0" w:space="0" w:color="auto"/>
            <w:left w:val="none" w:sz="0" w:space="0" w:color="auto"/>
            <w:bottom w:val="none" w:sz="0" w:space="0" w:color="auto"/>
            <w:right w:val="none" w:sz="0" w:space="0" w:color="auto"/>
          </w:divBdr>
        </w:div>
        <w:div w:id="2067604770">
          <w:marLeft w:val="1166"/>
          <w:marRight w:val="0"/>
          <w:marTop w:val="0"/>
          <w:marBottom w:val="120"/>
          <w:divBdr>
            <w:top w:val="none" w:sz="0" w:space="0" w:color="auto"/>
            <w:left w:val="none" w:sz="0" w:space="0" w:color="auto"/>
            <w:bottom w:val="none" w:sz="0" w:space="0" w:color="auto"/>
            <w:right w:val="none" w:sz="0" w:space="0" w:color="auto"/>
          </w:divBdr>
        </w:div>
      </w:divsChild>
    </w:div>
    <w:div w:id="381828468">
      <w:bodyDiv w:val="1"/>
      <w:marLeft w:val="0"/>
      <w:marRight w:val="0"/>
      <w:marTop w:val="0"/>
      <w:marBottom w:val="0"/>
      <w:divBdr>
        <w:top w:val="none" w:sz="0" w:space="0" w:color="auto"/>
        <w:left w:val="none" w:sz="0" w:space="0" w:color="auto"/>
        <w:bottom w:val="none" w:sz="0" w:space="0" w:color="auto"/>
        <w:right w:val="none" w:sz="0" w:space="0" w:color="auto"/>
      </w:divBdr>
      <w:divsChild>
        <w:div w:id="1058090912">
          <w:marLeft w:val="547"/>
          <w:marRight w:val="0"/>
          <w:marTop w:val="0"/>
          <w:marBottom w:val="120"/>
          <w:divBdr>
            <w:top w:val="none" w:sz="0" w:space="0" w:color="auto"/>
            <w:left w:val="none" w:sz="0" w:space="0" w:color="auto"/>
            <w:bottom w:val="none" w:sz="0" w:space="0" w:color="auto"/>
            <w:right w:val="none" w:sz="0" w:space="0" w:color="auto"/>
          </w:divBdr>
        </w:div>
      </w:divsChild>
    </w:div>
    <w:div w:id="422386199">
      <w:bodyDiv w:val="1"/>
      <w:marLeft w:val="0"/>
      <w:marRight w:val="0"/>
      <w:marTop w:val="0"/>
      <w:marBottom w:val="0"/>
      <w:divBdr>
        <w:top w:val="none" w:sz="0" w:space="0" w:color="auto"/>
        <w:left w:val="none" w:sz="0" w:space="0" w:color="auto"/>
        <w:bottom w:val="none" w:sz="0" w:space="0" w:color="auto"/>
        <w:right w:val="none" w:sz="0" w:space="0" w:color="auto"/>
      </w:divBdr>
      <w:divsChild>
        <w:div w:id="580142379">
          <w:marLeft w:val="374"/>
          <w:marRight w:val="0"/>
          <w:marTop w:val="0"/>
          <w:marBottom w:val="0"/>
          <w:divBdr>
            <w:top w:val="none" w:sz="0" w:space="0" w:color="auto"/>
            <w:left w:val="none" w:sz="0" w:space="0" w:color="auto"/>
            <w:bottom w:val="none" w:sz="0" w:space="0" w:color="auto"/>
            <w:right w:val="none" w:sz="0" w:space="0" w:color="auto"/>
          </w:divBdr>
        </w:div>
        <w:div w:id="1114402478">
          <w:marLeft w:val="374"/>
          <w:marRight w:val="0"/>
          <w:marTop w:val="57"/>
          <w:marBottom w:val="0"/>
          <w:divBdr>
            <w:top w:val="none" w:sz="0" w:space="0" w:color="auto"/>
            <w:left w:val="none" w:sz="0" w:space="0" w:color="auto"/>
            <w:bottom w:val="none" w:sz="0" w:space="0" w:color="auto"/>
            <w:right w:val="none" w:sz="0" w:space="0" w:color="auto"/>
          </w:divBdr>
        </w:div>
        <w:div w:id="129250609">
          <w:marLeft w:val="374"/>
          <w:marRight w:val="14"/>
          <w:marTop w:val="57"/>
          <w:marBottom w:val="0"/>
          <w:divBdr>
            <w:top w:val="none" w:sz="0" w:space="0" w:color="auto"/>
            <w:left w:val="none" w:sz="0" w:space="0" w:color="auto"/>
            <w:bottom w:val="none" w:sz="0" w:space="0" w:color="auto"/>
            <w:right w:val="none" w:sz="0" w:space="0" w:color="auto"/>
          </w:divBdr>
        </w:div>
        <w:div w:id="1756592872">
          <w:marLeft w:val="374"/>
          <w:marRight w:val="0"/>
          <w:marTop w:val="57"/>
          <w:marBottom w:val="0"/>
          <w:divBdr>
            <w:top w:val="none" w:sz="0" w:space="0" w:color="auto"/>
            <w:left w:val="none" w:sz="0" w:space="0" w:color="auto"/>
            <w:bottom w:val="none" w:sz="0" w:space="0" w:color="auto"/>
            <w:right w:val="none" w:sz="0" w:space="0" w:color="auto"/>
          </w:divBdr>
        </w:div>
        <w:div w:id="2061006946">
          <w:marLeft w:val="1282"/>
          <w:marRight w:val="0"/>
          <w:marTop w:val="53"/>
          <w:marBottom w:val="0"/>
          <w:divBdr>
            <w:top w:val="none" w:sz="0" w:space="0" w:color="auto"/>
            <w:left w:val="none" w:sz="0" w:space="0" w:color="auto"/>
            <w:bottom w:val="none" w:sz="0" w:space="0" w:color="auto"/>
            <w:right w:val="none" w:sz="0" w:space="0" w:color="auto"/>
          </w:divBdr>
        </w:div>
        <w:div w:id="1050150428">
          <w:marLeft w:val="1282"/>
          <w:marRight w:val="0"/>
          <w:marTop w:val="53"/>
          <w:marBottom w:val="0"/>
          <w:divBdr>
            <w:top w:val="none" w:sz="0" w:space="0" w:color="auto"/>
            <w:left w:val="none" w:sz="0" w:space="0" w:color="auto"/>
            <w:bottom w:val="none" w:sz="0" w:space="0" w:color="auto"/>
            <w:right w:val="none" w:sz="0" w:space="0" w:color="auto"/>
          </w:divBdr>
        </w:div>
        <w:div w:id="49116699">
          <w:marLeft w:val="374"/>
          <w:marRight w:val="29"/>
          <w:marTop w:val="56"/>
          <w:marBottom w:val="0"/>
          <w:divBdr>
            <w:top w:val="none" w:sz="0" w:space="0" w:color="auto"/>
            <w:left w:val="none" w:sz="0" w:space="0" w:color="auto"/>
            <w:bottom w:val="none" w:sz="0" w:space="0" w:color="auto"/>
            <w:right w:val="none" w:sz="0" w:space="0" w:color="auto"/>
          </w:divBdr>
        </w:div>
        <w:div w:id="133720022">
          <w:marLeft w:val="374"/>
          <w:marRight w:val="0"/>
          <w:marTop w:val="57"/>
          <w:marBottom w:val="0"/>
          <w:divBdr>
            <w:top w:val="none" w:sz="0" w:space="0" w:color="auto"/>
            <w:left w:val="none" w:sz="0" w:space="0" w:color="auto"/>
            <w:bottom w:val="none" w:sz="0" w:space="0" w:color="auto"/>
            <w:right w:val="none" w:sz="0" w:space="0" w:color="auto"/>
          </w:divBdr>
        </w:div>
      </w:divsChild>
    </w:div>
    <w:div w:id="432822720">
      <w:bodyDiv w:val="1"/>
      <w:marLeft w:val="0"/>
      <w:marRight w:val="0"/>
      <w:marTop w:val="0"/>
      <w:marBottom w:val="0"/>
      <w:divBdr>
        <w:top w:val="none" w:sz="0" w:space="0" w:color="auto"/>
        <w:left w:val="none" w:sz="0" w:space="0" w:color="auto"/>
        <w:bottom w:val="none" w:sz="0" w:space="0" w:color="auto"/>
        <w:right w:val="none" w:sz="0" w:space="0" w:color="auto"/>
      </w:divBdr>
      <w:divsChild>
        <w:div w:id="1410732224">
          <w:marLeft w:val="0"/>
          <w:marRight w:val="0"/>
          <w:marTop w:val="0"/>
          <w:marBottom w:val="0"/>
          <w:divBdr>
            <w:top w:val="none" w:sz="0" w:space="0" w:color="auto"/>
            <w:left w:val="none" w:sz="0" w:space="0" w:color="auto"/>
            <w:bottom w:val="none" w:sz="0" w:space="0" w:color="auto"/>
            <w:right w:val="none" w:sz="0" w:space="0" w:color="auto"/>
          </w:divBdr>
        </w:div>
      </w:divsChild>
    </w:div>
    <w:div w:id="462696854">
      <w:bodyDiv w:val="1"/>
      <w:marLeft w:val="0"/>
      <w:marRight w:val="0"/>
      <w:marTop w:val="0"/>
      <w:marBottom w:val="0"/>
      <w:divBdr>
        <w:top w:val="none" w:sz="0" w:space="0" w:color="auto"/>
        <w:left w:val="none" w:sz="0" w:space="0" w:color="auto"/>
        <w:bottom w:val="none" w:sz="0" w:space="0" w:color="auto"/>
        <w:right w:val="none" w:sz="0" w:space="0" w:color="auto"/>
      </w:divBdr>
    </w:div>
    <w:div w:id="462819255">
      <w:bodyDiv w:val="1"/>
      <w:marLeft w:val="0"/>
      <w:marRight w:val="0"/>
      <w:marTop w:val="0"/>
      <w:marBottom w:val="0"/>
      <w:divBdr>
        <w:top w:val="none" w:sz="0" w:space="0" w:color="auto"/>
        <w:left w:val="none" w:sz="0" w:space="0" w:color="auto"/>
        <w:bottom w:val="none" w:sz="0" w:space="0" w:color="auto"/>
        <w:right w:val="none" w:sz="0" w:space="0" w:color="auto"/>
      </w:divBdr>
      <w:divsChild>
        <w:div w:id="329337936">
          <w:marLeft w:val="446"/>
          <w:marRight w:val="0"/>
          <w:marTop w:val="62"/>
          <w:marBottom w:val="0"/>
          <w:divBdr>
            <w:top w:val="none" w:sz="0" w:space="0" w:color="auto"/>
            <w:left w:val="none" w:sz="0" w:space="0" w:color="auto"/>
            <w:bottom w:val="none" w:sz="0" w:space="0" w:color="auto"/>
            <w:right w:val="none" w:sz="0" w:space="0" w:color="auto"/>
          </w:divBdr>
        </w:div>
        <w:div w:id="2009868280">
          <w:marLeft w:val="1166"/>
          <w:marRight w:val="0"/>
          <w:marTop w:val="62"/>
          <w:marBottom w:val="0"/>
          <w:divBdr>
            <w:top w:val="none" w:sz="0" w:space="0" w:color="auto"/>
            <w:left w:val="none" w:sz="0" w:space="0" w:color="auto"/>
            <w:bottom w:val="none" w:sz="0" w:space="0" w:color="auto"/>
            <w:right w:val="none" w:sz="0" w:space="0" w:color="auto"/>
          </w:divBdr>
        </w:div>
        <w:div w:id="1960909960">
          <w:marLeft w:val="1166"/>
          <w:marRight w:val="0"/>
          <w:marTop w:val="62"/>
          <w:marBottom w:val="120"/>
          <w:divBdr>
            <w:top w:val="none" w:sz="0" w:space="0" w:color="auto"/>
            <w:left w:val="none" w:sz="0" w:space="0" w:color="auto"/>
            <w:bottom w:val="none" w:sz="0" w:space="0" w:color="auto"/>
            <w:right w:val="none" w:sz="0" w:space="0" w:color="auto"/>
          </w:divBdr>
        </w:div>
      </w:divsChild>
    </w:div>
    <w:div w:id="467433466">
      <w:bodyDiv w:val="1"/>
      <w:marLeft w:val="0"/>
      <w:marRight w:val="0"/>
      <w:marTop w:val="0"/>
      <w:marBottom w:val="0"/>
      <w:divBdr>
        <w:top w:val="none" w:sz="0" w:space="0" w:color="auto"/>
        <w:left w:val="none" w:sz="0" w:space="0" w:color="auto"/>
        <w:bottom w:val="none" w:sz="0" w:space="0" w:color="auto"/>
        <w:right w:val="none" w:sz="0" w:space="0" w:color="auto"/>
      </w:divBdr>
      <w:divsChild>
        <w:div w:id="1127234325">
          <w:marLeft w:val="562"/>
          <w:marRight w:val="14"/>
          <w:marTop w:val="58"/>
          <w:marBottom w:val="0"/>
          <w:divBdr>
            <w:top w:val="none" w:sz="0" w:space="0" w:color="auto"/>
            <w:left w:val="none" w:sz="0" w:space="0" w:color="auto"/>
            <w:bottom w:val="none" w:sz="0" w:space="0" w:color="auto"/>
            <w:right w:val="none" w:sz="0" w:space="0" w:color="auto"/>
          </w:divBdr>
        </w:div>
        <w:div w:id="1773890556">
          <w:marLeft w:val="1282"/>
          <w:marRight w:val="14"/>
          <w:marTop w:val="53"/>
          <w:marBottom w:val="0"/>
          <w:divBdr>
            <w:top w:val="none" w:sz="0" w:space="0" w:color="auto"/>
            <w:left w:val="none" w:sz="0" w:space="0" w:color="auto"/>
            <w:bottom w:val="none" w:sz="0" w:space="0" w:color="auto"/>
            <w:right w:val="none" w:sz="0" w:space="0" w:color="auto"/>
          </w:divBdr>
        </w:div>
        <w:div w:id="2121143191">
          <w:marLeft w:val="1282"/>
          <w:marRight w:val="14"/>
          <w:marTop w:val="53"/>
          <w:marBottom w:val="0"/>
          <w:divBdr>
            <w:top w:val="none" w:sz="0" w:space="0" w:color="auto"/>
            <w:left w:val="none" w:sz="0" w:space="0" w:color="auto"/>
            <w:bottom w:val="none" w:sz="0" w:space="0" w:color="auto"/>
            <w:right w:val="none" w:sz="0" w:space="0" w:color="auto"/>
          </w:divBdr>
        </w:div>
      </w:divsChild>
    </w:div>
    <w:div w:id="500773691">
      <w:bodyDiv w:val="1"/>
      <w:marLeft w:val="0"/>
      <w:marRight w:val="0"/>
      <w:marTop w:val="0"/>
      <w:marBottom w:val="0"/>
      <w:divBdr>
        <w:top w:val="none" w:sz="0" w:space="0" w:color="auto"/>
        <w:left w:val="none" w:sz="0" w:space="0" w:color="auto"/>
        <w:bottom w:val="none" w:sz="0" w:space="0" w:color="auto"/>
        <w:right w:val="none" w:sz="0" w:space="0" w:color="auto"/>
      </w:divBdr>
      <w:divsChild>
        <w:div w:id="397293005">
          <w:marLeft w:val="1282"/>
          <w:marRight w:val="14"/>
          <w:marTop w:val="53"/>
          <w:marBottom w:val="0"/>
          <w:divBdr>
            <w:top w:val="none" w:sz="0" w:space="0" w:color="auto"/>
            <w:left w:val="none" w:sz="0" w:space="0" w:color="auto"/>
            <w:bottom w:val="none" w:sz="0" w:space="0" w:color="auto"/>
            <w:right w:val="none" w:sz="0" w:space="0" w:color="auto"/>
          </w:divBdr>
        </w:div>
      </w:divsChild>
    </w:div>
    <w:div w:id="503983870">
      <w:bodyDiv w:val="1"/>
      <w:marLeft w:val="0"/>
      <w:marRight w:val="0"/>
      <w:marTop w:val="0"/>
      <w:marBottom w:val="0"/>
      <w:divBdr>
        <w:top w:val="none" w:sz="0" w:space="0" w:color="auto"/>
        <w:left w:val="none" w:sz="0" w:space="0" w:color="auto"/>
        <w:bottom w:val="none" w:sz="0" w:space="0" w:color="auto"/>
        <w:right w:val="none" w:sz="0" w:space="0" w:color="auto"/>
      </w:divBdr>
      <w:divsChild>
        <w:div w:id="1502156909">
          <w:marLeft w:val="1282"/>
          <w:marRight w:val="14"/>
          <w:marTop w:val="53"/>
          <w:marBottom w:val="0"/>
          <w:divBdr>
            <w:top w:val="none" w:sz="0" w:space="0" w:color="auto"/>
            <w:left w:val="none" w:sz="0" w:space="0" w:color="auto"/>
            <w:bottom w:val="none" w:sz="0" w:space="0" w:color="auto"/>
            <w:right w:val="none" w:sz="0" w:space="0" w:color="auto"/>
          </w:divBdr>
        </w:div>
      </w:divsChild>
    </w:div>
    <w:div w:id="552888934">
      <w:bodyDiv w:val="1"/>
      <w:marLeft w:val="0"/>
      <w:marRight w:val="0"/>
      <w:marTop w:val="0"/>
      <w:marBottom w:val="0"/>
      <w:divBdr>
        <w:top w:val="none" w:sz="0" w:space="0" w:color="auto"/>
        <w:left w:val="none" w:sz="0" w:space="0" w:color="auto"/>
        <w:bottom w:val="none" w:sz="0" w:space="0" w:color="auto"/>
        <w:right w:val="none" w:sz="0" w:space="0" w:color="auto"/>
      </w:divBdr>
    </w:div>
    <w:div w:id="576404040">
      <w:bodyDiv w:val="1"/>
      <w:marLeft w:val="0"/>
      <w:marRight w:val="0"/>
      <w:marTop w:val="0"/>
      <w:marBottom w:val="0"/>
      <w:divBdr>
        <w:top w:val="none" w:sz="0" w:space="0" w:color="auto"/>
        <w:left w:val="none" w:sz="0" w:space="0" w:color="auto"/>
        <w:bottom w:val="none" w:sz="0" w:space="0" w:color="auto"/>
        <w:right w:val="none" w:sz="0" w:space="0" w:color="auto"/>
      </w:divBdr>
    </w:div>
    <w:div w:id="617879103">
      <w:bodyDiv w:val="1"/>
      <w:marLeft w:val="0"/>
      <w:marRight w:val="0"/>
      <w:marTop w:val="0"/>
      <w:marBottom w:val="0"/>
      <w:divBdr>
        <w:top w:val="none" w:sz="0" w:space="0" w:color="auto"/>
        <w:left w:val="none" w:sz="0" w:space="0" w:color="auto"/>
        <w:bottom w:val="none" w:sz="0" w:space="0" w:color="auto"/>
        <w:right w:val="none" w:sz="0" w:space="0" w:color="auto"/>
      </w:divBdr>
      <w:divsChild>
        <w:div w:id="412242890">
          <w:marLeft w:val="1166"/>
          <w:marRight w:val="0"/>
          <w:marTop w:val="0"/>
          <w:marBottom w:val="120"/>
          <w:divBdr>
            <w:top w:val="none" w:sz="0" w:space="0" w:color="auto"/>
            <w:left w:val="none" w:sz="0" w:space="0" w:color="auto"/>
            <w:bottom w:val="none" w:sz="0" w:space="0" w:color="auto"/>
            <w:right w:val="none" w:sz="0" w:space="0" w:color="auto"/>
          </w:divBdr>
        </w:div>
        <w:div w:id="591088790">
          <w:marLeft w:val="1166"/>
          <w:marRight w:val="0"/>
          <w:marTop w:val="0"/>
          <w:marBottom w:val="120"/>
          <w:divBdr>
            <w:top w:val="none" w:sz="0" w:space="0" w:color="auto"/>
            <w:left w:val="none" w:sz="0" w:space="0" w:color="auto"/>
            <w:bottom w:val="none" w:sz="0" w:space="0" w:color="auto"/>
            <w:right w:val="none" w:sz="0" w:space="0" w:color="auto"/>
          </w:divBdr>
        </w:div>
      </w:divsChild>
    </w:div>
    <w:div w:id="624581060">
      <w:bodyDiv w:val="1"/>
      <w:marLeft w:val="0"/>
      <w:marRight w:val="0"/>
      <w:marTop w:val="0"/>
      <w:marBottom w:val="0"/>
      <w:divBdr>
        <w:top w:val="none" w:sz="0" w:space="0" w:color="auto"/>
        <w:left w:val="none" w:sz="0" w:space="0" w:color="auto"/>
        <w:bottom w:val="none" w:sz="0" w:space="0" w:color="auto"/>
        <w:right w:val="none" w:sz="0" w:space="0" w:color="auto"/>
      </w:divBdr>
    </w:div>
    <w:div w:id="657272478">
      <w:bodyDiv w:val="1"/>
      <w:marLeft w:val="0"/>
      <w:marRight w:val="0"/>
      <w:marTop w:val="0"/>
      <w:marBottom w:val="0"/>
      <w:divBdr>
        <w:top w:val="none" w:sz="0" w:space="0" w:color="auto"/>
        <w:left w:val="none" w:sz="0" w:space="0" w:color="auto"/>
        <w:bottom w:val="none" w:sz="0" w:space="0" w:color="auto"/>
        <w:right w:val="none" w:sz="0" w:space="0" w:color="auto"/>
      </w:divBdr>
      <w:divsChild>
        <w:div w:id="1200513524">
          <w:marLeft w:val="547"/>
          <w:marRight w:val="0"/>
          <w:marTop w:val="0"/>
          <w:marBottom w:val="120"/>
          <w:divBdr>
            <w:top w:val="none" w:sz="0" w:space="0" w:color="auto"/>
            <w:left w:val="none" w:sz="0" w:space="0" w:color="auto"/>
            <w:bottom w:val="none" w:sz="0" w:space="0" w:color="auto"/>
            <w:right w:val="none" w:sz="0" w:space="0" w:color="auto"/>
          </w:divBdr>
        </w:div>
        <w:div w:id="658309448">
          <w:marLeft w:val="547"/>
          <w:marRight w:val="0"/>
          <w:marTop w:val="0"/>
          <w:marBottom w:val="120"/>
          <w:divBdr>
            <w:top w:val="none" w:sz="0" w:space="0" w:color="auto"/>
            <w:left w:val="none" w:sz="0" w:space="0" w:color="auto"/>
            <w:bottom w:val="none" w:sz="0" w:space="0" w:color="auto"/>
            <w:right w:val="none" w:sz="0" w:space="0" w:color="auto"/>
          </w:divBdr>
        </w:div>
      </w:divsChild>
    </w:div>
    <w:div w:id="682899844">
      <w:bodyDiv w:val="1"/>
      <w:marLeft w:val="0"/>
      <w:marRight w:val="0"/>
      <w:marTop w:val="0"/>
      <w:marBottom w:val="0"/>
      <w:divBdr>
        <w:top w:val="none" w:sz="0" w:space="0" w:color="auto"/>
        <w:left w:val="none" w:sz="0" w:space="0" w:color="auto"/>
        <w:bottom w:val="none" w:sz="0" w:space="0" w:color="auto"/>
        <w:right w:val="none" w:sz="0" w:space="0" w:color="auto"/>
      </w:divBdr>
      <w:divsChild>
        <w:div w:id="205989254">
          <w:marLeft w:val="547"/>
          <w:marRight w:val="0"/>
          <w:marTop w:val="0"/>
          <w:marBottom w:val="120"/>
          <w:divBdr>
            <w:top w:val="none" w:sz="0" w:space="0" w:color="auto"/>
            <w:left w:val="none" w:sz="0" w:space="0" w:color="auto"/>
            <w:bottom w:val="none" w:sz="0" w:space="0" w:color="auto"/>
            <w:right w:val="none" w:sz="0" w:space="0" w:color="auto"/>
          </w:divBdr>
        </w:div>
      </w:divsChild>
    </w:div>
    <w:div w:id="693724453">
      <w:bodyDiv w:val="1"/>
      <w:marLeft w:val="0"/>
      <w:marRight w:val="0"/>
      <w:marTop w:val="0"/>
      <w:marBottom w:val="0"/>
      <w:divBdr>
        <w:top w:val="none" w:sz="0" w:space="0" w:color="auto"/>
        <w:left w:val="none" w:sz="0" w:space="0" w:color="auto"/>
        <w:bottom w:val="none" w:sz="0" w:space="0" w:color="auto"/>
        <w:right w:val="none" w:sz="0" w:space="0" w:color="auto"/>
      </w:divBdr>
      <w:divsChild>
        <w:div w:id="1681468947">
          <w:marLeft w:val="1166"/>
          <w:marRight w:val="0"/>
          <w:marTop w:val="58"/>
          <w:marBottom w:val="0"/>
          <w:divBdr>
            <w:top w:val="none" w:sz="0" w:space="0" w:color="auto"/>
            <w:left w:val="none" w:sz="0" w:space="0" w:color="auto"/>
            <w:bottom w:val="none" w:sz="0" w:space="0" w:color="auto"/>
            <w:right w:val="none" w:sz="0" w:space="0" w:color="auto"/>
          </w:divBdr>
        </w:div>
      </w:divsChild>
    </w:div>
    <w:div w:id="784931731">
      <w:bodyDiv w:val="1"/>
      <w:marLeft w:val="0"/>
      <w:marRight w:val="0"/>
      <w:marTop w:val="0"/>
      <w:marBottom w:val="0"/>
      <w:divBdr>
        <w:top w:val="none" w:sz="0" w:space="0" w:color="auto"/>
        <w:left w:val="none" w:sz="0" w:space="0" w:color="auto"/>
        <w:bottom w:val="none" w:sz="0" w:space="0" w:color="auto"/>
        <w:right w:val="none" w:sz="0" w:space="0" w:color="auto"/>
      </w:divBdr>
    </w:div>
    <w:div w:id="800073955">
      <w:bodyDiv w:val="1"/>
      <w:marLeft w:val="0"/>
      <w:marRight w:val="0"/>
      <w:marTop w:val="0"/>
      <w:marBottom w:val="0"/>
      <w:divBdr>
        <w:top w:val="none" w:sz="0" w:space="0" w:color="auto"/>
        <w:left w:val="none" w:sz="0" w:space="0" w:color="auto"/>
        <w:bottom w:val="none" w:sz="0" w:space="0" w:color="auto"/>
        <w:right w:val="none" w:sz="0" w:space="0" w:color="auto"/>
      </w:divBdr>
      <w:divsChild>
        <w:div w:id="1564828243">
          <w:marLeft w:val="547"/>
          <w:marRight w:val="0"/>
          <w:marTop w:val="62"/>
          <w:marBottom w:val="0"/>
          <w:divBdr>
            <w:top w:val="none" w:sz="0" w:space="0" w:color="auto"/>
            <w:left w:val="none" w:sz="0" w:space="0" w:color="auto"/>
            <w:bottom w:val="none" w:sz="0" w:space="0" w:color="auto"/>
            <w:right w:val="none" w:sz="0" w:space="0" w:color="auto"/>
          </w:divBdr>
        </w:div>
      </w:divsChild>
    </w:div>
    <w:div w:id="869730044">
      <w:bodyDiv w:val="1"/>
      <w:marLeft w:val="0"/>
      <w:marRight w:val="0"/>
      <w:marTop w:val="0"/>
      <w:marBottom w:val="0"/>
      <w:divBdr>
        <w:top w:val="none" w:sz="0" w:space="0" w:color="auto"/>
        <w:left w:val="none" w:sz="0" w:space="0" w:color="auto"/>
        <w:bottom w:val="none" w:sz="0" w:space="0" w:color="auto"/>
        <w:right w:val="none" w:sz="0" w:space="0" w:color="auto"/>
      </w:divBdr>
    </w:div>
    <w:div w:id="905918103">
      <w:bodyDiv w:val="1"/>
      <w:marLeft w:val="0"/>
      <w:marRight w:val="0"/>
      <w:marTop w:val="0"/>
      <w:marBottom w:val="0"/>
      <w:divBdr>
        <w:top w:val="none" w:sz="0" w:space="0" w:color="auto"/>
        <w:left w:val="none" w:sz="0" w:space="0" w:color="auto"/>
        <w:bottom w:val="none" w:sz="0" w:space="0" w:color="auto"/>
        <w:right w:val="none" w:sz="0" w:space="0" w:color="auto"/>
      </w:divBdr>
    </w:div>
    <w:div w:id="917135345">
      <w:bodyDiv w:val="1"/>
      <w:marLeft w:val="0"/>
      <w:marRight w:val="0"/>
      <w:marTop w:val="0"/>
      <w:marBottom w:val="0"/>
      <w:divBdr>
        <w:top w:val="none" w:sz="0" w:space="0" w:color="auto"/>
        <w:left w:val="none" w:sz="0" w:space="0" w:color="auto"/>
        <w:bottom w:val="none" w:sz="0" w:space="0" w:color="auto"/>
        <w:right w:val="none" w:sz="0" w:space="0" w:color="auto"/>
      </w:divBdr>
      <w:divsChild>
        <w:div w:id="1664818663">
          <w:marLeft w:val="547"/>
          <w:marRight w:val="0"/>
          <w:marTop w:val="62"/>
          <w:marBottom w:val="0"/>
          <w:divBdr>
            <w:top w:val="none" w:sz="0" w:space="0" w:color="auto"/>
            <w:left w:val="none" w:sz="0" w:space="0" w:color="auto"/>
            <w:bottom w:val="none" w:sz="0" w:space="0" w:color="auto"/>
            <w:right w:val="none" w:sz="0" w:space="0" w:color="auto"/>
          </w:divBdr>
        </w:div>
        <w:div w:id="648444389">
          <w:marLeft w:val="1166"/>
          <w:marRight w:val="0"/>
          <w:marTop w:val="62"/>
          <w:marBottom w:val="0"/>
          <w:divBdr>
            <w:top w:val="none" w:sz="0" w:space="0" w:color="auto"/>
            <w:left w:val="none" w:sz="0" w:space="0" w:color="auto"/>
            <w:bottom w:val="none" w:sz="0" w:space="0" w:color="auto"/>
            <w:right w:val="none" w:sz="0" w:space="0" w:color="auto"/>
          </w:divBdr>
        </w:div>
        <w:div w:id="561408636">
          <w:marLeft w:val="1166"/>
          <w:marRight w:val="0"/>
          <w:marTop w:val="62"/>
          <w:marBottom w:val="0"/>
          <w:divBdr>
            <w:top w:val="none" w:sz="0" w:space="0" w:color="auto"/>
            <w:left w:val="none" w:sz="0" w:space="0" w:color="auto"/>
            <w:bottom w:val="none" w:sz="0" w:space="0" w:color="auto"/>
            <w:right w:val="none" w:sz="0" w:space="0" w:color="auto"/>
          </w:divBdr>
        </w:div>
        <w:div w:id="395781284">
          <w:marLeft w:val="1166"/>
          <w:marRight w:val="0"/>
          <w:marTop w:val="62"/>
          <w:marBottom w:val="0"/>
          <w:divBdr>
            <w:top w:val="none" w:sz="0" w:space="0" w:color="auto"/>
            <w:left w:val="none" w:sz="0" w:space="0" w:color="auto"/>
            <w:bottom w:val="none" w:sz="0" w:space="0" w:color="auto"/>
            <w:right w:val="none" w:sz="0" w:space="0" w:color="auto"/>
          </w:divBdr>
        </w:div>
      </w:divsChild>
    </w:div>
    <w:div w:id="921065629">
      <w:bodyDiv w:val="1"/>
      <w:marLeft w:val="0"/>
      <w:marRight w:val="0"/>
      <w:marTop w:val="0"/>
      <w:marBottom w:val="0"/>
      <w:divBdr>
        <w:top w:val="none" w:sz="0" w:space="0" w:color="auto"/>
        <w:left w:val="none" w:sz="0" w:space="0" w:color="auto"/>
        <w:bottom w:val="none" w:sz="0" w:space="0" w:color="auto"/>
        <w:right w:val="none" w:sz="0" w:space="0" w:color="auto"/>
      </w:divBdr>
    </w:div>
    <w:div w:id="943809084">
      <w:bodyDiv w:val="1"/>
      <w:marLeft w:val="0"/>
      <w:marRight w:val="0"/>
      <w:marTop w:val="0"/>
      <w:marBottom w:val="0"/>
      <w:divBdr>
        <w:top w:val="none" w:sz="0" w:space="0" w:color="auto"/>
        <w:left w:val="none" w:sz="0" w:space="0" w:color="auto"/>
        <w:bottom w:val="none" w:sz="0" w:space="0" w:color="auto"/>
        <w:right w:val="none" w:sz="0" w:space="0" w:color="auto"/>
      </w:divBdr>
      <w:divsChild>
        <w:div w:id="1418214145">
          <w:marLeft w:val="1282"/>
          <w:marRight w:val="0"/>
          <w:marTop w:val="67"/>
          <w:marBottom w:val="0"/>
          <w:divBdr>
            <w:top w:val="none" w:sz="0" w:space="0" w:color="auto"/>
            <w:left w:val="none" w:sz="0" w:space="0" w:color="auto"/>
            <w:bottom w:val="none" w:sz="0" w:space="0" w:color="auto"/>
            <w:right w:val="none" w:sz="0" w:space="0" w:color="auto"/>
          </w:divBdr>
        </w:div>
      </w:divsChild>
    </w:div>
    <w:div w:id="950744939">
      <w:bodyDiv w:val="1"/>
      <w:marLeft w:val="0"/>
      <w:marRight w:val="0"/>
      <w:marTop w:val="0"/>
      <w:marBottom w:val="0"/>
      <w:divBdr>
        <w:top w:val="none" w:sz="0" w:space="0" w:color="auto"/>
        <w:left w:val="none" w:sz="0" w:space="0" w:color="auto"/>
        <w:bottom w:val="none" w:sz="0" w:space="0" w:color="auto"/>
        <w:right w:val="none" w:sz="0" w:space="0" w:color="auto"/>
      </w:divBdr>
      <w:divsChild>
        <w:div w:id="1754472645">
          <w:marLeft w:val="475"/>
          <w:marRight w:val="14"/>
          <w:marTop w:val="67"/>
          <w:marBottom w:val="0"/>
          <w:divBdr>
            <w:top w:val="none" w:sz="0" w:space="0" w:color="auto"/>
            <w:left w:val="none" w:sz="0" w:space="0" w:color="auto"/>
            <w:bottom w:val="none" w:sz="0" w:space="0" w:color="auto"/>
            <w:right w:val="none" w:sz="0" w:space="0" w:color="auto"/>
          </w:divBdr>
        </w:div>
        <w:div w:id="2071230075">
          <w:marLeft w:val="1094"/>
          <w:marRight w:val="14"/>
          <w:marTop w:val="58"/>
          <w:marBottom w:val="0"/>
          <w:divBdr>
            <w:top w:val="none" w:sz="0" w:space="0" w:color="auto"/>
            <w:left w:val="none" w:sz="0" w:space="0" w:color="auto"/>
            <w:bottom w:val="none" w:sz="0" w:space="0" w:color="auto"/>
            <w:right w:val="none" w:sz="0" w:space="0" w:color="auto"/>
          </w:divBdr>
        </w:div>
        <w:div w:id="1539048483">
          <w:marLeft w:val="1094"/>
          <w:marRight w:val="14"/>
          <w:marTop w:val="58"/>
          <w:marBottom w:val="0"/>
          <w:divBdr>
            <w:top w:val="none" w:sz="0" w:space="0" w:color="auto"/>
            <w:left w:val="none" w:sz="0" w:space="0" w:color="auto"/>
            <w:bottom w:val="none" w:sz="0" w:space="0" w:color="auto"/>
            <w:right w:val="none" w:sz="0" w:space="0" w:color="auto"/>
          </w:divBdr>
        </w:div>
      </w:divsChild>
    </w:div>
    <w:div w:id="958338011">
      <w:bodyDiv w:val="1"/>
      <w:marLeft w:val="0"/>
      <w:marRight w:val="0"/>
      <w:marTop w:val="0"/>
      <w:marBottom w:val="0"/>
      <w:divBdr>
        <w:top w:val="none" w:sz="0" w:space="0" w:color="auto"/>
        <w:left w:val="none" w:sz="0" w:space="0" w:color="auto"/>
        <w:bottom w:val="none" w:sz="0" w:space="0" w:color="auto"/>
        <w:right w:val="none" w:sz="0" w:space="0" w:color="auto"/>
      </w:divBdr>
      <w:divsChild>
        <w:div w:id="730427918">
          <w:marLeft w:val="562"/>
          <w:marRight w:val="14"/>
          <w:marTop w:val="67"/>
          <w:marBottom w:val="0"/>
          <w:divBdr>
            <w:top w:val="none" w:sz="0" w:space="0" w:color="auto"/>
            <w:left w:val="none" w:sz="0" w:space="0" w:color="auto"/>
            <w:bottom w:val="none" w:sz="0" w:space="0" w:color="auto"/>
            <w:right w:val="none" w:sz="0" w:space="0" w:color="auto"/>
          </w:divBdr>
        </w:div>
        <w:div w:id="331373163">
          <w:marLeft w:val="1195"/>
          <w:marRight w:val="14"/>
          <w:marTop w:val="58"/>
          <w:marBottom w:val="0"/>
          <w:divBdr>
            <w:top w:val="none" w:sz="0" w:space="0" w:color="auto"/>
            <w:left w:val="none" w:sz="0" w:space="0" w:color="auto"/>
            <w:bottom w:val="none" w:sz="0" w:space="0" w:color="auto"/>
            <w:right w:val="none" w:sz="0" w:space="0" w:color="auto"/>
          </w:divBdr>
        </w:div>
        <w:div w:id="620890521">
          <w:marLeft w:val="1195"/>
          <w:marRight w:val="14"/>
          <w:marTop w:val="58"/>
          <w:marBottom w:val="0"/>
          <w:divBdr>
            <w:top w:val="none" w:sz="0" w:space="0" w:color="auto"/>
            <w:left w:val="none" w:sz="0" w:space="0" w:color="auto"/>
            <w:bottom w:val="none" w:sz="0" w:space="0" w:color="auto"/>
            <w:right w:val="none" w:sz="0" w:space="0" w:color="auto"/>
          </w:divBdr>
        </w:div>
      </w:divsChild>
    </w:div>
    <w:div w:id="1009065079">
      <w:bodyDiv w:val="1"/>
      <w:marLeft w:val="0"/>
      <w:marRight w:val="0"/>
      <w:marTop w:val="0"/>
      <w:marBottom w:val="0"/>
      <w:divBdr>
        <w:top w:val="none" w:sz="0" w:space="0" w:color="auto"/>
        <w:left w:val="none" w:sz="0" w:space="0" w:color="auto"/>
        <w:bottom w:val="none" w:sz="0" w:space="0" w:color="auto"/>
        <w:right w:val="none" w:sz="0" w:space="0" w:color="auto"/>
      </w:divBdr>
    </w:div>
    <w:div w:id="1012413484">
      <w:bodyDiv w:val="1"/>
      <w:marLeft w:val="0"/>
      <w:marRight w:val="0"/>
      <w:marTop w:val="0"/>
      <w:marBottom w:val="0"/>
      <w:divBdr>
        <w:top w:val="none" w:sz="0" w:space="0" w:color="auto"/>
        <w:left w:val="none" w:sz="0" w:space="0" w:color="auto"/>
        <w:bottom w:val="none" w:sz="0" w:space="0" w:color="auto"/>
        <w:right w:val="none" w:sz="0" w:space="0" w:color="auto"/>
      </w:divBdr>
      <w:divsChild>
        <w:div w:id="172428279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06834138">
              <w:marLeft w:val="0"/>
              <w:marRight w:val="0"/>
              <w:marTop w:val="0"/>
              <w:marBottom w:val="0"/>
              <w:divBdr>
                <w:top w:val="none" w:sz="0" w:space="0" w:color="auto"/>
                <w:left w:val="none" w:sz="0" w:space="0" w:color="auto"/>
                <w:bottom w:val="none" w:sz="0" w:space="0" w:color="auto"/>
                <w:right w:val="none" w:sz="0" w:space="0" w:color="auto"/>
              </w:divBdr>
              <w:divsChild>
                <w:div w:id="283200252">
                  <w:marLeft w:val="0"/>
                  <w:marRight w:val="0"/>
                  <w:marTop w:val="0"/>
                  <w:marBottom w:val="0"/>
                  <w:divBdr>
                    <w:top w:val="none" w:sz="0" w:space="0" w:color="auto"/>
                    <w:left w:val="none" w:sz="0" w:space="0" w:color="auto"/>
                    <w:bottom w:val="none" w:sz="0" w:space="0" w:color="auto"/>
                    <w:right w:val="none" w:sz="0" w:space="0" w:color="auto"/>
                  </w:divBdr>
                  <w:divsChild>
                    <w:div w:id="1822696818">
                      <w:marLeft w:val="0"/>
                      <w:marRight w:val="0"/>
                      <w:marTop w:val="0"/>
                      <w:marBottom w:val="0"/>
                      <w:divBdr>
                        <w:top w:val="none" w:sz="0" w:space="0" w:color="auto"/>
                        <w:left w:val="none" w:sz="0" w:space="0" w:color="auto"/>
                        <w:bottom w:val="none" w:sz="0" w:space="0" w:color="auto"/>
                        <w:right w:val="none" w:sz="0" w:space="0" w:color="auto"/>
                      </w:divBdr>
                      <w:divsChild>
                        <w:div w:id="502817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13411252">
      <w:bodyDiv w:val="1"/>
      <w:marLeft w:val="0"/>
      <w:marRight w:val="0"/>
      <w:marTop w:val="0"/>
      <w:marBottom w:val="0"/>
      <w:divBdr>
        <w:top w:val="none" w:sz="0" w:space="0" w:color="auto"/>
        <w:left w:val="none" w:sz="0" w:space="0" w:color="auto"/>
        <w:bottom w:val="none" w:sz="0" w:space="0" w:color="auto"/>
        <w:right w:val="none" w:sz="0" w:space="0" w:color="auto"/>
      </w:divBdr>
      <w:divsChild>
        <w:div w:id="2000576780">
          <w:marLeft w:val="562"/>
          <w:marRight w:val="14"/>
          <w:marTop w:val="58"/>
          <w:marBottom w:val="0"/>
          <w:divBdr>
            <w:top w:val="none" w:sz="0" w:space="0" w:color="auto"/>
            <w:left w:val="none" w:sz="0" w:space="0" w:color="auto"/>
            <w:bottom w:val="none" w:sz="0" w:space="0" w:color="auto"/>
            <w:right w:val="none" w:sz="0" w:space="0" w:color="auto"/>
          </w:divBdr>
        </w:div>
      </w:divsChild>
    </w:div>
    <w:div w:id="1021128182">
      <w:bodyDiv w:val="1"/>
      <w:marLeft w:val="0"/>
      <w:marRight w:val="0"/>
      <w:marTop w:val="0"/>
      <w:marBottom w:val="0"/>
      <w:divBdr>
        <w:top w:val="none" w:sz="0" w:space="0" w:color="auto"/>
        <w:left w:val="none" w:sz="0" w:space="0" w:color="auto"/>
        <w:bottom w:val="none" w:sz="0" w:space="0" w:color="auto"/>
        <w:right w:val="none" w:sz="0" w:space="0" w:color="auto"/>
      </w:divBdr>
      <w:divsChild>
        <w:div w:id="1526098668">
          <w:marLeft w:val="1354"/>
          <w:marRight w:val="0"/>
          <w:marTop w:val="67"/>
          <w:marBottom w:val="0"/>
          <w:divBdr>
            <w:top w:val="none" w:sz="0" w:space="0" w:color="auto"/>
            <w:left w:val="none" w:sz="0" w:space="0" w:color="auto"/>
            <w:bottom w:val="none" w:sz="0" w:space="0" w:color="auto"/>
            <w:right w:val="none" w:sz="0" w:space="0" w:color="auto"/>
          </w:divBdr>
        </w:div>
        <w:div w:id="722218291">
          <w:marLeft w:val="1354"/>
          <w:marRight w:val="0"/>
          <w:marTop w:val="67"/>
          <w:marBottom w:val="0"/>
          <w:divBdr>
            <w:top w:val="none" w:sz="0" w:space="0" w:color="auto"/>
            <w:left w:val="none" w:sz="0" w:space="0" w:color="auto"/>
            <w:bottom w:val="none" w:sz="0" w:space="0" w:color="auto"/>
            <w:right w:val="none" w:sz="0" w:space="0" w:color="auto"/>
          </w:divBdr>
        </w:div>
        <w:div w:id="1814635169">
          <w:marLeft w:val="1354"/>
          <w:marRight w:val="0"/>
          <w:marTop w:val="67"/>
          <w:marBottom w:val="0"/>
          <w:divBdr>
            <w:top w:val="none" w:sz="0" w:space="0" w:color="auto"/>
            <w:left w:val="none" w:sz="0" w:space="0" w:color="auto"/>
            <w:bottom w:val="none" w:sz="0" w:space="0" w:color="auto"/>
            <w:right w:val="none" w:sz="0" w:space="0" w:color="auto"/>
          </w:divBdr>
        </w:div>
        <w:div w:id="1301182477">
          <w:marLeft w:val="1354"/>
          <w:marRight w:val="0"/>
          <w:marTop w:val="67"/>
          <w:marBottom w:val="0"/>
          <w:divBdr>
            <w:top w:val="none" w:sz="0" w:space="0" w:color="auto"/>
            <w:left w:val="none" w:sz="0" w:space="0" w:color="auto"/>
            <w:bottom w:val="none" w:sz="0" w:space="0" w:color="auto"/>
            <w:right w:val="none" w:sz="0" w:space="0" w:color="auto"/>
          </w:divBdr>
        </w:div>
      </w:divsChild>
    </w:div>
    <w:div w:id="1027827323">
      <w:bodyDiv w:val="1"/>
      <w:marLeft w:val="0"/>
      <w:marRight w:val="0"/>
      <w:marTop w:val="0"/>
      <w:marBottom w:val="0"/>
      <w:divBdr>
        <w:top w:val="none" w:sz="0" w:space="0" w:color="auto"/>
        <w:left w:val="none" w:sz="0" w:space="0" w:color="auto"/>
        <w:bottom w:val="none" w:sz="0" w:space="0" w:color="auto"/>
        <w:right w:val="none" w:sz="0" w:space="0" w:color="auto"/>
      </w:divBdr>
      <w:divsChild>
        <w:div w:id="1900436795">
          <w:marLeft w:val="562"/>
          <w:marRight w:val="14"/>
          <w:marTop w:val="58"/>
          <w:marBottom w:val="0"/>
          <w:divBdr>
            <w:top w:val="none" w:sz="0" w:space="0" w:color="auto"/>
            <w:left w:val="none" w:sz="0" w:space="0" w:color="auto"/>
            <w:bottom w:val="none" w:sz="0" w:space="0" w:color="auto"/>
            <w:right w:val="none" w:sz="0" w:space="0" w:color="auto"/>
          </w:divBdr>
        </w:div>
      </w:divsChild>
    </w:div>
    <w:div w:id="1045330445">
      <w:bodyDiv w:val="1"/>
      <w:marLeft w:val="0"/>
      <w:marRight w:val="0"/>
      <w:marTop w:val="0"/>
      <w:marBottom w:val="0"/>
      <w:divBdr>
        <w:top w:val="none" w:sz="0" w:space="0" w:color="auto"/>
        <w:left w:val="none" w:sz="0" w:space="0" w:color="auto"/>
        <w:bottom w:val="none" w:sz="0" w:space="0" w:color="auto"/>
        <w:right w:val="none" w:sz="0" w:space="0" w:color="auto"/>
      </w:divBdr>
      <w:divsChild>
        <w:div w:id="1138911658">
          <w:marLeft w:val="648"/>
          <w:marRight w:val="0"/>
          <w:marTop w:val="67"/>
          <w:marBottom w:val="0"/>
          <w:divBdr>
            <w:top w:val="none" w:sz="0" w:space="0" w:color="auto"/>
            <w:left w:val="none" w:sz="0" w:space="0" w:color="auto"/>
            <w:bottom w:val="none" w:sz="0" w:space="0" w:color="auto"/>
            <w:right w:val="none" w:sz="0" w:space="0" w:color="auto"/>
          </w:divBdr>
        </w:div>
      </w:divsChild>
    </w:div>
    <w:div w:id="1070930745">
      <w:bodyDiv w:val="1"/>
      <w:marLeft w:val="0"/>
      <w:marRight w:val="0"/>
      <w:marTop w:val="0"/>
      <w:marBottom w:val="0"/>
      <w:divBdr>
        <w:top w:val="none" w:sz="0" w:space="0" w:color="auto"/>
        <w:left w:val="none" w:sz="0" w:space="0" w:color="auto"/>
        <w:bottom w:val="none" w:sz="0" w:space="0" w:color="auto"/>
        <w:right w:val="none" w:sz="0" w:space="0" w:color="auto"/>
      </w:divBdr>
      <w:divsChild>
        <w:div w:id="764769491">
          <w:marLeft w:val="547"/>
          <w:marRight w:val="0"/>
          <w:marTop w:val="62"/>
          <w:marBottom w:val="0"/>
          <w:divBdr>
            <w:top w:val="none" w:sz="0" w:space="0" w:color="auto"/>
            <w:left w:val="none" w:sz="0" w:space="0" w:color="auto"/>
            <w:bottom w:val="none" w:sz="0" w:space="0" w:color="auto"/>
            <w:right w:val="none" w:sz="0" w:space="0" w:color="auto"/>
          </w:divBdr>
        </w:div>
        <w:div w:id="476076200">
          <w:marLeft w:val="1166"/>
          <w:marRight w:val="0"/>
          <w:marTop w:val="62"/>
          <w:marBottom w:val="0"/>
          <w:divBdr>
            <w:top w:val="none" w:sz="0" w:space="0" w:color="auto"/>
            <w:left w:val="none" w:sz="0" w:space="0" w:color="auto"/>
            <w:bottom w:val="none" w:sz="0" w:space="0" w:color="auto"/>
            <w:right w:val="none" w:sz="0" w:space="0" w:color="auto"/>
          </w:divBdr>
        </w:div>
        <w:div w:id="679966442">
          <w:marLeft w:val="1166"/>
          <w:marRight w:val="0"/>
          <w:marTop w:val="62"/>
          <w:marBottom w:val="0"/>
          <w:divBdr>
            <w:top w:val="none" w:sz="0" w:space="0" w:color="auto"/>
            <w:left w:val="none" w:sz="0" w:space="0" w:color="auto"/>
            <w:bottom w:val="none" w:sz="0" w:space="0" w:color="auto"/>
            <w:right w:val="none" w:sz="0" w:space="0" w:color="auto"/>
          </w:divBdr>
        </w:div>
        <w:div w:id="370157262">
          <w:marLeft w:val="1166"/>
          <w:marRight w:val="0"/>
          <w:marTop w:val="62"/>
          <w:marBottom w:val="0"/>
          <w:divBdr>
            <w:top w:val="none" w:sz="0" w:space="0" w:color="auto"/>
            <w:left w:val="none" w:sz="0" w:space="0" w:color="auto"/>
            <w:bottom w:val="none" w:sz="0" w:space="0" w:color="auto"/>
            <w:right w:val="none" w:sz="0" w:space="0" w:color="auto"/>
          </w:divBdr>
        </w:div>
      </w:divsChild>
    </w:div>
    <w:div w:id="1135217643">
      <w:bodyDiv w:val="1"/>
      <w:marLeft w:val="0"/>
      <w:marRight w:val="0"/>
      <w:marTop w:val="0"/>
      <w:marBottom w:val="0"/>
      <w:divBdr>
        <w:top w:val="none" w:sz="0" w:space="0" w:color="auto"/>
        <w:left w:val="none" w:sz="0" w:space="0" w:color="auto"/>
        <w:bottom w:val="none" w:sz="0" w:space="0" w:color="auto"/>
        <w:right w:val="none" w:sz="0" w:space="0" w:color="auto"/>
      </w:divBdr>
      <w:divsChild>
        <w:div w:id="2103715404">
          <w:marLeft w:val="547"/>
          <w:marRight w:val="0"/>
          <w:marTop w:val="58"/>
          <w:marBottom w:val="0"/>
          <w:divBdr>
            <w:top w:val="none" w:sz="0" w:space="0" w:color="auto"/>
            <w:left w:val="none" w:sz="0" w:space="0" w:color="auto"/>
            <w:bottom w:val="none" w:sz="0" w:space="0" w:color="auto"/>
            <w:right w:val="none" w:sz="0" w:space="0" w:color="auto"/>
          </w:divBdr>
        </w:div>
        <w:div w:id="1165585674">
          <w:marLeft w:val="547"/>
          <w:marRight w:val="0"/>
          <w:marTop w:val="58"/>
          <w:marBottom w:val="0"/>
          <w:divBdr>
            <w:top w:val="none" w:sz="0" w:space="0" w:color="auto"/>
            <w:left w:val="none" w:sz="0" w:space="0" w:color="auto"/>
            <w:bottom w:val="none" w:sz="0" w:space="0" w:color="auto"/>
            <w:right w:val="none" w:sz="0" w:space="0" w:color="auto"/>
          </w:divBdr>
        </w:div>
      </w:divsChild>
    </w:div>
    <w:div w:id="1179395070">
      <w:bodyDiv w:val="1"/>
      <w:marLeft w:val="0"/>
      <w:marRight w:val="0"/>
      <w:marTop w:val="0"/>
      <w:marBottom w:val="0"/>
      <w:divBdr>
        <w:top w:val="none" w:sz="0" w:space="0" w:color="auto"/>
        <w:left w:val="none" w:sz="0" w:space="0" w:color="auto"/>
        <w:bottom w:val="none" w:sz="0" w:space="0" w:color="auto"/>
        <w:right w:val="none" w:sz="0" w:space="0" w:color="auto"/>
      </w:divBdr>
    </w:div>
    <w:div w:id="1199854616">
      <w:bodyDiv w:val="1"/>
      <w:marLeft w:val="0"/>
      <w:marRight w:val="0"/>
      <w:marTop w:val="0"/>
      <w:marBottom w:val="0"/>
      <w:divBdr>
        <w:top w:val="none" w:sz="0" w:space="0" w:color="auto"/>
        <w:left w:val="none" w:sz="0" w:space="0" w:color="auto"/>
        <w:bottom w:val="none" w:sz="0" w:space="0" w:color="auto"/>
        <w:right w:val="none" w:sz="0" w:space="0" w:color="auto"/>
      </w:divBdr>
      <w:divsChild>
        <w:div w:id="2145734944">
          <w:marLeft w:val="547"/>
          <w:marRight w:val="0"/>
          <w:marTop w:val="53"/>
          <w:marBottom w:val="0"/>
          <w:divBdr>
            <w:top w:val="none" w:sz="0" w:space="0" w:color="auto"/>
            <w:left w:val="none" w:sz="0" w:space="0" w:color="auto"/>
            <w:bottom w:val="none" w:sz="0" w:space="0" w:color="auto"/>
            <w:right w:val="none" w:sz="0" w:space="0" w:color="auto"/>
          </w:divBdr>
        </w:div>
        <w:div w:id="746852835">
          <w:marLeft w:val="547"/>
          <w:marRight w:val="0"/>
          <w:marTop w:val="53"/>
          <w:marBottom w:val="0"/>
          <w:divBdr>
            <w:top w:val="none" w:sz="0" w:space="0" w:color="auto"/>
            <w:left w:val="none" w:sz="0" w:space="0" w:color="auto"/>
            <w:bottom w:val="none" w:sz="0" w:space="0" w:color="auto"/>
            <w:right w:val="none" w:sz="0" w:space="0" w:color="auto"/>
          </w:divBdr>
        </w:div>
        <w:div w:id="447048249">
          <w:marLeft w:val="547"/>
          <w:marRight w:val="0"/>
          <w:marTop w:val="53"/>
          <w:marBottom w:val="0"/>
          <w:divBdr>
            <w:top w:val="none" w:sz="0" w:space="0" w:color="auto"/>
            <w:left w:val="none" w:sz="0" w:space="0" w:color="auto"/>
            <w:bottom w:val="none" w:sz="0" w:space="0" w:color="auto"/>
            <w:right w:val="none" w:sz="0" w:space="0" w:color="auto"/>
          </w:divBdr>
        </w:div>
        <w:div w:id="1985699561">
          <w:marLeft w:val="1166"/>
          <w:marRight w:val="0"/>
          <w:marTop w:val="50"/>
          <w:marBottom w:val="0"/>
          <w:divBdr>
            <w:top w:val="none" w:sz="0" w:space="0" w:color="auto"/>
            <w:left w:val="none" w:sz="0" w:space="0" w:color="auto"/>
            <w:bottom w:val="none" w:sz="0" w:space="0" w:color="auto"/>
            <w:right w:val="none" w:sz="0" w:space="0" w:color="auto"/>
          </w:divBdr>
        </w:div>
        <w:div w:id="108399871">
          <w:marLeft w:val="1166"/>
          <w:marRight w:val="0"/>
          <w:marTop w:val="50"/>
          <w:marBottom w:val="0"/>
          <w:divBdr>
            <w:top w:val="none" w:sz="0" w:space="0" w:color="auto"/>
            <w:left w:val="none" w:sz="0" w:space="0" w:color="auto"/>
            <w:bottom w:val="none" w:sz="0" w:space="0" w:color="auto"/>
            <w:right w:val="none" w:sz="0" w:space="0" w:color="auto"/>
          </w:divBdr>
        </w:div>
        <w:div w:id="1471435263">
          <w:marLeft w:val="1166"/>
          <w:marRight w:val="0"/>
          <w:marTop w:val="50"/>
          <w:marBottom w:val="0"/>
          <w:divBdr>
            <w:top w:val="none" w:sz="0" w:space="0" w:color="auto"/>
            <w:left w:val="none" w:sz="0" w:space="0" w:color="auto"/>
            <w:bottom w:val="none" w:sz="0" w:space="0" w:color="auto"/>
            <w:right w:val="none" w:sz="0" w:space="0" w:color="auto"/>
          </w:divBdr>
        </w:div>
        <w:div w:id="1340692986">
          <w:marLeft w:val="1166"/>
          <w:marRight w:val="0"/>
          <w:marTop w:val="50"/>
          <w:marBottom w:val="0"/>
          <w:divBdr>
            <w:top w:val="none" w:sz="0" w:space="0" w:color="auto"/>
            <w:left w:val="none" w:sz="0" w:space="0" w:color="auto"/>
            <w:bottom w:val="none" w:sz="0" w:space="0" w:color="auto"/>
            <w:right w:val="none" w:sz="0" w:space="0" w:color="auto"/>
          </w:divBdr>
        </w:div>
        <w:div w:id="601642569">
          <w:marLeft w:val="547"/>
          <w:marRight w:val="0"/>
          <w:marTop w:val="53"/>
          <w:marBottom w:val="0"/>
          <w:divBdr>
            <w:top w:val="none" w:sz="0" w:space="0" w:color="auto"/>
            <w:left w:val="none" w:sz="0" w:space="0" w:color="auto"/>
            <w:bottom w:val="none" w:sz="0" w:space="0" w:color="auto"/>
            <w:right w:val="none" w:sz="0" w:space="0" w:color="auto"/>
          </w:divBdr>
        </w:div>
      </w:divsChild>
    </w:div>
    <w:div w:id="1258754968">
      <w:bodyDiv w:val="1"/>
      <w:marLeft w:val="0"/>
      <w:marRight w:val="0"/>
      <w:marTop w:val="0"/>
      <w:marBottom w:val="0"/>
      <w:divBdr>
        <w:top w:val="none" w:sz="0" w:space="0" w:color="auto"/>
        <w:left w:val="none" w:sz="0" w:space="0" w:color="auto"/>
        <w:bottom w:val="none" w:sz="0" w:space="0" w:color="auto"/>
        <w:right w:val="none" w:sz="0" w:space="0" w:color="auto"/>
      </w:divBdr>
      <w:divsChild>
        <w:div w:id="1406997911">
          <w:marLeft w:val="1166"/>
          <w:marRight w:val="0"/>
          <w:marTop w:val="53"/>
          <w:marBottom w:val="0"/>
          <w:divBdr>
            <w:top w:val="none" w:sz="0" w:space="0" w:color="auto"/>
            <w:left w:val="none" w:sz="0" w:space="0" w:color="auto"/>
            <w:bottom w:val="none" w:sz="0" w:space="0" w:color="auto"/>
            <w:right w:val="none" w:sz="0" w:space="0" w:color="auto"/>
          </w:divBdr>
        </w:div>
      </w:divsChild>
    </w:div>
    <w:div w:id="1276060186">
      <w:bodyDiv w:val="1"/>
      <w:marLeft w:val="0"/>
      <w:marRight w:val="0"/>
      <w:marTop w:val="0"/>
      <w:marBottom w:val="0"/>
      <w:divBdr>
        <w:top w:val="none" w:sz="0" w:space="0" w:color="auto"/>
        <w:left w:val="none" w:sz="0" w:space="0" w:color="auto"/>
        <w:bottom w:val="none" w:sz="0" w:space="0" w:color="auto"/>
        <w:right w:val="none" w:sz="0" w:space="0" w:color="auto"/>
      </w:divBdr>
      <w:divsChild>
        <w:div w:id="1096174109">
          <w:marLeft w:val="360"/>
          <w:marRight w:val="202"/>
          <w:marTop w:val="58"/>
          <w:marBottom w:val="0"/>
          <w:divBdr>
            <w:top w:val="none" w:sz="0" w:space="0" w:color="auto"/>
            <w:left w:val="none" w:sz="0" w:space="0" w:color="auto"/>
            <w:bottom w:val="none" w:sz="0" w:space="0" w:color="auto"/>
            <w:right w:val="none" w:sz="0" w:space="0" w:color="auto"/>
          </w:divBdr>
        </w:div>
      </w:divsChild>
    </w:div>
    <w:div w:id="1281257659">
      <w:bodyDiv w:val="1"/>
      <w:marLeft w:val="0"/>
      <w:marRight w:val="0"/>
      <w:marTop w:val="0"/>
      <w:marBottom w:val="0"/>
      <w:divBdr>
        <w:top w:val="none" w:sz="0" w:space="0" w:color="auto"/>
        <w:left w:val="none" w:sz="0" w:space="0" w:color="auto"/>
        <w:bottom w:val="none" w:sz="0" w:space="0" w:color="auto"/>
        <w:right w:val="none" w:sz="0" w:space="0" w:color="auto"/>
      </w:divBdr>
    </w:div>
    <w:div w:id="1283927186">
      <w:bodyDiv w:val="1"/>
      <w:marLeft w:val="0"/>
      <w:marRight w:val="0"/>
      <w:marTop w:val="0"/>
      <w:marBottom w:val="0"/>
      <w:divBdr>
        <w:top w:val="none" w:sz="0" w:space="0" w:color="auto"/>
        <w:left w:val="none" w:sz="0" w:space="0" w:color="auto"/>
        <w:bottom w:val="none" w:sz="0" w:space="0" w:color="auto"/>
        <w:right w:val="none" w:sz="0" w:space="0" w:color="auto"/>
      </w:divBdr>
      <w:divsChild>
        <w:div w:id="164437827">
          <w:marLeft w:val="1282"/>
          <w:marRight w:val="14"/>
          <w:marTop w:val="50"/>
          <w:marBottom w:val="0"/>
          <w:divBdr>
            <w:top w:val="none" w:sz="0" w:space="0" w:color="auto"/>
            <w:left w:val="none" w:sz="0" w:space="0" w:color="auto"/>
            <w:bottom w:val="none" w:sz="0" w:space="0" w:color="auto"/>
            <w:right w:val="none" w:sz="0" w:space="0" w:color="auto"/>
          </w:divBdr>
        </w:div>
      </w:divsChild>
    </w:div>
    <w:div w:id="1303730668">
      <w:bodyDiv w:val="1"/>
      <w:marLeft w:val="0"/>
      <w:marRight w:val="0"/>
      <w:marTop w:val="0"/>
      <w:marBottom w:val="0"/>
      <w:divBdr>
        <w:top w:val="none" w:sz="0" w:space="0" w:color="auto"/>
        <w:left w:val="none" w:sz="0" w:space="0" w:color="auto"/>
        <w:bottom w:val="none" w:sz="0" w:space="0" w:color="auto"/>
        <w:right w:val="none" w:sz="0" w:space="0" w:color="auto"/>
      </w:divBdr>
      <w:divsChild>
        <w:div w:id="1657949147">
          <w:marLeft w:val="547"/>
          <w:marRight w:val="0"/>
          <w:marTop w:val="77"/>
          <w:marBottom w:val="0"/>
          <w:divBdr>
            <w:top w:val="none" w:sz="0" w:space="0" w:color="auto"/>
            <w:left w:val="none" w:sz="0" w:space="0" w:color="auto"/>
            <w:bottom w:val="none" w:sz="0" w:space="0" w:color="auto"/>
            <w:right w:val="none" w:sz="0" w:space="0" w:color="auto"/>
          </w:divBdr>
        </w:div>
        <w:div w:id="1293747147">
          <w:marLeft w:val="1166"/>
          <w:marRight w:val="0"/>
          <w:marTop w:val="67"/>
          <w:marBottom w:val="0"/>
          <w:divBdr>
            <w:top w:val="none" w:sz="0" w:space="0" w:color="auto"/>
            <w:left w:val="none" w:sz="0" w:space="0" w:color="auto"/>
            <w:bottom w:val="none" w:sz="0" w:space="0" w:color="auto"/>
            <w:right w:val="none" w:sz="0" w:space="0" w:color="auto"/>
          </w:divBdr>
        </w:div>
        <w:div w:id="1640915304">
          <w:marLeft w:val="1166"/>
          <w:marRight w:val="0"/>
          <w:marTop w:val="67"/>
          <w:marBottom w:val="0"/>
          <w:divBdr>
            <w:top w:val="none" w:sz="0" w:space="0" w:color="auto"/>
            <w:left w:val="none" w:sz="0" w:space="0" w:color="auto"/>
            <w:bottom w:val="none" w:sz="0" w:space="0" w:color="auto"/>
            <w:right w:val="none" w:sz="0" w:space="0" w:color="auto"/>
          </w:divBdr>
        </w:div>
        <w:div w:id="729305951">
          <w:marLeft w:val="1166"/>
          <w:marRight w:val="0"/>
          <w:marTop w:val="67"/>
          <w:marBottom w:val="0"/>
          <w:divBdr>
            <w:top w:val="none" w:sz="0" w:space="0" w:color="auto"/>
            <w:left w:val="none" w:sz="0" w:space="0" w:color="auto"/>
            <w:bottom w:val="none" w:sz="0" w:space="0" w:color="auto"/>
            <w:right w:val="none" w:sz="0" w:space="0" w:color="auto"/>
          </w:divBdr>
        </w:div>
        <w:div w:id="1433941742">
          <w:marLeft w:val="1166"/>
          <w:marRight w:val="0"/>
          <w:marTop w:val="67"/>
          <w:marBottom w:val="0"/>
          <w:divBdr>
            <w:top w:val="none" w:sz="0" w:space="0" w:color="auto"/>
            <w:left w:val="none" w:sz="0" w:space="0" w:color="auto"/>
            <w:bottom w:val="none" w:sz="0" w:space="0" w:color="auto"/>
            <w:right w:val="none" w:sz="0" w:space="0" w:color="auto"/>
          </w:divBdr>
        </w:div>
      </w:divsChild>
    </w:div>
    <w:div w:id="1305310559">
      <w:bodyDiv w:val="1"/>
      <w:marLeft w:val="0"/>
      <w:marRight w:val="0"/>
      <w:marTop w:val="0"/>
      <w:marBottom w:val="0"/>
      <w:divBdr>
        <w:top w:val="none" w:sz="0" w:space="0" w:color="auto"/>
        <w:left w:val="none" w:sz="0" w:space="0" w:color="auto"/>
        <w:bottom w:val="none" w:sz="0" w:space="0" w:color="auto"/>
        <w:right w:val="none" w:sz="0" w:space="0" w:color="auto"/>
      </w:divBdr>
      <w:divsChild>
        <w:div w:id="389311608">
          <w:marLeft w:val="1166"/>
          <w:marRight w:val="0"/>
          <w:marTop w:val="58"/>
          <w:marBottom w:val="0"/>
          <w:divBdr>
            <w:top w:val="none" w:sz="0" w:space="0" w:color="auto"/>
            <w:left w:val="none" w:sz="0" w:space="0" w:color="auto"/>
            <w:bottom w:val="none" w:sz="0" w:space="0" w:color="auto"/>
            <w:right w:val="none" w:sz="0" w:space="0" w:color="auto"/>
          </w:divBdr>
        </w:div>
      </w:divsChild>
    </w:div>
    <w:div w:id="1310549097">
      <w:bodyDiv w:val="1"/>
      <w:marLeft w:val="0"/>
      <w:marRight w:val="0"/>
      <w:marTop w:val="0"/>
      <w:marBottom w:val="0"/>
      <w:divBdr>
        <w:top w:val="none" w:sz="0" w:space="0" w:color="auto"/>
        <w:left w:val="none" w:sz="0" w:space="0" w:color="auto"/>
        <w:bottom w:val="none" w:sz="0" w:space="0" w:color="auto"/>
        <w:right w:val="none" w:sz="0" w:space="0" w:color="auto"/>
      </w:divBdr>
    </w:div>
    <w:div w:id="1348286198">
      <w:bodyDiv w:val="1"/>
      <w:marLeft w:val="0"/>
      <w:marRight w:val="0"/>
      <w:marTop w:val="0"/>
      <w:marBottom w:val="0"/>
      <w:divBdr>
        <w:top w:val="none" w:sz="0" w:space="0" w:color="auto"/>
        <w:left w:val="none" w:sz="0" w:space="0" w:color="auto"/>
        <w:bottom w:val="none" w:sz="0" w:space="0" w:color="auto"/>
        <w:right w:val="none" w:sz="0" w:space="0" w:color="auto"/>
      </w:divBdr>
    </w:div>
    <w:div w:id="1366055329">
      <w:bodyDiv w:val="1"/>
      <w:marLeft w:val="0"/>
      <w:marRight w:val="0"/>
      <w:marTop w:val="0"/>
      <w:marBottom w:val="0"/>
      <w:divBdr>
        <w:top w:val="none" w:sz="0" w:space="0" w:color="auto"/>
        <w:left w:val="none" w:sz="0" w:space="0" w:color="auto"/>
        <w:bottom w:val="none" w:sz="0" w:space="0" w:color="auto"/>
        <w:right w:val="none" w:sz="0" w:space="0" w:color="auto"/>
      </w:divBdr>
      <w:divsChild>
        <w:div w:id="519974700">
          <w:marLeft w:val="475"/>
          <w:marRight w:val="14"/>
          <w:marTop w:val="58"/>
          <w:marBottom w:val="0"/>
          <w:divBdr>
            <w:top w:val="none" w:sz="0" w:space="0" w:color="auto"/>
            <w:left w:val="none" w:sz="0" w:space="0" w:color="auto"/>
            <w:bottom w:val="none" w:sz="0" w:space="0" w:color="auto"/>
            <w:right w:val="none" w:sz="0" w:space="0" w:color="auto"/>
          </w:divBdr>
        </w:div>
      </w:divsChild>
    </w:div>
    <w:div w:id="1389377727">
      <w:bodyDiv w:val="1"/>
      <w:marLeft w:val="0"/>
      <w:marRight w:val="0"/>
      <w:marTop w:val="0"/>
      <w:marBottom w:val="0"/>
      <w:divBdr>
        <w:top w:val="none" w:sz="0" w:space="0" w:color="auto"/>
        <w:left w:val="none" w:sz="0" w:space="0" w:color="auto"/>
        <w:bottom w:val="none" w:sz="0" w:space="0" w:color="auto"/>
        <w:right w:val="none" w:sz="0" w:space="0" w:color="auto"/>
      </w:divBdr>
      <w:divsChild>
        <w:div w:id="1024550728">
          <w:marLeft w:val="0"/>
          <w:marRight w:val="0"/>
          <w:marTop w:val="0"/>
          <w:marBottom w:val="0"/>
          <w:divBdr>
            <w:top w:val="none" w:sz="0" w:space="0" w:color="auto"/>
            <w:left w:val="none" w:sz="0" w:space="0" w:color="auto"/>
            <w:bottom w:val="none" w:sz="0" w:space="0" w:color="auto"/>
            <w:right w:val="none" w:sz="0" w:space="0" w:color="auto"/>
          </w:divBdr>
          <w:divsChild>
            <w:div w:id="180556022">
              <w:marLeft w:val="0"/>
              <w:marRight w:val="0"/>
              <w:marTop w:val="0"/>
              <w:marBottom w:val="0"/>
              <w:divBdr>
                <w:top w:val="none" w:sz="0" w:space="0" w:color="auto"/>
                <w:left w:val="none" w:sz="0" w:space="0" w:color="auto"/>
                <w:bottom w:val="none" w:sz="0" w:space="0" w:color="auto"/>
                <w:right w:val="none" w:sz="0" w:space="0" w:color="auto"/>
              </w:divBdr>
              <w:divsChild>
                <w:div w:id="1970279472">
                  <w:marLeft w:val="0"/>
                  <w:marRight w:val="0"/>
                  <w:marTop w:val="0"/>
                  <w:marBottom w:val="0"/>
                  <w:divBdr>
                    <w:top w:val="none" w:sz="0" w:space="0" w:color="auto"/>
                    <w:left w:val="none" w:sz="0" w:space="0" w:color="auto"/>
                    <w:bottom w:val="none" w:sz="0" w:space="0" w:color="auto"/>
                    <w:right w:val="none" w:sz="0" w:space="0" w:color="auto"/>
                  </w:divBdr>
                  <w:divsChild>
                    <w:div w:id="1292905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09838860">
      <w:bodyDiv w:val="1"/>
      <w:marLeft w:val="0"/>
      <w:marRight w:val="0"/>
      <w:marTop w:val="0"/>
      <w:marBottom w:val="0"/>
      <w:divBdr>
        <w:top w:val="none" w:sz="0" w:space="0" w:color="auto"/>
        <w:left w:val="none" w:sz="0" w:space="0" w:color="auto"/>
        <w:bottom w:val="none" w:sz="0" w:space="0" w:color="auto"/>
        <w:right w:val="none" w:sz="0" w:space="0" w:color="auto"/>
      </w:divBdr>
    </w:div>
    <w:div w:id="1430083413">
      <w:bodyDiv w:val="1"/>
      <w:marLeft w:val="0"/>
      <w:marRight w:val="0"/>
      <w:marTop w:val="0"/>
      <w:marBottom w:val="0"/>
      <w:divBdr>
        <w:top w:val="none" w:sz="0" w:space="0" w:color="auto"/>
        <w:left w:val="none" w:sz="0" w:space="0" w:color="auto"/>
        <w:bottom w:val="none" w:sz="0" w:space="0" w:color="auto"/>
        <w:right w:val="none" w:sz="0" w:space="0" w:color="auto"/>
      </w:divBdr>
      <w:divsChild>
        <w:div w:id="727924203">
          <w:marLeft w:val="547"/>
          <w:marRight w:val="0"/>
          <w:marTop w:val="50"/>
          <w:marBottom w:val="0"/>
          <w:divBdr>
            <w:top w:val="none" w:sz="0" w:space="0" w:color="auto"/>
            <w:left w:val="none" w:sz="0" w:space="0" w:color="auto"/>
            <w:bottom w:val="none" w:sz="0" w:space="0" w:color="auto"/>
            <w:right w:val="none" w:sz="0" w:space="0" w:color="auto"/>
          </w:divBdr>
        </w:div>
        <w:div w:id="1814176598">
          <w:marLeft w:val="547"/>
          <w:marRight w:val="0"/>
          <w:marTop w:val="50"/>
          <w:marBottom w:val="0"/>
          <w:divBdr>
            <w:top w:val="none" w:sz="0" w:space="0" w:color="auto"/>
            <w:left w:val="none" w:sz="0" w:space="0" w:color="auto"/>
            <w:bottom w:val="none" w:sz="0" w:space="0" w:color="auto"/>
            <w:right w:val="none" w:sz="0" w:space="0" w:color="auto"/>
          </w:divBdr>
        </w:div>
        <w:div w:id="942223628">
          <w:marLeft w:val="547"/>
          <w:marRight w:val="0"/>
          <w:marTop w:val="50"/>
          <w:marBottom w:val="0"/>
          <w:divBdr>
            <w:top w:val="none" w:sz="0" w:space="0" w:color="auto"/>
            <w:left w:val="none" w:sz="0" w:space="0" w:color="auto"/>
            <w:bottom w:val="none" w:sz="0" w:space="0" w:color="auto"/>
            <w:right w:val="none" w:sz="0" w:space="0" w:color="auto"/>
          </w:divBdr>
        </w:div>
        <w:div w:id="1629623345">
          <w:marLeft w:val="547"/>
          <w:marRight w:val="0"/>
          <w:marTop w:val="50"/>
          <w:marBottom w:val="0"/>
          <w:divBdr>
            <w:top w:val="none" w:sz="0" w:space="0" w:color="auto"/>
            <w:left w:val="none" w:sz="0" w:space="0" w:color="auto"/>
            <w:bottom w:val="none" w:sz="0" w:space="0" w:color="auto"/>
            <w:right w:val="none" w:sz="0" w:space="0" w:color="auto"/>
          </w:divBdr>
        </w:div>
        <w:div w:id="783231991">
          <w:marLeft w:val="547"/>
          <w:marRight w:val="0"/>
          <w:marTop w:val="50"/>
          <w:marBottom w:val="0"/>
          <w:divBdr>
            <w:top w:val="none" w:sz="0" w:space="0" w:color="auto"/>
            <w:left w:val="none" w:sz="0" w:space="0" w:color="auto"/>
            <w:bottom w:val="none" w:sz="0" w:space="0" w:color="auto"/>
            <w:right w:val="none" w:sz="0" w:space="0" w:color="auto"/>
          </w:divBdr>
        </w:div>
        <w:div w:id="1379938285">
          <w:marLeft w:val="1166"/>
          <w:marRight w:val="0"/>
          <w:marTop w:val="48"/>
          <w:marBottom w:val="0"/>
          <w:divBdr>
            <w:top w:val="none" w:sz="0" w:space="0" w:color="auto"/>
            <w:left w:val="none" w:sz="0" w:space="0" w:color="auto"/>
            <w:bottom w:val="none" w:sz="0" w:space="0" w:color="auto"/>
            <w:right w:val="none" w:sz="0" w:space="0" w:color="auto"/>
          </w:divBdr>
        </w:div>
        <w:div w:id="706102322">
          <w:marLeft w:val="1166"/>
          <w:marRight w:val="0"/>
          <w:marTop w:val="48"/>
          <w:marBottom w:val="0"/>
          <w:divBdr>
            <w:top w:val="none" w:sz="0" w:space="0" w:color="auto"/>
            <w:left w:val="none" w:sz="0" w:space="0" w:color="auto"/>
            <w:bottom w:val="none" w:sz="0" w:space="0" w:color="auto"/>
            <w:right w:val="none" w:sz="0" w:space="0" w:color="auto"/>
          </w:divBdr>
        </w:div>
        <w:div w:id="1496610188">
          <w:marLeft w:val="547"/>
          <w:marRight w:val="0"/>
          <w:marTop w:val="50"/>
          <w:marBottom w:val="0"/>
          <w:divBdr>
            <w:top w:val="none" w:sz="0" w:space="0" w:color="auto"/>
            <w:left w:val="none" w:sz="0" w:space="0" w:color="auto"/>
            <w:bottom w:val="none" w:sz="0" w:space="0" w:color="auto"/>
            <w:right w:val="none" w:sz="0" w:space="0" w:color="auto"/>
          </w:divBdr>
        </w:div>
        <w:div w:id="450126910">
          <w:marLeft w:val="547"/>
          <w:marRight w:val="0"/>
          <w:marTop w:val="50"/>
          <w:marBottom w:val="0"/>
          <w:divBdr>
            <w:top w:val="none" w:sz="0" w:space="0" w:color="auto"/>
            <w:left w:val="none" w:sz="0" w:space="0" w:color="auto"/>
            <w:bottom w:val="none" w:sz="0" w:space="0" w:color="auto"/>
            <w:right w:val="none" w:sz="0" w:space="0" w:color="auto"/>
          </w:divBdr>
        </w:div>
      </w:divsChild>
    </w:div>
    <w:div w:id="1500076037">
      <w:bodyDiv w:val="1"/>
      <w:marLeft w:val="0"/>
      <w:marRight w:val="0"/>
      <w:marTop w:val="0"/>
      <w:marBottom w:val="0"/>
      <w:divBdr>
        <w:top w:val="none" w:sz="0" w:space="0" w:color="auto"/>
        <w:left w:val="none" w:sz="0" w:space="0" w:color="auto"/>
        <w:bottom w:val="none" w:sz="0" w:space="0" w:color="auto"/>
        <w:right w:val="none" w:sz="0" w:space="0" w:color="auto"/>
      </w:divBdr>
      <w:divsChild>
        <w:div w:id="356927364">
          <w:marLeft w:val="374"/>
          <w:marRight w:val="734"/>
          <w:marTop w:val="57"/>
          <w:marBottom w:val="0"/>
          <w:divBdr>
            <w:top w:val="none" w:sz="0" w:space="0" w:color="auto"/>
            <w:left w:val="none" w:sz="0" w:space="0" w:color="auto"/>
            <w:bottom w:val="none" w:sz="0" w:space="0" w:color="auto"/>
            <w:right w:val="none" w:sz="0" w:space="0" w:color="auto"/>
          </w:divBdr>
        </w:div>
        <w:div w:id="1955016051">
          <w:marLeft w:val="374"/>
          <w:marRight w:val="14"/>
          <w:marTop w:val="57"/>
          <w:marBottom w:val="0"/>
          <w:divBdr>
            <w:top w:val="none" w:sz="0" w:space="0" w:color="auto"/>
            <w:left w:val="none" w:sz="0" w:space="0" w:color="auto"/>
            <w:bottom w:val="none" w:sz="0" w:space="0" w:color="auto"/>
            <w:right w:val="none" w:sz="0" w:space="0" w:color="auto"/>
          </w:divBdr>
        </w:div>
        <w:div w:id="1767506525">
          <w:marLeft w:val="374"/>
          <w:marRight w:val="576"/>
          <w:marTop w:val="57"/>
          <w:marBottom w:val="0"/>
          <w:divBdr>
            <w:top w:val="none" w:sz="0" w:space="0" w:color="auto"/>
            <w:left w:val="none" w:sz="0" w:space="0" w:color="auto"/>
            <w:bottom w:val="none" w:sz="0" w:space="0" w:color="auto"/>
            <w:right w:val="none" w:sz="0" w:space="0" w:color="auto"/>
          </w:divBdr>
        </w:div>
        <w:div w:id="1043604124">
          <w:marLeft w:val="374"/>
          <w:marRight w:val="29"/>
          <w:marTop w:val="57"/>
          <w:marBottom w:val="0"/>
          <w:divBdr>
            <w:top w:val="none" w:sz="0" w:space="0" w:color="auto"/>
            <w:left w:val="none" w:sz="0" w:space="0" w:color="auto"/>
            <w:bottom w:val="none" w:sz="0" w:space="0" w:color="auto"/>
            <w:right w:val="none" w:sz="0" w:space="0" w:color="auto"/>
          </w:divBdr>
        </w:div>
      </w:divsChild>
    </w:div>
    <w:div w:id="1532038418">
      <w:bodyDiv w:val="1"/>
      <w:marLeft w:val="0"/>
      <w:marRight w:val="0"/>
      <w:marTop w:val="0"/>
      <w:marBottom w:val="0"/>
      <w:divBdr>
        <w:top w:val="none" w:sz="0" w:space="0" w:color="auto"/>
        <w:left w:val="none" w:sz="0" w:space="0" w:color="auto"/>
        <w:bottom w:val="none" w:sz="0" w:space="0" w:color="auto"/>
        <w:right w:val="none" w:sz="0" w:space="0" w:color="auto"/>
      </w:divBdr>
      <w:divsChild>
        <w:div w:id="1726752864">
          <w:marLeft w:val="547"/>
          <w:marRight w:val="0"/>
          <w:marTop w:val="67"/>
          <w:marBottom w:val="0"/>
          <w:divBdr>
            <w:top w:val="none" w:sz="0" w:space="0" w:color="auto"/>
            <w:left w:val="none" w:sz="0" w:space="0" w:color="auto"/>
            <w:bottom w:val="none" w:sz="0" w:space="0" w:color="auto"/>
            <w:right w:val="none" w:sz="0" w:space="0" w:color="auto"/>
          </w:divBdr>
        </w:div>
        <w:div w:id="428087707">
          <w:marLeft w:val="1166"/>
          <w:marRight w:val="0"/>
          <w:marTop w:val="58"/>
          <w:marBottom w:val="0"/>
          <w:divBdr>
            <w:top w:val="none" w:sz="0" w:space="0" w:color="auto"/>
            <w:left w:val="none" w:sz="0" w:space="0" w:color="auto"/>
            <w:bottom w:val="none" w:sz="0" w:space="0" w:color="auto"/>
            <w:right w:val="none" w:sz="0" w:space="0" w:color="auto"/>
          </w:divBdr>
        </w:div>
        <w:div w:id="1199313600">
          <w:marLeft w:val="1166"/>
          <w:marRight w:val="0"/>
          <w:marTop w:val="58"/>
          <w:marBottom w:val="0"/>
          <w:divBdr>
            <w:top w:val="none" w:sz="0" w:space="0" w:color="auto"/>
            <w:left w:val="none" w:sz="0" w:space="0" w:color="auto"/>
            <w:bottom w:val="none" w:sz="0" w:space="0" w:color="auto"/>
            <w:right w:val="none" w:sz="0" w:space="0" w:color="auto"/>
          </w:divBdr>
        </w:div>
      </w:divsChild>
    </w:div>
    <w:div w:id="1596285391">
      <w:bodyDiv w:val="1"/>
      <w:marLeft w:val="0"/>
      <w:marRight w:val="0"/>
      <w:marTop w:val="0"/>
      <w:marBottom w:val="0"/>
      <w:divBdr>
        <w:top w:val="none" w:sz="0" w:space="0" w:color="auto"/>
        <w:left w:val="none" w:sz="0" w:space="0" w:color="auto"/>
        <w:bottom w:val="none" w:sz="0" w:space="0" w:color="auto"/>
        <w:right w:val="none" w:sz="0" w:space="0" w:color="auto"/>
      </w:divBdr>
      <w:divsChild>
        <w:div w:id="731274712">
          <w:marLeft w:val="475"/>
          <w:marRight w:val="14"/>
          <w:marTop w:val="67"/>
          <w:marBottom w:val="0"/>
          <w:divBdr>
            <w:top w:val="none" w:sz="0" w:space="0" w:color="auto"/>
            <w:left w:val="none" w:sz="0" w:space="0" w:color="auto"/>
            <w:bottom w:val="none" w:sz="0" w:space="0" w:color="auto"/>
            <w:right w:val="none" w:sz="0" w:space="0" w:color="auto"/>
          </w:divBdr>
        </w:div>
        <w:div w:id="946078917">
          <w:marLeft w:val="1195"/>
          <w:marRight w:val="14"/>
          <w:marTop w:val="58"/>
          <w:marBottom w:val="0"/>
          <w:divBdr>
            <w:top w:val="none" w:sz="0" w:space="0" w:color="auto"/>
            <w:left w:val="none" w:sz="0" w:space="0" w:color="auto"/>
            <w:bottom w:val="none" w:sz="0" w:space="0" w:color="auto"/>
            <w:right w:val="none" w:sz="0" w:space="0" w:color="auto"/>
          </w:divBdr>
        </w:div>
        <w:div w:id="69891386">
          <w:marLeft w:val="475"/>
          <w:marRight w:val="14"/>
          <w:marTop w:val="67"/>
          <w:marBottom w:val="0"/>
          <w:divBdr>
            <w:top w:val="none" w:sz="0" w:space="0" w:color="auto"/>
            <w:left w:val="none" w:sz="0" w:space="0" w:color="auto"/>
            <w:bottom w:val="none" w:sz="0" w:space="0" w:color="auto"/>
            <w:right w:val="none" w:sz="0" w:space="0" w:color="auto"/>
          </w:divBdr>
        </w:div>
      </w:divsChild>
    </w:div>
    <w:div w:id="1613896588">
      <w:bodyDiv w:val="1"/>
      <w:marLeft w:val="0"/>
      <w:marRight w:val="0"/>
      <w:marTop w:val="0"/>
      <w:marBottom w:val="0"/>
      <w:divBdr>
        <w:top w:val="none" w:sz="0" w:space="0" w:color="auto"/>
        <w:left w:val="none" w:sz="0" w:space="0" w:color="auto"/>
        <w:bottom w:val="none" w:sz="0" w:space="0" w:color="auto"/>
        <w:right w:val="none" w:sz="0" w:space="0" w:color="auto"/>
      </w:divBdr>
      <w:divsChild>
        <w:div w:id="1511991628">
          <w:marLeft w:val="446"/>
          <w:marRight w:val="0"/>
          <w:marTop w:val="62"/>
          <w:marBottom w:val="0"/>
          <w:divBdr>
            <w:top w:val="none" w:sz="0" w:space="0" w:color="auto"/>
            <w:left w:val="none" w:sz="0" w:space="0" w:color="auto"/>
            <w:bottom w:val="none" w:sz="0" w:space="0" w:color="auto"/>
            <w:right w:val="none" w:sz="0" w:space="0" w:color="auto"/>
          </w:divBdr>
        </w:div>
        <w:div w:id="1389650437">
          <w:marLeft w:val="1166"/>
          <w:marRight w:val="0"/>
          <w:marTop w:val="62"/>
          <w:marBottom w:val="0"/>
          <w:divBdr>
            <w:top w:val="none" w:sz="0" w:space="0" w:color="auto"/>
            <w:left w:val="none" w:sz="0" w:space="0" w:color="auto"/>
            <w:bottom w:val="none" w:sz="0" w:space="0" w:color="auto"/>
            <w:right w:val="none" w:sz="0" w:space="0" w:color="auto"/>
          </w:divBdr>
        </w:div>
        <w:div w:id="1449859903">
          <w:marLeft w:val="1166"/>
          <w:marRight w:val="0"/>
          <w:marTop w:val="62"/>
          <w:marBottom w:val="120"/>
          <w:divBdr>
            <w:top w:val="none" w:sz="0" w:space="0" w:color="auto"/>
            <w:left w:val="none" w:sz="0" w:space="0" w:color="auto"/>
            <w:bottom w:val="none" w:sz="0" w:space="0" w:color="auto"/>
            <w:right w:val="none" w:sz="0" w:space="0" w:color="auto"/>
          </w:divBdr>
        </w:div>
      </w:divsChild>
    </w:div>
    <w:div w:id="1722822652">
      <w:bodyDiv w:val="1"/>
      <w:marLeft w:val="0"/>
      <w:marRight w:val="0"/>
      <w:marTop w:val="0"/>
      <w:marBottom w:val="0"/>
      <w:divBdr>
        <w:top w:val="none" w:sz="0" w:space="0" w:color="auto"/>
        <w:left w:val="none" w:sz="0" w:space="0" w:color="auto"/>
        <w:bottom w:val="none" w:sz="0" w:space="0" w:color="auto"/>
        <w:right w:val="none" w:sz="0" w:space="0" w:color="auto"/>
      </w:divBdr>
      <w:divsChild>
        <w:div w:id="1265573249">
          <w:marLeft w:val="475"/>
          <w:marRight w:val="14"/>
          <w:marTop w:val="58"/>
          <w:marBottom w:val="0"/>
          <w:divBdr>
            <w:top w:val="none" w:sz="0" w:space="0" w:color="auto"/>
            <w:left w:val="none" w:sz="0" w:space="0" w:color="auto"/>
            <w:bottom w:val="none" w:sz="0" w:space="0" w:color="auto"/>
            <w:right w:val="none" w:sz="0" w:space="0" w:color="auto"/>
          </w:divBdr>
        </w:div>
      </w:divsChild>
    </w:div>
    <w:div w:id="1771586027">
      <w:bodyDiv w:val="1"/>
      <w:marLeft w:val="0"/>
      <w:marRight w:val="0"/>
      <w:marTop w:val="0"/>
      <w:marBottom w:val="0"/>
      <w:divBdr>
        <w:top w:val="none" w:sz="0" w:space="0" w:color="auto"/>
        <w:left w:val="none" w:sz="0" w:space="0" w:color="auto"/>
        <w:bottom w:val="none" w:sz="0" w:space="0" w:color="auto"/>
        <w:right w:val="none" w:sz="0" w:space="0" w:color="auto"/>
      </w:divBdr>
    </w:div>
    <w:div w:id="1798447658">
      <w:bodyDiv w:val="1"/>
      <w:marLeft w:val="0"/>
      <w:marRight w:val="0"/>
      <w:marTop w:val="0"/>
      <w:marBottom w:val="0"/>
      <w:divBdr>
        <w:top w:val="none" w:sz="0" w:space="0" w:color="auto"/>
        <w:left w:val="none" w:sz="0" w:space="0" w:color="auto"/>
        <w:bottom w:val="none" w:sz="0" w:space="0" w:color="auto"/>
        <w:right w:val="none" w:sz="0" w:space="0" w:color="auto"/>
      </w:divBdr>
      <w:divsChild>
        <w:div w:id="1509520926">
          <w:marLeft w:val="475"/>
          <w:marRight w:val="14"/>
          <w:marTop w:val="67"/>
          <w:marBottom w:val="0"/>
          <w:divBdr>
            <w:top w:val="none" w:sz="0" w:space="0" w:color="auto"/>
            <w:left w:val="none" w:sz="0" w:space="0" w:color="auto"/>
            <w:bottom w:val="none" w:sz="0" w:space="0" w:color="auto"/>
            <w:right w:val="none" w:sz="0" w:space="0" w:color="auto"/>
          </w:divBdr>
        </w:div>
        <w:div w:id="1873103523">
          <w:marLeft w:val="1094"/>
          <w:marRight w:val="14"/>
          <w:marTop w:val="58"/>
          <w:marBottom w:val="0"/>
          <w:divBdr>
            <w:top w:val="none" w:sz="0" w:space="0" w:color="auto"/>
            <w:left w:val="none" w:sz="0" w:space="0" w:color="auto"/>
            <w:bottom w:val="none" w:sz="0" w:space="0" w:color="auto"/>
            <w:right w:val="none" w:sz="0" w:space="0" w:color="auto"/>
          </w:divBdr>
        </w:div>
      </w:divsChild>
    </w:div>
    <w:div w:id="1887716903">
      <w:bodyDiv w:val="1"/>
      <w:marLeft w:val="0"/>
      <w:marRight w:val="0"/>
      <w:marTop w:val="0"/>
      <w:marBottom w:val="0"/>
      <w:divBdr>
        <w:top w:val="none" w:sz="0" w:space="0" w:color="auto"/>
        <w:left w:val="none" w:sz="0" w:space="0" w:color="auto"/>
        <w:bottom w:val="none" w:sz="0" w:space="0" w:color="auto"/>
        <w:right w:val="none" w:sz="0" w:space="0" w:color="auto"/>
      </w:divBdr>
      <w:divsChild>
        <w:div w:id="2053993503">
          <w:marLeft w:val="0"/>
          <w:marRight w:val="0"/>
          <w:marTop w:val="0"/>
          <w:marBottom w:val="0"/>
          <w:divBdr>
            <w:top w:val="none" w:sz="0" w:space="0" w:color="auto"/>
            <w:left w:val="none" w:sz="0" w:space="0" w:color="auto"/>
            <w:bottom w:val="none" w:sz="0" w:space="0" w:color="auto"/>
            <w:right w:val="none" w:sz="0" w:space="0" w:color="auto"/>
          </w:divBdr>
          <w:divsChild>
            <w:div w:id="475073510">
              <w:marLeft w:val="0"/>
              <w:marRight w:val="0"/>
              <w:marTop w:val="0"/>
              <w:marBottom w:val="0"/>
              <w:divBdr>
                <w:top w:val="none" w:sz="0" w:space="0" w:color="auto"/>
                <w:left w:val="none" w:sz="0" w:space="0" w:color="auto"/>
                <w:bottom w:val="none" w:sz="0" w:space="0" w:color="auto"/>
                <w:right w:val="none" w:sz="0" w:space="0" w:color="auto"/>
              </w:divBdr>
              <w:divsChild>
                <w:div w:id="1761566183">
                  <w:marLeft w:val="0"/>
                  <w:marRight w:val="0"/>
                  <w:marTop w:val="0"/>
                  <w:marBottom w:val="0"/>
                  <w:divBdr>
                    <w:top w:val="none" w:sz="0" w:space="0" w:color="auto"/>
                    <w:left w:val="none" w:sz="0" w:space="0" w:color="auto"/>
                    <w:bottom w:val="none" w:sz="0" w:space="0" w:color="auto"/>
                    <w:right w:val="none" w:sz="0" w:space="0" w:color="auto"/>
                  </w:divBdr>
                  <w:divsChild>
                    <w:div w:id="2133555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96771487">
      <w:bodyDiv w:val="1"/>
      <w:marLeft w:val="0"/>
      <w:marRight w:val="0"/>
      <w:marTop w:val="0"/>
      <w:marBottom w:val="0"/>
      <w:divBdr>
        <w:top w:val="none" w:sz="0" w:space="0" w:color="auto"/>
        <w:left w:val="none" w:sz="0" w:space="0" w:color="auto"/>
        <w:bottom w:val="none" w:sz="0" w:space="0" w:color="auto"/>
        <w:right w:val="none" w:sz="0" w:space="0" w:color="auto"/>
      </w:divBdr>
    </w:div>
    <w:div w:id="1913196355">
      <w:bodyDiv w:val="1"/>
      <w:marLeft w:val="0"/>
      <w:marRight w:val="0"/>
      <w:marTop w:val="0"/>
      <w:marBottom w:val="0"/>
      <w:divBdr>
        <w:top w:val="none" w:sz="0" w:space="0" w:color="auto"/>
        <w:left w:val="none" w:sz="0" w:space="0" w:color="auto"/>
        <w:bottom w:val="none" w:sz="0" w:space="0" w:color="auto"/>
        <w:right w:val="none" w:sz="0" w:space="0" w:color="auto"/>
      </w:divBdr>
      <w:divsChild>
        <w:div w:id="592974462">
          <w:marLeft w:val="648"/>
          <w:marRight w:val="0"/>
          <w:marTop w:val="67"/>
          <w:marBottom w:val="0"/>
          <w:divBdr>
            <w:top w:val="none" w:sz="0" w:space="0" w:color="auto"/>
            <w:left w:val="none" w:sz="0" w:space="0" w:color="auto"/>
            <w:bottom w:val="none" w:sz="0" w:space="0" w:color="auto"/>
            <w:right w:val="none" w:sz="0" w:space="0" w:color="auto"/>
          </w:divBdr>
        </w:div>
      </w:divsChild>
    </w:div>
    <w:div w:id="1945922198">
      <w:bodyDiv w:val="1"/>
      <w:marLeft w:val="0"/>
      <w:marRight w:val="0"/>
      <w:marTop w:val="0"/>
      <w:marBottom w:val="0"/>
      <w:divBdr>
        <w:top w:val="none" w:sz="0" w:space="0" w:color="auto"/>
        <w:left w:val="none" w:sz="0" w:space="0" w:color="auto"/>
        <w:bottom w:val="none" w:sz="0" w:space="0" w:color="auto"/>
        <w:right w:val="none" w:sz="0" w:space="0" w:color="auto"/>
      </w:divBdr>
      <w:divsChild>
        <w:div w:id="1813325499">
          <w:marLeft w:val="446"/>
          <w:marRight w:val="0"/>
          <w:marTop w:val="62"/>
          <w:marBottom w:val="0"/>
          <w:divBdr>
            <w:top w:val="none" w:sz="0" w:space="0" w:color="auto"/>
            <w:left w:val="none" w:sz="0" w:space="0" w:color="auto"/>
            <w:bottom w:val="none" w:sz="0" w:space="0" w:color="auto"/>
            <w:right w:val="none" w:sz="0" w:space="0" w:color="auto"/>
          </w:divBdr>
        </w:div>
      </w:divsChild>
    </w:div>
    <w:div w:id="1975333495">
      <w:bodyDiv w:val="1"/>
      <w:marLeft w:val="0"/>
      <w:marRight w:val="0"/>
      <w:marTop w:val="0"/>
      <w:marBottom w:val="0"/>
      <w:divBdr>
        <w:top w:val="none" w:sz="0" w:space="0" w:color="auto"/>
        <w:left w:val="none" w:sz="0" w:space="0" w:color="auto"/>
        <w:bottom w:val="none" w:sz="0" w:space="0" w:color="auto"/>
        <w:right w:val="none" w:sz="0" w:space="0" w:color="auto"/>
      </w:divBdr>
      <w:divsChild>
        <w:div w:id="905840526">
          <w:marLeft w:val="562"/>
          <w:marRight w:val="14"/>
          <w:marTop w:val="193"/>
          <w:marBottom w:val="0"/>
          <w:divBdr>
            <w:top w:val="none" w:sz="0" w:space="0" w:color="auto"/>
            <w:left w:val="none" w:sz="0" w:space="0" w:color="auto"/>
            <w:bottom w:val="none" w:sz="0" w:space="0" w:color="auto"/>
            <w:right w:val="none" w:sz="0" w:space="0" w:color="auto"/>
          </w:divBdr>
        </w:div>
        <w:div w:id="594482615">
          <w:marLeft w:val="562"/>
          <w:marRight w:val="173"/>
          <w:marTop w:val="0"/>
          <w:marBottom w:val="0"/>
          <w:divBdr>
            <w:top w:val="none" w:sz="0" w:space="0" w:color="auto"/>
            <w:left w:val="none" w:sz="0" w:space="0" w:color="auto"/>
            <w:bottom w:val="none" w:sz="0" w:space="0" w:color="auto"/>
            <w:right w:val="none" w:sz="0" w:space="0" w:color="auto"/>
          </w:divBdr>
        </w:div>
        <w:div w:id="1946571865">
          <w:marLeft w:val="562"/>
          <w:marRight w:val="14"/>
          <w:marTop w:val="0"/>
          <w:marBottom w:val="0"/>
          <w:divBdr>
            <w:top w:val="none" w:sz="0" w:space="0" w:color="auto"/>
            <w:left w:val="none" w:sz="0" w:space="0" w:color="auto"/>
            <w:bottom w:val="none" w:sz="0" w:space="0" w:color="auto"/>
            <w:right w:val="none" w:sz="0" w:space="0" w:color="auto"/>
          </w:divBdr>
        </w:div>
      </w:divsChild>
    </w:div>
    <w:div w:id="1993024396">
      <w:bodyDiv w:val="1"/>
      <w:marLeft w:val="0"/>
      <w:marRight w:val="0"/>
      <w:marTop w:val="0"/>
      <w:marBottom w:val="0"/>
      <w:divBdr>
        <w:top w:val="none" w:sz="0" w:space="0" w:color="auto"/>
        <w:left w:val="none" w:sz="0" w:space="0" w:color="auto"/>
        <w:bottom w:val="none" w:sz="0" w:space="0" w:color="auto"/>
        <w:right w:val="none" w:sz="0" w:space="0" w:color="auto"/>
      </w:divBdr>
      <w:divsChild>
        <w:div w:id="552540305">
          <w:marLeft w:val="0"/>
          <w:marRight w:val="0"/>
          <w:marTop w:val="0"/>
          <w:marBottom w:val="0"/>
          <w:divBdr>
            <w:top w:val="none" w:sz="0" w:space="0" w:color="auto"/>
            <w:left w:val="none" w:sz="0" w:space="0" w:color="auto"/>
            <w:bottom w:val="none" w:sz="0" w:space="0" w:color="auto"/>
            <w:right w:val="none" w:sz="0" w:space="0" w:color="auto"/>
          </w:divBdr>
          <w:divsChild>
            <w:div w:id="485515945">
              <w:marLeft w:val="0"/>
              <w:marRight w:val="0"/>
              <w:marTop w:val="0"/>
              <w:marBottom w:val="0"/>
              <w:divBdr>
                <w:top w:val="none" w:sz="0" w:space="0" w:color="auto"/>
                <w:left w:val="none" w:sz="0" w:space="0" w:color="auto"/>
                <w:bottom w:val="none" w:sz="0" w:space="0" w:color="auto"/>
                <w:right w:val="none" w:sz="0" w:space="0" w:color="auto"/>
              </w:divBdr>
              <w:divsChild>
                <w:div w:id="1427773169">
                  <w:marLeft w:val="0"/>
                  <w:marRight w:val="0"/>
                  <w:marTop w:val="0"/>
                  <w:marBottom w:val="0"/>
                  <w:divBdr>
                    <w:top w:val="none" w:sz="0" w:space="0" w:color="auto"/>
                    <w:left w:val="none" w:sz="0" w:space="0" w:color="auto"/>
                    <w:bottom w:val="none" w:sz="0" w:space="0" w:color="auto"/>
                    <w:right w:val="none" w:sz="0" w:space="0" w:color="auto"/>
                  </w:divBdr>
                  <w:divsChild>
                    <w:div w:id="1572036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02468887">
      <w:bodyDiv w:val="1"/>
      <w:marLeft w:val="0"/>
      <w:marRight w:val="0"/>
      <w:marTop w:val="0"/>
      <w:marBottom w:val="0"/>
      <w:divBdr>
        <w:top w:val="none" w:sz="0" w:space="0" w:color="auto"/>
        <w:left w:val="none" w:sz="0" w:space="0" w:color="auto"/>
        <w:bottom w:val="none" w:sz="0" w:space="0" w:color="auto"/>
        <w:right w:val="none" w:sz="0" w:space="0" w:color="auto"/>
      </w:divBdr>
      <w:divsChild>
        <w:div w:id="1697651700">
          <w:marLeft w:val="0"/>
          <w:marRight w:val="0"/>
          <w:marTop w:val="0"/>
          <w:marBottom w:val="0"/>
          <w:divBdr>
            <w:top w:val="none" w:sz="0" w:space="0" w:color="auto"/>
            <w:left w:val="none" w:sz="0" w:space="0" w:color="auto"/>
            <w:bottom w:val="none" w:sz="0" w:space="0" w:color="auto"/>
            <w:right w:val="none" w:sz="0" w:space="0" w:color="auto"/>
          </w:divBdr>
          <w:divsChild>
            <w:div w:id="2137286589">
              <w:marLeft w:val="0"/>
              <w:marRight w:val="0"/>
              <w:marTop w:val="0"/>
              <w:marBottom w:val="0"/>
              <w:divBdr>
                <w:top w:val="none" w:sz="0" w:space="0" w:color="auto"/>
                <w:left w:val="none" w:sz="0" w:space="0" w:color="auto"/>
                <w:bottom w:val="none" w:sz="0" w:space="0" w:color="auto"/>
                <w:right w:val="none" w:sz="0" w:space="0" w:color="auto"/>
              </w:divBdr>
              <w:divsChild>
                <w:div w:id="1650137583">
                  <w:marLeft w:val="0"/>
                  <w:marRight w:val="0"/>
                  <w:marTop w:val="0"/>
                  <w:marBottom w:val="0"/>
                  <w:divBdr>
                    <w:top w:val="none" w:sz="0" w:space="0" w:color="auto"/>
                    <w:left w:val="none" w:sz="0" w:space="0" w:color="auto"/>
                    <w:bottom w:val="none" w:sz="0" w:space="0" w:color="auto"/>
                    <w:right w:val="none" w:sz="0" w:space="0" w:color="auto"/>
                  </w:divBdr>
                  <w:divsChild>
                    <w:div w:id="1770927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12022822">
      <w:bodyDiv w:val="1"/>
      <w:marLeft w:val="0"/>
      <w:marRight w:val="0"/>
      <w:marTop w:val="0"/>
      <w:marBottom w:val="0"/>
      <w:divBdr>
        <w:top w:val="none" w:sz="0" w:space="0" w:color="auto"/>
        <w:left w:val="none" w:sz="0" w:space="0" w:color="auto"/>
        <w:bottom w:val="none" w:sz="0" w:space="0" w:color="auto"/>
        <w:right w:val="none" w:sz="0" w:space="0" w:color="auto"/>
      </w:divBdr>
      <w:divsChild>
        <w:div w:id="1288438183">
          <w:marLeft w:val="475"/>
          <w:marRight w:val="14"/>
          <w:marTop w:val="67"/>
          <w:marBottom w:val="0"/>
          <w:divBdr>
            <w:top w:val="none" w:sz="0" w:space="0" w:color="auto"/>
            <w:left w:val="none" w:sz="0" w:space="0" w:color="auto"/>
            <w:bottom w:val="none" w:sz="0" w:space="0" w:color="auto"/>
            <w:right w:val="none" w:sz="0" w:space="0" w:color="auto"/>
          </w:divBdr>
        </w:div>
      </w:divsChild>
    </w:div>
    <w:div w:id="2037542409">
      <w:bodyDiv w:val="1"/>
      <w:marLeft w:val="0"/>
      <w:marRight w:val="0"/>
      <w:marTop w:val="0"/>
      <w:marBottom w:val="0"/>
      <w:divBdr>
        <w:top w:val="none" w:sz="0" w:space="0" w:color="auto"/>
        <w:left w:val="none" w:sz="0" w:space="0" w:color="auto"/>
        <w:bottom w:val="none" w:sz="0" w:space="0" w:color="auto"/>
        <w:right w:val="none" w:sz="0" w:space="0" w:color="auto"/>
      </w:divBdr>
      <w:divsChild>
        <w:div w:id="1053308064">
          <w:marLeft w:val="0"/>
          <w:marRight w:val="0"/>
          <w:marTop w:val="0"/>
          <w:marBottom w:val="0"/>
          <w:divBdr>
            <w:top w:val="none" w:sz="0" w:space="0" w:color="auto"/>
            <w:left w:val="none" w:sz="0" w:space="0" w:color="auto"/>
            <w:bottom w:val="none" w:sz="0" w:space="0" w:color="auto"/>
            <w:right w:val="none" w:sz="0" w:space="0" w:color="auto"/>
          </w:divBdr>
          <w:divsChild>
            <w:div w:id="1905145174">
              <w:marLeft w:val="0"/>
              <w:marRight w:val="0"/>
              <w:marTop w:val="0"/>
              <w:marBottom w:val="0"/>
              <w:divBdr>
                <w:top w:val="none" w:sz="0" w:space="0" w:color="auto"/>
                <w:left w:val="none" w:sz="0" w:space="0" w:color="auto"/>
                <w:bottom w:val="none" w:sz="0" w:space="0" w:color="auto"/>
                <w:right w:val="none" w:sz="0" w:space="0" w:color="auto"/>
              </w:divBdr>
              <w:divsChild>
                <w:div w:id="1810201345">
                  <w:marLeft w:val="0"/>
                  <w:marRight w:val="0"/>
                  <w:marTop w:val="0"/>
                  <w:marBottom w:val="0"/>
                  <w:divBdr>
                    <w:top w:val="none" w:sz="0" w:space="0" w:color="auto"/>
                    <w:left w:val="none" w:sz="0" w:space="0" w:color="auto"/>
                    <w:bottom w:val="none" w:sz="0" w:space="0" w:color="auto"/>
                    <w:right w:val="none" w:sz="0" w:space="0" w:color="auto"/>
                  </w:divBdr>
                  <w:divsChild>
                    <w:div w:id="18095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58116671">
      <w:bodyDiv w:val="1"/>
      <w:marLeft w:val="0"/>
      <w:marRight w:val="0"/>
      <w:marTop w:val="0"/>
      <w:marBottom w:val="0"/>
      <w:divBdr>
        <w:top w:val="none" w:sz="0" w:space="0" w:color="auto"/>
        <w:left w:val="none" w:sz="0" w:space="0" w:color="auto"/>
        <w:bottom w:val="none" w:sz="0" w:space="0" w:color="auto"/>
        <w:right w:val="none" w:sz="0" w:space="0" w:color="auto"/>
      </w:divBdr>
      <w:divsChild>
        <w:div w:id="610671479">
          <w:marLeft w:val="562"/>
          <w:marRight w:val="14"/>
          <w:marTop w:val="58"/>
          <w:marBottom w:val="0"/>
          <w:divBdr>
            <w:top w:val="none" w:sz="0" w:space="0" w:color="auto"/>
            <w:left w:val="none" w:sz="0" w:space="0" w:color="auto"/>
            <w:bottom w:val="none" w:sz="0" w:space="0" w:color="auto"/>
            <w:right w:val="none" w:sz="0" w:space="0" w:color="auto"/>
          </w:divBdr>
        </w:div>
        <w:div w:id="1126587560">
          <w:marLeft w:val="1282"/>
          <w:marRight w:val="14"/>
          <w:marTop w:val="53"/>
          <w:marBottom w:val="0"/>
          <w:divBdr>
            <w:top w:val="none" w:sz="0" w:space="0" w:color="auto"/>
            <w:left w:val="none" w:sz="0" w:space="0" w:color="auto"/>
            <w:bottom w:val="none" w:sz="0" w:space="0" w:color="auto"/>
            <w:right w:val="none" w:sz="0" w:space="0" w:color="auto"/>
          </w:divBdr>
        </w:div>
        <w:div w:id="968240388">
          <w:marLeft w:val="1282"/>
          <w:marRight w:val="14"/>
          <w:marTop w:val="53"/>
          <w:marBottom w:val="0"/>
          <w:divBdr>
            <w:top w:val="none" w:sz="0" w:space="0" w:color="auto"/>
            <w:left w:val="none" w:sz="0" w:space="0" w:color="auto"/>
            <w:bottom w:val="none" w:sz="0" w:space="0" w:color="auto"/>
            <w:right w:val="none" w:sz="0" w:space="0" w:color="auto"/>
          </w:divBdr>
        </w:div>
      </w:divsChild>
    </w:div>
    <w:div w:id="2066756338">
      <w:bodyDiv w:val="1"/>
      <w:marLeft w:val="0"/>
      <w:marRight w:val="0"/>
      <w:marTop w:val="0"/>
      <w:marBottom w:val="0"/>
      <w:divBdr>
        <w:top w:val="none" w:sz="0" w:space="0" w:color="auto"/>
        <w:left w:val="none" w:sz="0" w:space="0" w:color="auto"/>
        <w:bottom w:val="none" w:sz="0" w:space="0" w:color="auto"/>
        <w:right w:val="none" w:sz="0" w:space="0" w:color="auto"/>
      </w:divBdr>
    </w:div>
    <w:div w:id="2077824441">
      <w:bodyDiv w:val="1"/>
      <w:marLeft w:val="0"/>
      <w:marRight w:val="0"/>
      <w:marTop w:val="0"/>
      <w:marBottom w:val="0"/>
      <w:divBdr>
        <w:top w:val="none" w:sz="0" w:space="0" w:color="auto"/>
        <w:left w:val="none" w:sz="0" w:space="0" w:color="auto"/>
        <w:bottom w:val="none" w:sz="0" w:space="0" w:color="auto"/>
        <w:right w:val="none" w:sz="0" w:space="0" w:color="auto"/>
      </w:divBdr>
      <w:divsChild>
        <w:div w:id="1864246267">
          <w:marLeft w:val="547"/>
          <w:marRight w:val="0"/>
          <w:marTop w:val="0"/>
          <w:marBottom w:val="80"/>
          <w:divBdr>
            <w:top w:val="none" w:sz="0" w:space="0" w:color="auto"/>
            <w:left w:val="none" w:sz="0" w:space="0" w:color="auto"/>
            <w:bottom w:val="none" w:sz="0" w:space="0" w:color="auto"/>
            <w:right w:val="none" w:sz="0" w:space="0" w:color="auto"/>
          </w:divBdr>
        </w:div>
        <w:div w:id="406273133">
          <w:marLeft w:val="1123"/>
          <w:marRight w:val="0"/>
          <w:marTop w:val="0"/>
          <w:marBottom w:val="80"/>
          <w:divBdr>
            <w:top w:val="none" w:sz="0" w:space="0" w:color="auto"/>
            <w:left w:val="none" w:sz="0" w:space="0" w:color="auto"/>
            <w:bottom w:val="none" w:sz="0" w:space="0" w:color="auto"/>
            <w:right w:val="none" w:sz="0" w:space="0" w:color="auto"/>
          </w:divBdr>
        </w:div>
        <w:div w:id="1769885327">
          <w:marLeft w:val="1123"/>
          <w:marRight w:val="0"/>
          <w:marTop w:val="0"/>
          <w:marBottom w:val="80"/>
          <w:divBdr>
            <w:top w:val="none" w:sz="0" w:space="0" w:color="auto"/>
            <w:left w:val="none" w:sz="0" w:space="0" w:color="auto"/>
            <w:bottom w:val="none" w:sz="0" w:space="0" w:color="auto"/>
            <w:right w:val="none" w:sz="0" w:space="0" w:color="auto"/>
          </w:divBdr>
        </w:div>
        <w:div w:id="482744719">
          <w:marLeft w:val="1123"/>
          <w:marRight w:val="0"/>
          <w:marTop w:val="0"/>
          <w:marBottom w:val="80"/>
          <w:divBdr>
            <w:top w:val="none" w:sz="0" w:space="0" w:color="auto"/>
            <w:left w:val="none" w:sz="0" w:space="0" w:color="auto"/>
            <w:bottom w:val="none" w:sz="0" w:space="0" w:color="auto"/>
            <w:right w:val="none" w:sz="0" w:space="0" w:color="auto"/>
          </w:divBdr>
        </w:div>
        <w:div w:id="734277151">
          <w:marLeft w:val="1123"/>
          <w:marRight w:val="0"/>
          <w:marTop w:val="0"/>
          <w:marBottom w:val="80"/>
          <w:divBdr>
            <w:top w:val="none" w:sz="0" w:space="0" w:color="auto"/>
            <w:left w:val="none" w:sz="0" w:space="0" w:color="auto"/>
            <w:bottom w:val="none" w:sz="0" w:space="0" w:color="auto"/>
            <w:right w:val="none" w:sz="0" w:space="0" w:color="auto"/>
          </w:divBdr>
        </w:div>
      </w:divsChild>
    </w:div>
    <w:div w:id="2146506027">
      <w:bodyDiv w:val="1"/>
      <w:marLeft w:val="0"/>
      <w:marRight w:val="0"/>
      <w:marTop w:val="0"/>
      <w:marBottom w:val="0"/>
      <w:divBdr>
        <w:top w:val="none" w:sz="0" w:space="0" w:color="auto"/>
        <w:left w:val="none" w:sz="0" w:space="0" w:color="auto"/>
        <w:bottom w:val="none" w:sz="0" w:space="0" w:color="auto"/>
        <w:right w:val="none" w:sz="0" w:space="0" w:color="auto"/>
      </w:divBdr>
      <w:divsChild>
        <w:div w:id="876896085">
          <w:marLeft w:val="562"/>
          <w:marRight w:val="14"/>
          <w:marTop w:val="58"/>
          <w:marBottom w:val="0"/>
          <w:divBdr>
            <w:top w:val="none" w:sz="0" w:space="0" w:color="auto"/>
            <w:left w:val="none" w:sz="0" w:space="0" w:color="auto"/>
            <w:bottom w:val="none" w:sz="0" w:space="0" w:color="auto"/>
            <w:right w:val="none" w:sz="0" w:space="0" w:color="auto"/>
          </w:divBdr>
        </w:div>
        <w:div w:id="371657649">
          <w:marLeft w:val="1282"/>
          <w:marRight w:val="14"/>
          <w:marTop w:val="53"/>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81B9C53-8792-4905-AF07-B2A8C90311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50</TotalTime>
  <Pages>1</Pages>
  <Words>8575</Words>
  <Characters>48882</Characters>
  <Application>Microsoft Office Word</Application>
  <DocSecurity>0</DocSecurity>
  <Lines>407</Lines>
  <Paragraphs>114</Paragraphs>
  <ScaleCrop>false</ScaleCrop>
  <HeadingPairs>
    <vt:vector size="2" baseType="variant">
      <vt:variant>
        <vt:lpstr>Title</vt:lpstr>
      </vt:variant>
      <vt:variant>
        <vt:i4>1</vt:i4>
      </vt:variant>
    </vt:vector>
  </HeadingPairs>
  <TitlesOfParts>
    <vt:vector size="1" baseType="lpstr">
      <vt:lpstr>Ontario Network of Excellence</vt:lpstr>
    </vt:vector>
  </TitlesOfParts>
  <Company>Government of Ontario</Company>
  <LinksUpToDate>false</LinksUpToDate>
  <CharactersWithSpaces>57343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Ontario Network of Excellence</dc:title>
  <dc:creator>Melissa Perera</dc:creator>
  <cp:lastModifiedBy>Schlaepfer, Martin (ENERGY)</cp:lastModifiedBy>
  <cp:revision>7</cp:revision>
  <cp:lastPrinted>2017-06-23T18:51:00Z</cp:lastPrinted>
  <dcterms:created xsi:type="dcterms:W3CDTF">2017-06-23T12:33:00Z</dcterms:created>
  <dcterms:modified xsi:type="dcterms:W3CDTF">2017-06-23T17:49:00Z</dcterms:modified>
</cp:coreProperties>
</file>