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85C" w:rsidRPr="00C1385C" w:rsidRDefault="00C1385C" w:rsidP="00C1385C">
      <w:pPr>
        <w:spacing w:after="0" w:line="240" w:lineRule="auto"/>
        <w:jc w:val="center"/>
        <w:rPr>
          <w:rFonts w:ascii="Arial" w:eastAsia="Times New Roman" w:hAnsi="Arial" w:cs="Arial"/>
          <w:b/>
          <w:bCs/>
          <w:lang w:eastAsia="en-CA"/>
        </w:rPr>
      </w:pPr>
      <w:r w:rsidRPr="00C1385C">
        <w:rPr>
          <w:rFonts w:ascii="Arial" w:eastAsia="Times New Roman" w:hAnsi="Arial" w:cs="Arial"/>
          <w:b/>
          <w:bCs/>
          <w:lang w:eastAsia="en-CA"/>
        </w:rPr>
        <w:t xml:space="preserve">  Confidential and Solicitor-Client Privileged</w:t>
      </w:r>
    </w:p>
    <w:tbl>
      <w:tblPr>
        <w:tblW w:w="0" w:type="auto"/>
        <w:tblBorders>
          <w:top w:val="thinThickSmallGap" w:sz="24" w:space="0" w:color="auto"/>
          <w:bottom w:val="thinThickSmallGap" w:sz="24" w:space="0" w:color="auto"/>
          <w:insideH w:val="thinThickSmallGap" w:sz="24" w:space="0" w:color="auto"/>
          <w:insideV w:val="thinThickSmallGap" w:sz="24" w:space="0" w:color="auto"/>
        </w:tblBorders>
        <w:tblLayout w:type="fixed"/>
        <w:tblLook w:val="0000" w:firstRow="0" w:lastRow="0" w:firstColumn="0" w:lastColumn="0" w:noHBand="0" w:noVBand="0"/>
      </w:tblPr>
      <w:tblGrid>
        <w:gridCol w:w="9576"/>
      </w:tblGrid>
      <w:tr w:rsidR="00C1385C" w:rsidRPr="00C1385C" w:rsidTr="008361F5">
        <w:tc>
          <w:tcPr>
            <w:tcW w:w="9576" w:type="dxa"/>
          </w:tcPr>
          <w:p w:rsidR="00C1385C" w:rsidRPr="00C1385C" w:rsidRDefault="00C1385C" w:rsidP="00C1385C">
            <w:pPr>
              <w:spacing w:after="0" w:line="240" w:lineRule="auto"/>
              <w:jc w:val="center"/>
              <w:rPr>
                <w:rFonts w:ascii="Arial" w:eastAsia="Times New Roman" w:hAnsi="Arial" w:cs="Arial"/>
                <w:b/>
                <w:bCs/>
                <w:lang w:val="en-US" w:eastAsia="en-CA"/>
              </w:rPr>
            </w:pPr>
            <w:r w:rsidRPr="00C1385C">
              <w:rPr>
                <w:rFonts w:ascii="Arial" w:eastAsia="Times New Roman" w:hAnsi="Arial" w:cs="Arial"/>
                <w:b/>
                <w:bCs/>
                <w:lang w:val="en-US" w:eastAsia="en-CA"/>
              </w:rPr>
              <w:t>Ministry of the Attorney General</w:t>
            </w:r>
          </w:p>
          <w:p w:rsidR="00C1385C" w:rsidRPr="00C1385C" w:rsidRDefault="00C1385C" w:rsidP="00C1385C">
            <w:pPr>
              <w:keepNext/>
              <w:spacing w:after="0" w:line="240" w:lineRule="auto"/>
              <w:jc w:val="center"/>
              <w:outlineLvl w:val="6"/>
              <w:rPr>
                <w:rFonts w:ascii="Arial" w:eastAsia="Times New Roman" w:hAnsi="Arial" w:cs="Arial"/>
                <w:b/>
                <w:bCs/>
                <w:i/>
                <w:iCs/>
                <w:lang w:val="en-US" w:eastAsia="en-CA"/>
              </w:rPr>
            </w:pPr>
            <w:r w:rsidRPr="00C1385C">
              <w:rPr>
                <w:rFonts w:ascii="Arial" w:eastAsia="Times New Roman" w:hAnsi="Arial" w:cs="Arial"/>
                <w:b/>
                <w:bCs/>
                <w:i/>
                <w:iCs/>
                <w:lang w:val="en-US" w:eastAsia="en-CA"/>
              </w:rPr>
              <w:t xml:space="preserve">Briefing Note </w:t>
            </w:r>
          </w:p>
          <w:p w:rsidR="00C1385C" w:rsidRPr="00C1385C" w:rsidRDefault="00C1385C" w:rsidP="00C1385C">
            <w:pPr>
              <w:spacing w:after="0" w:line="240" w:lineRule="auto"/>
              <w:jc w:val="center"/>
              <w:rPr>
                <w:rFonts w:ascii="Arial" w:eastAsia="Times New Roman" w:hAnsi="Arial" w:cs="Arial"/>
                <w:b/>
                <w:lang w:eastAsia="en-CA"/>
              </w:rPr>
            </w:pPr>
            <w:r w:rsidRPr="00C1385C">
              <w:rPr>
                <w:rFonts w:ascii="Arial" w:eastAsia="Times New Roman" w:hAnsi="Arial" w:cs="Arial"/>
                <w:b/>
                <w:lang w:eastAsia="en-CA"/>
              </w:rPr>
              <w:t>Legal Services Division</w:t>
            </w:r>
          </w:p>
          <w:p w:rsidR="00C1385C" w:rsidRPr="00C1385C" w:rsidRDefault="00C1385C" w:rsidP="00C1385C">
            <w:pPr>
              <w:spacing w:after="0" w:line="240" w:lineRule="auto"/>
              <w:jc w:val="center"/>
              <w:rPr>
                <w:rFonts w:ascii="Arial" w:eastAsia="Times New Roman" w:hAnsi="Arial" w:cs="Arial"/>
                <w:lang w:eastAsia="en-CA"/>
              </w:rPr>
            </w:pPr>
            <w:r w:rsidRPr="00C1385C">
              <w:rPr>
                <w:rFonts w:ascii="Arial" w:eastAsia="Times New Roman" w:hAnsi="Arial" w:cs="Arial"/>
                <w:b/>
                <w:lang w:eastAsia="en-CA"/>
              </w:rPr>
              <w:t>Legal Services Branch – ENERGY/MEDG/MRIS/MOI/ADO</w:t>
            </w:r>
          </w:p>
        </w:tc>
      </w:tr>
    </w:tbl>
    <w:p w:rsidR="00C1385C" w:rsidRPr="00C1385C" w:rsidRDefault="00C1385C" w:rsidP="00C1385C">
      <w:pPr>
        <w:spacing w:after="0" w:line="240" w:lineRule="auto"/>
        <w:rPr>
          <w:rFonts w:ascii="Arial" w:eastAsiaTheme="minorEastAsia" w:hAnsi="Arial" w:cs="Arial"/>
          <w:b/>
          <w:lang w:eastAsia="en-CA"/>
        </w:rPr>
      </w:pPr>
    </w:p>
    <w:p w:rsidR="00C1385C" w:rsidRPr="00C1385C" w:rsidRDefault="00C1385C" w:rsidP="00C1385C">
      <w:pPr>
        <w:spacing w:after="0" w:line="240" w:lineRule="auto"/>
        <w:ind w:left="1440" w:hanging="1440"/>
        <w:rPr>
          <w:rFonts w:ascii="Arial" w:eastAsia="Times New Roman" w:hAnsi="Arial" w:cs="Arial"/>
          <w:b/>
          <w:lang w:eastAsia="en-CA"/>
        </w:rPr>
      </w:pPr>
    </w:p>
    <w:p w:rsidR="00C742B1" w:rsidRPr="00C742B1" w:rsidRDefault="00287F99" w:rsidP="009B42A5">
      <w:pPr>
        <w:jc w:val="both"/>
        <w:rPr>
          <w:rFonts w:ascii="Arial" w:hAnsi="Arial" w:cs="Arial"/>
          <w:b/>
          <w:sz w:val="24"/>
          <w:szCs w:val="24"/>
        </w:rPr>
      </w:pPr>
      <w:r>
        <w:rPr>
          <w:rFonts w:ascii="Arial" w:hAnsi="Arial" w:cs="Arial"/>
          <w:b/>
          <w:sz w:val="24"/>
          <w:szCs w:val="24"/>
        </w:rPr>
        <w:t>Background Information on</w:t>
      </w:r>
      <w:r w:rsidR="00C742B1" w:rsidRPr="00C742B1">
        <w:rPr>
          <w:rFonts w:ascii="Arial" w:hAnsi="Arial" w:cs="Arial"/>
          <w:b/>
          <w:sz w:val="24"/>
          <w:szCs w:val="24"/>
        </w:rPr>
        <w:t xml:space="preserve"> Duke Energy and Duke Energy Florida</w:t>
      </w:r>
    </w:p>
    <w:p w:rsidR="00C742B1" w:rsidRPr="00C742B1" w:rsidRDefault="00C742B1" w:rsidP="009B42A5">
      <w:pPr>
        <w:jc w:val="both"/>
        <w:rPr>
          <w:rFonts w:ascii="Arial" w:hAnsi="Arial" w:cs="Arial"/>
          <w:sz w:val="24"/>
          <w:szCs w:val="24"/>
        </w:rPr>
      </w:pPr>
      <w:r w:rsidRPr="00C742B1">
        <w:rPr>
          <w:rFonts w:ascii="Arial" w:hAnsi="Arial" w:cs="Arial"/>
          <w:sz w:val="24"/>
          <w:szCs w:val="24"/>
        </w:rPr>
        <w:t>Duke Energy is a public</w:t>
      </w:r>
      <w:r>
        <w:rPr>
          <w:rFonts w:ascii="Arial" w:hAnsi="Arial" w:cs="Arial"/>
          <w:sz w:val="24"/>
          <w:szCs w:val="24"/>
        </w:rPr>
        <w:t>ly-traded utility</w:t>
      </w:r>
      <w:r w:rsidRPr="00C742B1">
        <w:rPr>
          <w:rFonts w:ascii="Arial" w:hAnsi="Arial" w:cs="Arial"/>
          <w:sz w:val="24"/>
          <w:szCs w:val="24"/>
        </w:rPr>
        <w:t xml:space="preserve"> company </w:t>
      </w:r>
      <w:r>
        <w:rPr>
          <w:rFonts w:ascii="Arial" w:hAnsi="Arial" w:cs="Arial"/>
          <w:sz w:val="24"/>
          <w:szCs w:val="24"/>
        </w:rPr>
        <w:t xml:space="preserve">with electricity generation and transmission networks </w:t>
      </w:r>
      <w:r w:rsidR="001B7164">
        <w:rPr>
          <w:rFonts w:ascii="Arial" w:hAnsi="Arial" w:cs="Arial"/>
          <w:sz w:val="24"/>
          <w:szCs w:val="24"/>
        </w:rPr>
        <w:t xml:space="preserve">in </w:t>
      </w:r>
      <w:r w:rsidR="001B7164" w:rsidRPr="001B7164">
        <w:rPr>
          <w:rFonts w:ascii="Arial" w:hAnsi="Arial" w:cs="Arial"/>
          <w:sz w:val="24"/>
          <w:szCs w:val="24"/>
        </w:rPr>
        <w:t>the Carolinas, Florida, Ohio, Kentucky and Indiana</w:t>
      </w:r>
      <w:r w:rsidR="001B7164">
        <w:rPr>
          <w:rFonts w:ascii="Arial" w:hAnsi="Arial" w:cs="Arial"/>
          <w:sz w:val="24"/>
          <w:szCs w:val="24"/>
        </w:rPr>
        <w:t>. Duke Energy Florida</w:t>
      </w:r>
      <w:r w:rsidR="002945FE">
        <w:rPr>
          <w:rFonts w:ascii="Arial" w:hAnsi="Arial" w:cs="Arial"/>
          <w:sz w:val="24"/>
          <w:szCs w:val="24"/>
        </w:rPr>
        <w:t xml:space="preserve"> (“</w:t>
      </w:r>
      <w:r w:rsidR="002945FE" w:rsidRPr="002945FE">
        <w:rPr>
          <w:rFonts w:ascii="Arial" w:hAnsi="Arial" w:cs="Arial"/>
          <w:b/>
          <w:sz w:val="24"/>
          <w:szCs w:val="24"/>
        </w:rPr>
        <w:t>DEF</w:t>
      </w:r>
      <w:r w:rsidR="002945FE">
        <w:rPr>
          <w:rFonts w:ascii="Arial" w:hAnsi="Arial" w:cs="Arial"/>
          <w:sz w:val="24"/>
          <w:szCs w:val="24"/>
        </w:rPr>
        <w:t>”)</w:t>
      </w:r>
      <w:r w:rsidR="001D09C8">
        <w:rPr>
          <w:rFonts w:ascii="Arial" w:hAnsi="Arial" w:cs="Arial"/>
          <w:sz w:val="24"/>
          <w:szCs w:val="24"/>
        </w:rPr>
        <w:t xml:space="preserve"> </w:t>
      </w:r>
      <w:r w:rsidR="001B7164">
        <w:rPr>
          <w:rFonts w:ascii="Arial" w:hAnsi="Arial" w:cs="Arial"/>
          <w:sz w:val="24"/>
          <w:szCs w:val="24"/>
        </w:rPr>
        <w:t xml:space="preserve">is a subsidiary of Duke Energy and </w:t>
      </w:r>
      <w:r w:rsidR="001B7164" w:rsidRPr="001B7164">
        <w:rPr>
          <w:rFonts w:ascii="Arial" w:hAnsi="Arial" w:cs="Arial"/>
          <w:sz w:val="24"/>
          <w:szCs w:val="24"/>
        </w:rPr>
        <w:t>distribute</w:t>
      </w:r>
      <w:r w:rsidR="001B7164">
        <w:rPr>
          <w:rFonts w:ascii="Arial" w:hAnsi="Arial" w:cs="Arial"/>
          <w:sz w:val="24"/>
          <w:szCs w:val="24"/>
        </w:rPr>
        <w:t>s</w:t>
      </w:r>
      <w:r w:rsidR="001B7164" w:rsidRPr="001B7164">
        <w:rPr>
          <w:rFonts w:ascii="Arial" w:hAnsi="Arial" w:cs="Arial"/>
          <w:sz w:val="24"/>
          <w:szCs w:val="24"/>
        </w:rPr>
        <w:t xml:space="preserve"> power over much of central and north Florida</w:t>
      </w:r>
      <w:r w:rsidR="001B7164">
        <w:rPr>
          <w:rFonts w:ascii="Arial" w:hAnsi="Arial" w:cs="Arial"/>
          <w:sz w:val="24"/>
          <w:szCs w:val="24"/>
        </w:rPr>
        <w:t xml:space="preserve">. </w:t>
      </w:r>
      <w:r w:rsidR="001D09C8">
        <w:rPr>
          <w:rFonts w:ascii="Arial" w:hAnsi="Arial" w:cs="Arial"/>
          <w:sz w:val="24"/>
          <w:szCs w:val="24"/>
        </w:rPr>
        <w:t>The Florida Public Service Commission</w:t>
      </w:r>
      <w:r w:rsidR="004F7B49">
        <w:rPr>
          <w:rFonts w:ascii="Arial" w:hAnsi="Arial" w:cs="Arial"/>
          <w:sz w:val="24"/>
          <w:szCs w:val="24"/>
        </w:rPr>
        <w:t xml:space="preserve"> (the “</w:t>
      </w:r>
      <w:r w:rsidR="004F7B49" w:rsidRPr="004F7B49">
        <w:rPr>
          <w:rFonts w:ascii="Arial" w:hAnsi="Arial" w:cs="Arial"/>
          <w:b/>
          <w:sz w:val="24"/>
          <w:szCs w:val="24"/>
        </w:rPr>
        <w:t>Commission</w:t>
      </w:r>
      <w:r w:rsidR="004F7B49">
        <w:rPr>
          <w:rFonts w:ascii="Arial" w:hAnsi="Arial" w:cs="Arial"/>
          <w:sz w:val="24"/>
          <w:szCs w:val="24"/>
        </w:rPr>
        <w:t>”)</w:t>
      </w:r>
      <w:r w:rsidR="001D09C8">
        <w:rPr>
          <w:rFonts w:ascii="Arial" w:hAnsi="Arial" w:cs="Arial"/>
          <w:sz w:val="24"/>
          <w:szCs w:val="24"/>
        </w:rPr>
        <w:t xml:space="preserve"> regulates </w:t>
      </w:r>
      <w:r w:rsidR="002945FE">
        <w:rPr>
          <w:rFonts w:ascii="Arial" w:hAnsi="Arial" w:cs="Arial"/>
          <w:sz w:val="24"/>
          <w:szCs w:val="24"/>
        </w:rPr>
        <w:t xml:space="preserve">DEF </w:t>
      </w:r>
      <w:r w:rsidR="0054171D">
        <w:rPr>
          <w:rFonts w:ascii="Arial" w:hAnsi="Arial" w:cs="Arial"/>
          <w:sz w:val="24"/>
          <w:szCs w:val="24"/>
        </w:rPr>
        <w:t xml:space="preserve">and </w:t>
      </w:r>
      <w:r w:rsidR="001D09C8">
        <w:rPr>
          <w:rFonts w:ascii="Arial" w:hAnsi="Arial" w:cs="Arial"/>
          <w:sz w:val="24"/>
          <w:szCs w:val="24"/>
        </w:rPr>
        <w:t xml:space="preserve">other electric utilities </w:t>
      </w:r>
      <w:r w:rsidR="0054171D">
        <w:rPr>
          <w:rFonts w:ascii="Arial" w:hAnsi="Arial" w:cs="Arial"/>
          <w:sz w:val="24"/>
          <w:szCs w:val="24"/>
        </w:rPr>
        <w:t>in Florida (</w:t>
      </w:r>
      <w:r w:rsidR="001D09C8">
        <w:rPr>
          <w:rFonts w:ascii="Arial" w:hAnsi="Arial" w:cs="Arial"/>
          <w:sz w:val="24"/>
          <w:szCs w:val="24"/>
        </w:rPr>
        <w:t xml:space="preserve">including </w:t>
      </w:r>
      <w:r w:rsidR="001D09C8" w:rsidRPr="001D09C8">
        <w:rPr>
          <w:rFonts w:ascii="Arial" w:hAnsi="Arial" w:cs="Arial"/>
          <w:sz w:val="24"/>
          <w:szCs w:val="24"/>
        </w:rPr>
        <w:t>municipal</w:t>
      </w:r>
      <w:r w:rsidR="001D09C8">
        <w:rPr>
          <w:rFonts w:ascii="Arial" w:hAnsi="Arial" w:cs="Arial"/>
          <w:sz w:val="24"/>
          <w:szCs w:val="24"/>
        </w:rPr>
        <w:t xml:space="preserve"> or</w:t>
      </w:r>
      <w:r w:rsidR="001D09C8" w:rsidRPr="001D09C8">
        <w:rPr>
          <w:rFonts w:ascii="Arial" w:hAnsi="Arial" w:cs="Arial"/>
          <w:sz w:val="24"/>
          <w:szCs w:val="24"/>
        </w:rPr>
        <w:t xml:space="preserve"> investor-owned electric utility, </w:t>
      </w:r>
      <w:r w:rsidR="001D09C8">
        <w:rPr>
          <w:rFonts w:ascii="Arial" w:hAnsi="Arial" w:cs="Arial"/>
          <w:sz w:val="24"/>
          <w:szCs w:val="24"/>
        </w:rPr>
        <w:t>and</w:t>
      </w:r>
      <w:r w:rsidR="001D09C8" w:rsidRPr="001D09C8">
        <w:rPr>
          <w:rFonts w:ascii="Arial" w:hAnsi="Arial" w:cs="Arial"/>
          <w:sz w:val="24"/>
          <w:szCs w:val="24"/>
        </w:rPr>
        <w:t xml:space="preserve"> rural electric cooperative which owns, maintains, or operates an electric generation, transmission, or distribution system</w:t>
      </w:r>
      <w:r w:rsidR="0054171D">
        <w:rPr>
          <w:rFonts w:ascii="Arial" w:hAnsi="Arial" w:cs="Arial"/>
          <w:sz w:val="24"/>
          <w:szCs w:val="24"/>
        </w:rPr>
        <w:t>)</w:t>
      </w:r>
      <w:r w:rsidR="001D09C8">
        <w:rPr>
          <w:rFonts w:ascii="Arial" w:hAnsi="Arial" w:cs="Arial"/>
          <w:sz w:val="24"/>
          <w:szCs w:val="24"/>
        </w:rPr>
        <w:t>.</w:t>
      </w:r>
    </w:p>
    <w:p w:rsidR="0054171D" w:rsidRPr="0054171D" w:rsidRDefault="0054171D" w:rsidP="009B42A5">
      <w:pPr>
        <w:jc w:val="both"/>
        <w:rPr>
          <w:rFonts w:ascii="Arial" w:hAnsi="Arial" w:cs="Arial"/>
          <w:b/>
          <w:sz w:val="24"/>
          <w:szCs w:val="24"/>
        </w:rPr>
      </w:pPr>
      <w:r w:rsidRPr="0054171D">
        <w:rPr>
          <w:rFonts w:ascii="Arial" w:hAnsi="Arial" w:cs="Arial"/>
          <w:b/>
          <w:sz w:val="24"/>
          <w:szCs w:val="24"/>
        </w:rPr>
        <w:t>Summary of Legislative Provisions on Asset Securitization</w:t>
      </w:r>
    </w:p>
    <w:p w:rsidR="0054171D" w:rsidRDefault="0054171D" w:rsidP="009B42A5">
      <w:pPr>
        <w:jc w:val="both"/>
        <w:rPr>
          <w:rFonts w:ascii="Arial" w:hAnsi="Arial" w:cs="Arial"/>
          <w:sz w:val="24"/>
          <w:szCs w:val="24"/>
        </w:rPr>
      </w:pPr>
      <w:r>
        <w:rPr>
          <w:rFonts w:ascii="Arial" w:hAnsi="Arial" w:cs="Arial"/>
          <w:sz w:val="24"/>
          <w:szCs w:val="24"/>
        </w:rPr>
        <w:t>In 2015, section 366.95</w:t>
      </w:r>
      <w:r w:rsidR="00CE1A5C">
        <w:rPr>
          <w:rFonts w:ascii="Arial" w:hAnsi="Arial" w:cs="Arial"/>
          <w:sz w:val="24"/>
          <w:szCs w:val="24"/>
        </w:rPr>
        <w:t xml:space="preserve"> of the</w:t>
      </w:r>
      <w:r w:rsidR="00C1385C">
        <w:rPr>
          <w:rFonts w:ascii="Arial" w:hAnsi="Arial" w:cs="Arial"/>
          <w:sz w:val="24"/>
          <w:szCs w:val="24"/>
        </w:rPr>
        <w:t xml:space="preserve"> Florida Statutes wa</w:t>
      </w:r>
      <w:r>
        <w:rPr>
          <w:rFonts w:ascii="Arial" w:hAnsi="Arial" w:cs="Arial"/>
          <w:sz w:val="24"/>
          <w:szCs w:val="24"/>
        </w:rPr>
        <w:t xml:space="preserve">s created to </w:t>
      </w:r>
      <w:r w:rsidR="00300ABE">
        <w:rPr>
          <w:rFonts w:ascii="Arial" w:hAnsi="Arial" w:cs="Arial"/>
          <w:sz w:val="24"/>
          <w:szCs w:val="24"/>
        </w:rPr>
        <w:t>enable</w:t>
      </w:r>
      <w:r>
        <w:rPr>
          <w:rFonts w:ascii="Arial" w:hAnsi="Arial" w:cs="Arial"/>
          <w:sz w:val="24"/>
          <w:szCs w:val="24"/>
        </w:rPr>
        <w:t xml:space="preserve"> “</w:t>
      </w:r>
      <w:r w:rsidR="00300ABE">
        <w:rPr>
          <w:rFonts w:ascii="Arial" w:hAnsi="Arial" w:cs="Arial"/>
          <w:sz w:val="24"/>
          <w:szCs w:val="24"/>
        </w:rPr>
        <w:t>f</w:t>
      </w:r>
      <w:r w:rsidRPr="0054171D">
        <w:rPr>
          <w:rFonts w:ascii="Arial" w:hAnsi="Arial" w:cs="Arial"/>
          <w:sz w:val="24"/>
          <w:szCs w:val="24"/>
        </w:rPr>
        <w:t>inancing for certain nuclear generating asset retirement or abandonment costs</w:t>
      </w:r>
      <w:r>
        <w:rPr>
          <w:rFonts w:ascii="Arial" w:hAnsi="Arial" w:cs="Arial"/>
          <w:sz w:val="24"/>
          <w:szCs w:val="24"/>
        </w:rPr>
        <w:t xml:space="preserve">”. </w:t>
      </w:r>
      <w:r w:rsidR="00D13273">
        <w:rPr>
          <w:rFonts w:ascii="Arial" w:hAnsi="Arial" w:cs="Arial"/>
          <w:sz w:val="24"/>
          <w:szCs w:val="24"/>
        </w:rPr>
        <w:t xml:space="preserve">This section </w:t>
      </w:r>
      <w:r w:rsidR="00CE1A5C">
        <w:rPr>
          <w:rFonts w:ascii="Arial" w:hAnsi="Arial" w:cs="Arial"/>
          <w:sz w:val="24"/>
          <w:szCs w:val="24"/>
        </w:rPr>
        <w:t>includes</w:t>
      </w:r>
      <w:r w:rsidR="00D13273">
        <w:rPr>
          <w:rFonts w:ascii="Arial" w:hAnsi="Arial" w:cs="Arial"/>
          <w:sz w:val="24"/>
          <w:szCs w:val="24"/>
        </w:rPr>
        <w:t xml:space="preserve"> asset securitization provisions to allow investor-owned electric utilities to set up a special-purpose vehicle (</w:t>
      </w:r>
      <w:r w:rsidR="004D5ADF">
        <w:rPr>
          <w:rFonts w:ascii="Arial" w:hAnsi="Arial" w:cs="Arial"/>
          <w:sz w:val="24"/>
          <w:szCs w:val="24"/>
        </w:rPr>
        <w:t>“</w:t>
      </w:r>
      <w:r w:rsidR="00D13273" w:rsidRPr="004D5ADF">
        <w:rPr>
          <w:rFonts w:ascii="Arial" w:hAnsi="Arial" w:cs="Arial"/>
          <w:b/>
          <w:sz w:val="24"/>
          <w:szCs w:val="24"/>
        </w:rPr>
        <w:t>SPV</w:t>
      </w:r>
      <w:r w:rsidR="004D5ADF">
        <w:rPr>
          <w:rFonts w:ascii="Arial" w:hAnsi="Arial" w:cs="Arial"/>
          <w:sz w:val="24"/>
          <w:szCs w:val="24"/>
        </w:rPr>
        <w:t>”</w:t>
      </w:r>
      <w:r w:rsidR="00D13273">
        <w:rPr>
          <w:rFonts w:ascii="Arial" w:hAnsi="Arial" w:cs="Arial"/>
          <w:sz w:val="24"/>
          <w:szCs w:val="24"/>
        </w:rPr>
        <w:t xml:space="preserve">) to </w:t>
      </w:r>
      <w:r w:rsidR="00CE1A5C">
        <w:rPr>
          <w:rFonts w:ascii="Arial" w:hAnsi="Arial" w:cs="Arial"/>
          <w:sz w:val="24"/>
          <w:szCs w:val="24"/>
        </w:rPr>
        <w:t xml:space="preserve">issue secured bonds to </w:t>
      </w:r>
      <w:r w:rsidR="00D13273">
        <w:rPr>
          <w:rFonts w:ascii="Arial" w:hAnsi="Arial" w:cs="Arial"/>
          <w:sz w:val="24"/>
          <w:szCs w:val="24"/>
        </w:rPr>
        <w:t xml:space="preserve">finance the utility’s costs </w:t>
      </w:r>
      <w:r w:rsidR="004F7B49">
        <w:rPr>
          <w:rFonts w:ascii="Arial" w:hAnsi="Arial" w:cs="Arial"/>
          <w:sz w:val="24"/>
          <w:szCs w:val="24"/>
        </w:rPr>
        <w:t xml:space="preserve">(“nuclear asset-recovery costs”) </w:t>
      </w:r>
      <w:r w:rsidR="00D13273">
        <w:rPr>
          <w:rFonts w:ascii="Arial" w:hAnsi="Arial" w:cs="Arial"/>
          <w:sz w:val="24"/>
          <w:szCs w:val="24"/>
        </w:rPr>
        <w:t xml:space="preserve">associated with the “early retirement or abandonment of a nuclear generating asset unit”. </w:t>
      </w:r>
      <w:r>
        <w:rPr>
          <w:rFonts w:ascii="Arial" w:hAnsi="Arial" w:cs="Arial"/>
          <w:sz w:val="24"/>
          <w:szCs w:val="24"/>
        </w:rPr>
        <w:t>The</w:t>
      </w:r>
      <w:r w:rsidR="00CE1A5C">
        <w:rPr>
          <w:rFonts w:ascii="Arial" w:hAnsi="Arial" w:cs="Arial"/>
          <w:sz w:val="24"/>
          <w:szCs w:val="24"/>
        </w:rPr>
        <w:t>se</w:t>
      </w:r>
      <w:r>
        <w:rPr>
          <w:rFonts w:ascii="Arial" w:hAnsi="Arial" w:cs="Arial"/>
          <w:sz w:val="24"/>
          <w:szCs w:val="24"/>
        </w:rPr>
        <w:t xml:space="preserve"> </w:t>
      </w:r>
      <w:r w:rsidR="00CE1A5C">
        <w:rPr>
          <w:rFonts w:ascii="Arial" w:hAnsi="Arial" w:cs="Arial"/>
          <w:sz w:val="24"/>
          <w:szCs w:val="24"/>
        </w:rPr>
        <w:t>provisions were</w:t>
      </w:r>
      <w:r>
        <w:rPr>
          <w:rFonts w:ascii="Arial" w:hAnsi="Arial" w:cs="Arial"/>
          <w:sz w:val="24"/>
          <w:szCs w:val="24"/>
        </w:rPr>
        <w:t xml:space="preserve"> likely introduced in response to the closing of Duke Energy’s Crystal River nuclear plant</w:t>
      </w:r>
      <w:r w:rsidR="00D13273">
        <w:rPr>
          <w:rFonts w:ascii="Arial" w:hAnsi="Arial" w:cs="Arial"/>
          <w:sz w:val="24"/>
          <w:szCs w:val="24"/>
        </w:rPr>
        <w:t xml:space="preserve"> in 2013</w:t>
      </w:r>
      <w:r w:rsidR="00CE1A5C">
        <w:rPr>
          <w:rFonts w:ascii="Arial" w:hAnsi="Arial" w:cs="Arial"/>
          <w:sz w:val="24"/>
          <w:szCs w:val="24"/>
        </w:rPr>
        <w:t xml:space="preserve">. According to </w:t>
      </w:r>
      <w:r w:rsidR="00D13273">
        <w:rPr>
          <w:rFonts w:ascii="Arial" w:hAnsi="Arial" w:cs="Arial"/>
          <w:sz w:val="24"/>
          <w:szCs w:val="24"/>
        </w:rPr>
        <w:t>DEF</w:t>
      </w:r>
      <w:r w:rsidR="00CE1A5C">
        <w:rPr>
          <w:rFonts w:ascii="Arial" w:hAnsi="Arial" w:cs="Arial"/>
          <w:sz w:val="24"/>
          <w:szCs w:val="24"/>
        </w:rPr>
        <w:t>,</w:t>
      </w:r>
      <w:r w:rsidR="00300ABE">
        <w:rPr>
          <w:rFonts w:ascii="Arial" w:hAnsi="Arial" w:cs="Arial"/>
          <w:sz w:val="24"/>
          <w:szCs w:val="24"/>
        </w:rPr>
        <w:t xml:space="preserve"> “[t]</w:t>
      </w:r>
      <w:r w:rsidR="00300ABE" w:rsidRPr="00300ABE">
        <w:rPr>
          <w:rFonts w:ascii="Arial" w:hAnsi="Arial" w:cs="Arial"/>
          <w:sz w:val="24"/>
          <w:szCs w:val="24"/>
        </w:rPr>
        <w:t>his process, called Asset Securitization</w:t>
      </w:r>
      <w:r w:rsidR="00300ABE">
        <w:rPr>
          <w:rFonts w:ascii="Arial" w:hAnsi="Arial" w:cs="Arial"/>
          <w:sz w:val="24"/>
          <w:szCs w:val="24"/>
        </w:rPr>
        <w:t>,</w:t>
      </w:r>
      <w:r w:rsidR="00300ABE" w:rsidRPr="00300ABE">
        <w:rPr>
          <w:rFonts w:ascii="Arial" w:hAnsi="Arial" w:cs="Arial"/>
          <w:sz w:val="24"/>
          <w:szCs w:val="24"/>
        </w:rPr>
        <w:t xml:space="preserve"> will save customers approximately $600 million as compared to traditional cost recovery methods</w:t>
      </w:r>
      <w:r w:rsidR="00300ABE">
        <w:rPr>
          <w:rFonts w:ascii="Arial" w:hAnsi="Arial" w:cs="Arial"/>
          <w:sz w:val="24"/>
          <w:szCs w:val="24"/>
        </w:rPr>
        <w:t>.”</w:t>
      </w:r>
      <w:r w:rsidR="00300ABE">
        <w:rPr>
          <w:rStyle w:val="FootnoteReference"/>
          <w:rFonts w:ascii="Arial" w:hAnsi="Arial" w:cs="Arial"/>
          <w:sz w:val="24"/>
          <w:szCs w:val="24"/>
        </w:rPr>
        <w:footnoteReference w:id="1"/>
      </w:r>
      <w:r>
        <w:rPr>
          <w:rFonts w:ascii="Arial" w:hAnsi="Arial" w:cs="Arial"/>
          <w:sz w:val="24"/>
          <w:szCs w:val="24"/>
        </w:rPr>
        <w:t xml:space="preserve"> </w:t>
      </w:r>
    </w:p>
    <w:p w:rsidR="004D5ADF" w:rsidRDefault="00C16780" w:rsidP="009B42A5">
      <w:pPr>
        <w:jc w:val="both"/>
        <w:rPr>
          <w:rFonts w:ascii="Arial" w:eastAsia="Times New Roman" w:hAnsi="Arial" w:cs="Arial"/>
          <w:sz w:val="24"/>
          <w:szCs w:val="24"/>
        </w:rPr>
      </w:pPr>
      <w:r>
        <w:rPr>
          <w:rFonts w:ascii="Arial" w:hAnsi="Arial" w:cs="Arial"/>
          <w:sz w:val="24"/>
          <w:szCs w:val="24"/>
        </w:rPr>
        <w:t>Subs</w:t>
      </w:r>
      <w:r w:rsidR="00D13273">
        <w:rPr>
          <w:rFonts w:ascii="Arial" w:hAnsi="Arial" w:cs="Arial"/>
          <w:sz w:val="24"/>
          <w:szCs w:val="24"/>
        </w:rPr>
        <w:t xml:space="preserve">ection (1) </w:t>
      </w:r>
      <w:r w:rsidR="00CE1A5C">
        <w:rPr>
          <w:rFonts w:ascii="Arial" w:hAnsi="Arial" w:cs="Arial"/>
          <w:sz w:val="24"/>
          <w:szCs w:val="24"/>
        </w:rPr>
        <w:t>sets out the definition</w:t>
      </w:r>
      <w:r>
        <w:rPr>
          <w:rFonts w:ascii="Arial" w:hAnsi="Arial" w:cs="Arial"/>
          <w:sz w:val="24"/>
          <w:szCs w:val="24"/>
        </w:rPr>
        <w:t>s</w:t>
      </w:r>
      <w:r w:rsidR="00CE1A5C">
        <w:rPr>
          <w:rFonts w:ascii="Arial" w:hAnsi="Arial" w:cs="Arial"/>
          <w:sz w:val="24"/>
          <w:szCs w:val="24"/>
        </w:rPr>
        <w:t xml:space="preserve"> of</w:t>
      </w:r>
      <w:r w:rsidR="004D5ADF">
        <w:rPr>
          <w:rFonts w:ascii="Arial" w:hAnsi="Arial" w:cs="Arial"/>
          <w:sz w:val="24"/>
          <w:szCs w:val="24"/>
        </w:rPr>
        <w:t xml:space="preserve"> some</w:t>
      </w:r>
      <w:r w:rsidR="00CE1A5C">
        <w:rPr>
          <w:rFonts w:ascii="Arial" w:hAnsi="Arial" w:cs="Arial"/>
          <w:sz w:val="24"/>
          <w:szCs w:val="24"/>
        </w:rPr>
        <w:t xml:space="preserve"> key terms used </w:t>
      </w:r>
      <w:r w:rsidR="004D5ADF">
        <w:rPr>
          <w:rFonts w:ascii="Arial" w:hAnsi="Arial" w:cs="Arial"/>
          <w:sz w:val="24"/>
          <w:szCs w:val="24"/>
        </w:rPr>
        <w:t xml:space="preserve">in the section. The definition of “Assignee” provides examples of different legal structures to set up the SPV, including corporation, </w:t>
      </w:r>
      <w:proofErr w:type="gramStart"/>
      <w:r w:rsidR="004D5ADF">
        <w:rPr>
          <w:rFonts w:ascii="Arial" w:hAnsi="Arial" w:cs="Arial"/>
          <w:sz w:val="24"/>
          <w:szCs w:val="24"/>
        </w:rPr>
        <w:t>limited liability company</w:t>
      </w:r>
      <w:proofErr w:type="gramEnd"/>
      <w:r w:rsidR="004D5ADF">
        <w:rPr>
          <w:rFonts w:ascii="Arial" w:hAnsi="Arial" w:cs="Arial"/>
          <w:sz w:val="24"/>
          <w:szCs w:val="24"/>
        </w:rPr>
        <w:t xml:space="preserve">, trust, partnership or public authority. The definition of “utility” limits the scope of this section to “investor-owned electric utilities”. </w:t>
      </w:r>
      <w:r w:rsidR="004F7B49">
        <w:rPr>
          <w:rFonts w:ascii="Arial" w:hAnsi="Arial" w:cs="Arial"/>
          <w:sz w:val="24"/>
          <w:szCs w:val="24"/>
        </w:rPr>
        <w:t>“</w:t>
      </w:r>
      <w:r w:rsidR="004D5ADF">
        <w:rPr>
          <w:rFonts w:ascii="Arial" w:hAnsi="Arial" w:cs="Arial"/>
          <w:sz w:val="24"/>
          <w:szCs w:val="24"/>
        </w:rPr>
        <w:t>Nuclear asset-recovery bonds</w:t>
      </w:r>
      <w:r w:rsidR="004F7B49">
        <w:rPr>
          <w:rFonts w:ascii="Arial" w:hAnsi="Arial" w:cs="Arial"/>
          <w:sz w:val="24"/>
          <w:szCs w:val="24"/>
        </w:rPr>
        <w:t>”</w:t>
      </w:r>
      <w:r w:rsidR="004D5ADF">
        <w:rPr>
          <w:rFonts w:ascii="Arial" w:hAnsi="Arial" w:cs="Arial"/>
          <w:sz w:val="24"/>
          <w:szCs w:val="24"/>
        </w:rPr>
        <w:t xml:space="preserve"> are issued by the utility or assignee</w:t>
      </w:r>
      <w:r w:rsidR="004F7B49">
        <w:rPr>
          <w:rFonts w:ascii="Arial" w:hAnsi="Arial" w:cs="Arial"/>
          <w:sz w:val="24"/>
          <w:szCs w:val="24"/>
        </w:rPr>
        <w:t>,</w:t>
      </w:r>
      <w:r w:rsidR="004D5ADF">
        <w:rPr>
          <w:rFonts w:ascii="Arial" w:hAnsi="Arial" w:cs="Arial"/>
          <w:sz w:val="24"/>
          <w:szCs w:val="24"/>
        </w:rPr>
        <w:t xml:space="preserve"> </w:t>
      </w:r>
      <w:r w:rsidR="004F7B49">
        <w:rPr>
          <w:rFonts w:ascii="Arial" w:eastAsia="Times New Roman" w:hAnsi="Arial" w:cs="Arial"/>
          <w:sz w:val="24"/>
          <w:szCs w:val="24"/>
        </w:rPr>
        <w:t>and secured by the “</w:t>
      </w:r>
      <w:r w:rsidR="004F7B49">
        <w:rPr>
          <w:rFonts w:ascii="Arial" w:hAnsi="Arial" w:cs="Arial"/>
          <w:sz w:val="24"/>
          <w:szCs w:val="24"/>
        </w:rPr>
        <w:t xml:space="preserve">nuclear asset-recovery </w:t>
      </w:r>
      <w:r w:rsidR="004F7B49">
        <w:rPr>
          <w:rFonts w:ascii="Arial" w:eastAsia="Times New Roman" w:hAnsi="Arial" w:cs="Arial"/>
          <w:sz w:val="24"/>
          <w:szCs w:val="24"/>
        </w:rPr>
        <w:t>property”, which is the property interest in the revenue stream arising from “nuclear asset-recovery charges”.</w:t>
      </w:r>
    </w:p>
    <w:p w:rsidR="004F7B49" w:rsidRPr="004D5ADF" w:rsidRDefault="004F7B49" w:rsidP="009B42A5">
      <w:pPr>
        <w:jc w:val="both"/>
        <w:rPr>
          <w:rFonts w:ascii="Arial" w:hAnsi="Arial" w:cs="Arial"/>
          <w:sz w:val="24"/>
          <w:szCs w:val="24"/>
        </w:rPr>
      </w:pPr>
      <w:r>
        <w:rPr>
          <w:rFonts w:ascii="Arial" w:eastAsia="Times New Roman" w:hAnsi="Arial" w:cs="Arial"/>
          <w:sz w:val="24"/>
          <w:szCs w:val="24"/>
        </w:rPr>
        <w:t xml:space="preserve">Subsection (2) requires the utility to </w:t>
      </w:r>
      <w:r w:rsidR="00BA7395">
        <w:rPr>
          <w:rFonts w:ascii="Arial" w:eastAsia="Times New Roman" w:hAnsi="Arial" w:cs="Arial"/>
          <w:sz w:val="24"/>
          <w:szCs w:val="24"/>
        </w:rPr>
        <w:t xml:space="preserve">submit a </w:t>
      </w:r>
      <w:r>
        <w:rPr>
          <w:rFonts w:ascii="Arial" w:eastAsia="Times New Roman" w:hAnsi="Arial" w:cs="Arial"/>
          <w:sz w:val="24"/>
          <w:szCs w:val="24"/>
        </w:rPr>
        <w:t xml:space="preserve">petition </w:t>
      </w:r>
      <w:r w:rsidR="00BA7395">
        <w:rPr>
          <w:rFonts w:ascii="Arial" w:eastAsia="Times New Roman" w:hAnsi="Arial" w:cs="Arial"/>
          <w:sz w:val="24"/>
          <w:szCs w:val="24"/>
        </w:rPr>
        <w:t xml:space="preserve">to </w:t>
      </w:r>
      <w:r>
        <w:rPr>
          <w:rFonts w:ascii="Arial" w:eastAsia="Times New Roman" w:hAnsi="Arial" w:cs="Arial"/>
          <w:sz w:val="24"/>
          <w:szCs w:val="24"/>
        </w:rPr>
        <w:t xml:space="preserve">the Commission for a financing order before the nuclear asset-recovery bonds can be issued. The petition needs to demonstrate that securitization would result in cost savings or would avoid or mitigate rate impacts compared to the traditional method of cost recovery. </w:t>
      </w:r>
      <w:r w:rsidR="00BA7395">
        <w:rPr>
          <w:rFonts w:ascii="Arial" w:eastAsia="Times New Roman" w:hAnsi="Arial" w:cs="Arial"/>
          <w:sz w:val="24"/>
          <w:szCs w:val="24"/>
        </w:rPr>
        <w:t xml:space="preserve">Subsection (2) further </w:t>
      </w:r>
      <w:r w:rsidR="00BA7395">
        <w:rPr>
          <w:rFonts w:ascii="Arial" w:eastAsia="Times New Roman" w:hAnsi="Arial" w:cs="Arial"/>
          <w:sz w:val="24"/>
          <w:szCs w:val="24"/>
        </w:rPr>
        <w:lastRenderedPageBreak/>
        <w:t xml:space="preserve">requires the </w:t>
      </w:r>
      <w:r>
        <w:rPr>
          <w:rFonts w:ascii="Arial" w:eastAsia="Times New Roman" w:hAnsi="Arial" w:cs="Arial"/>
          <w:sz w:val="24"/>
          <w:szCs w:val="24"/>
        </w:rPr>
        <w:t xml:space="preserve">Commission </w:t>
      </w:r>
      <w:r w:rsidR="00BA7395">
        <w:rPr>
          <w:rFonts w:ascii="Arial" w:eastAsia="Times New Roman" w:hAnsi="Arial" w:cs="Arial"/>
          <w:sz w:val="24"/>
          <w:szCs w:val="24"/>
        </w:rPr>
        <w:t>to address specific areas in its financing order, including: (</w:t>
      </w:r>
      <w:proofErr w:type="spellStart"/>
      <w:r w:rsidR="00BA7395">
        <w:rPr>
          <w:rFonts w:ascii="Arial" w:eastAsia="Times New Roman" w:hAnsi="Arial" w:cs="Arial"/>
          <w:sz w:val="24"/>
          <w:szCs w:val="24"/>
        </w:rPr>
        <w:t>i</w:t>
      </w:r>
      <w:proofErr w:type="spellEnd"/>
      <w:r w:rsidR="00BA7395">
        <w:rPr>
          <w:rFonts w:ascii="Arial" w:eastAsia="Times New Roman" w:hAnsi="Arial" w:cs="Arial"/>
          <w:sz w:val="24"/>
          <w:szCs w:val="24"/>
        </w:rPr>
        <w:t>)</w:t>
      </w:r>
      <w:r>
        <w:rPr>
          <w:rFonts w:ascii="Arial" w:eastAsia="Times New Roman" w:hAnsi="Arial" w:cs="Arial"/>
          <w:sz w:val="24"/>
          <w:szCs w:val="24"/>
        </w:rPr>
        <w:t xml:space="preserve"> the amount of </w:t>
      </w:r>
      <w:r w:rsidR="00BA7395">
        <w:rPr>
          <w:rFonts w:ascii="Arial" w:eastAsia="Times New Roman" w:hAnsi="Arial" w:cs="Arial"/>
          <w:sz w:val="24"/>
          <w:szCs w:val="24"/>
        </w:rPr>
        <w:t>nuclear asset-recovery costs to be financed by the bonds and the period during which the charges can be imposed on customers; (ii) detailed fact findings on cost-effectiveness and rate impacts; (iii) a requirement that charges be non</w:t>
      </w:r>
      <w:r w:rsidR="00C1385C">
        <w:rPr>
          <w:rFonts w:ascii="Arial" w:eastAsia="Times New Roman" w:hAnsi="Arial" w:cs="Arial"/>
          <w:sz w:val="24"/>
          <w:szCs w:val="24"/>
        </w:rPr>
        <w:t>-</w:t>
      </w:r>
      <w:proofErr w:type="spellStart"/>
      <w:r w:rsidR="00BA7395">
        <w:rPr>
          <w:rFonts w:ascii="Arial" w:eastAsia="Times New Roman" w:hAnsi="Arial" w:cs="Arial"/>
          <w:sz w:val="24"/>
          <w:szCs w:val="24"/>
        </w:rPr>
        <w:t>bypassable</w:t>
      </w:r>
      <w:proofErr w:type="spellEnd"/>
      <w:r w:rsidR="00BA7395">
        <w:rPr>
          <w:rFonts w:ascii="Arial" w:eastAsia="Times New Roman" w:hAnsi="Arial" w:cs="Arial"/>
          <w:sz w:val="24"/>
          <w:szCs w:val="24"/>
        </w:rPr>
        <w:t xml:space="preserve"> and paid by all existing and future customers receiving transmission or distribution services;</w:t>
      </w:r>
      <w:r w:rsidR="009667CF">
        <w:rPr>
          <w:rFonts w:ascii="Arial" w:eastAsia="Times New Roman" w:hAnsi="Arial" w:cs="Arial"/>
          <w:sz w:val="24"/>
          <w:szCs w:val="24"/>
        </w:rPr>
        <w:t xml:space="preserve"> and</w:t>
      </w:r>
      <w:r w:rsidR="00BA7395">
        <w:rPr>
          <w:rFonts w:ascii="Arial" w:eastAsia="Times New Roman" w:hAnsi="Arial" w:cs="Arial"/>
          <w:sz w:val="24"/>
          <w:szCs w:val="24"/>
        </w:rPr>
        <w:t xml:space="preserve"> (iv) mechanisms for periodic adjustment in the nuclear asset-recovery charges</w:t>
      </w:r>
      <w:r w:rsidR="009667CF">
        <w:rPr>
          <w:rFonts w:ascii="Arial" w:eastAsia="Times New Roman" w:hAnsi="Arial" w:cs="Arial"/>
          <w:sz w:val="24"/>
          <w:szCs w:val="24"/>
        </w:rPr>
        <w:t>.</w:t>
      </w:r>
    </w:p>
    <w:p w:rsidR="009B42A5" w:rsidRDefault="009667CF" w:rsidP="009B42A5">
      <w:pPr>
        <w:jc w:val="both"/>
        <w:rPr>
          <w:rFonts w:ascii="Arial" w:hAnsi="Arial" w:cs="Arial"/>
          <w:sz w:val="24"/>
          <w:szCs w:val="24"/>
        </w:rPr>
      </w:pPr>
      <w:r>
        <w:rPr>
          <w:rFonts w:ascii="Arial" w:hAnsi="Arial" w:cs="Arial"/>
          <w:sz w:val="24"/>
          <w:szCs w:val="24"/>
        </w:rPr>
        <w:t xml:space="preserve">Subsection (3) provides that the bonds </w:t>
      </w:r>
      <w:r w:rsidR="009B42A5">
        <w:rPr>
          <w:rFonts w:ascii="Arial" w:hAnsi="Arial" w:cs="Arial"/>
          <w:sz w:val="24"/>
          <w:szCs w:val="24"/>
        </w:rPr>
        <w:t xml:space="preserve">are considered debt for the utility only for federal income tax purposes, and limits the Commission’s power to impose certain requirements in the financing order. </w:t>
      </w:r>
    </w:p>
    <w:p w:rsidR="009667CF" w:rsidRDefault="009B42A5" w:rsidP="009B42A5">
      <w:pPr>
        <w:jc w:val="both"/>
        <w:rPr>
          <w:rFonts w:ascii="Arial" w:hAnsi="Arial" w:cs="Arial"/>
          <w:sz w:val="24"/>
          <w:szCs w:val="24"/>
        </w:rPr>
      </w:pPr>
      <w:r>
        <w:rPr>
          <w:rFonts w:ascii="Arial" w:hAnsi="Arial" w:cs="Arial"/>
          <w:sz w:val="24"/>
          <w:szCs w:val="24"/>
        </w:rPr>
        <w:t xml:space="preserve">Subsection (4) sets out specific requirements for utility bills, such as showing the nuclear asset-recovery charge as a separate line item on the utility bill. </w:t>
      </w:r>
    </w:p>
    <w:p w:rsidR="00EE1E0D" w:rsidRDefault="009B42A5" w:rsidP="009B42A5">
      <w:pPr>
        <w:jc w:val="both"/>
        <w:rPr>
          <w:rFonts w:ascii="Arial" w:hAnsi="Arial" w:cs="Arial"/>
          <w:sz w:val="24"/>
          <w:szCs w:val="24"/>
        </w:rPr>
      </w:pPr>
      <w:r>
        <w:rPr>
          <w:rFonts w:ascii="Arial" w:hAnsi="Arial" w:cs="Arial"/>
          <w:sz w:val="24"/>
          <w:szCs w:val="24"/>
        </w:rPr>
        <w:t xml:space="preserve">Subsection (5) creates a property </w:t>
      </w:r>
      <w:r w:rsidR="000F1E91">
        <w:rPr>
          <w:rFonts w:ascii="Arial" w:hAnsi="Arial" w:cs="Arial"/>
          <w:sz w:val="24"/>
          <w:szCs w:val="24"/>
        </w:rPr>
        <w:t xml:space="preserve">right </w:t>
      </w:r>
      <w:r>
        <w:rPr>
          <w:rFonts w:ascii="Arial" w:hAnsi="Arial" w:cs="Arial"/>
          <w:sz w:val="24"/>
          <w:szCs w:val="24"/>
        </w:rPr>
        <w:t>in the n</w:t>
      </w:r>
      <w:r w:rsidR="000F1E91">
        <w:rPr>
          <w:rFonts w:ascii="Arial" w:hAnsi="Arial" w:cs="Arial"/>
          <w:sz w:val="24"/>
          <w:szCs w:val="24"/>
        </w:rPr>
        <w:t>uclear asset-recovery charges, which exists even if the charges have not been billed and may be pledged to secure the nuclear asset-recovery bonds. The utility may create a wholly owned subsidiary (the SPV) for the limited purpose of “</w:t>
      </w:r>
      <w:r w:rsidR="000F1E91" w:rsidRPr="000F1E91">
        <w:rPr>
          <w:rFonts w:ascii="Arial" w:hAnsi="Arial" w:cs="Arial"/>
          <w:sz w:val="24"/>
          <w:szCs w:val="24"/>
        </w:rPr>
        <w:t xml:space="preserve">acquiring, owning, or administering nuclear asset-recovery property or issuing nuclear asset-recovery </w:t>
      </w:r>
      <w:r w:rsidR="000F1E91">
        <w:rPr>
          <w:rFonts w:ascii="Arial" w:hAnsi="Arial" w:cs="Arial"/>
          <w:sz w:val="24"/>
          <w:szCs w:val="24"/>
        </w:rPr>
        <w:t>bonds under the financing order”</w:t>
      </w:r>
      <w:r w:rsidR="00EE1E0D">
        <w:rPr>
          <w:rFonts w:ascii="Arial" w:hAnsi="Arial" w:cs="Arial"/>
          <w:sz w:val="24"/>
          <w:szCs w:val="24"/>
        </w:rPr>
        <w:t xml:space="preserve">, which also protects the </w:t>
      </w:r>
      <w:r w:rsidR="00EE1E0D" w:rsidRPr="000F1E91">
        <w:rPr>
          <w:rFonts w:ascii="Arial" w:hAnsi="Arial" w:cs="Arial"/>
          <w:sz w:val="24"/>
          <w:szCs w:val="24"/>
        </w:rPr>
        <w:t>nuclear asset-recovery</w:t>
      </w:r>
      <w:r w:rsidR="00EE1E0D">
        <w:rPr>
          <w:rFonts w:ascii="Arial" w:hAnsi="Arial" w:cs="Arial"/>
          <w:sz w:val="24"/>
          <w:szCs w:val="24"/>
        </w:rPr>
        <w:t xml:space="preserve"> property from potential creditor claims</w:t>
      </w:r>
      <w:r w:rsidR="000F1E91">
        <w:rPr>
          <w:rFonts w:ascii="Arial" w:hAnsi="Arial" w:cs="Arial"/>
          <w:sz w:val="24"/>
          <w:szCs w:val="24"/>
        </w:rPr>
        <w:t xml:space="preserve">. </w:t>
      </w:r>
      <w:r w:rsidR="00EE1E0D">
        <w:rPr>
          <w:rFonts w:ascii="Arial" w:hAnsi="Arial" w:cs="Arial"/>
          <w:sz w:val="24"/>
          <w:szCs w:val="24"/>
        </w:rPr>
        <w:t xml:space="preserve">This subsection also provides priority rules for competing security interests in the </w:t>
      </w:r>
      <w:r w:rsidR="00EE1E0D" w:rsidRPr="000F1E91">
        <w:rPr>
          <w:rFonts w:ascii="Arial" w:hAnsi="Arial" w:cs="Arial"/>
          <w:sz w:val="24"/>
          <w:szCs w:val="24"/>
        </w:rPr>
        <w:t>nuclear asset-recovery</w:t>
      </w:r>
      <w:r w:rsidR="00EE1E0D">
        <w:rPr>
          <w:rFonts w:ascii="Arial" w:hAnsi="Arial" w:cs="Arial"/>
          <w:sz w:val="24"/>
          <w:szCs w:val="24"/>
        </w:rPr>
        <w:t xml:space="preserve"> property. Subsections (6) to (8) provides further guidance in connection with the transfer of </w:t>
      </w:r>
      <w:r w:rsidR="00EE1E0D" w:rsidRPr="000F1E91">
        <w:rPr>
          <w:rFonts w:ascii="Arial" w:hAnsi="Arial" w:cs="Arial"/>
          <w:sz w:val="24"/>
          <w:szCs w:val="24"/>
        </w:rPr>
        <w:t>nuclear asset-recovery</w:t>
      </w:r>
      <w:r w:rsidR="00EE1E0D">
        <w:rPr>
          <w:rFonts w:ascii="Arial" w:hAnsi="Arial" w:cs="Arial"/>
          <w:sz w:val="24"/>
          <w:szCs w:val="24"/>
        </w:rPr>
        <w:t xml:space="preserve"> property to an SPV.</w:t>
      </w:r>
    </w:p>
    <w:p w:rsidR="00EE1E0D" w:rsidRDefault="00EE1E0D" w:rsidP="009B42A5">
      <w:pPr>
        <w:jc w:val="both"/>
        <w:rPr>
          <w:rFonts w:ascii="Arial" w:hAnsi="Arial" w:cs="Arial"/>
          <w:sz w:val="24"/>
          <w:szCs w:val="24"/>
        </w:rPr>
      </w:pPr>
      <w:r>
        <w:rPr>
          <w:rFonts w:ascii="Arial" w:hAnsi="Arial" w:cs="Arial"/>
          <w:sz w:val="24"/>
          <w:szCs w:val="24"/>
        </w:rPr>
        <w:t xml:space="preserve">Subsection (9) provides that the </w:t>
      </w:r>
      <w:r w:rsidRPr="000F1E91">
        <w:rPr>
          <w:rFonts w:ascii="Arial" w:hAnsi="Arial" w:cs="Arial"/>
          <w:sz w:val="24"/>
          <w:szCs w:val="24"/>
        </w:rPr>
        <w:t xml:space="preserve">nuclear asset-recovery </w:t>
      </w:r>
      <w:r>
        <w:rPr>
          <w:rFonts w:ascii="Arial" w:hAnsi="Arial" w:cs="Arial"/>
          <w:sz w:val="24"/>
          <w:szCs w:val="24"/>
        </w:rPr>
        <w:t xml:space="preserve">bonds are not debt of the state of Florida. An issue of such bonds does not obligate the state to levy any tax for its payment, although the state may provide bond guarantees or enhancements. Subsection (10) provides statutory authority for certain entities to invest in </w:t>
      </w:r>
      <w:r w:rsidRPr="000F1E91">
        <w:rPr>
          <w:rFonts w:ascii="Arial" w:hAnsi="Arial" w:cs="Arial"/>
          <w:sz w:val="24"/>
          <w:szCs w:val="24"/>
        </w:rPr>
        <w:t>nuclear asset-recovery</w:t>
      </w:r>
      <w:r>
        <w:rPr>
          <w:rFonts w:ascii="Arial" w:hAnsi="Arial" w:cs="Arial"/>
          <w:sz w:val="24"/>
          <w:szCs w:val="24"/>
        </w:rPr>
        <w:t xml:space="preserve"> bonds. </w:t>
      </w:r>
      <w:r>
        <w:rPr>
          <w:rFonts w:ascii="Arial" w:eastAsia="Times New Roman" w:hAnsi="Arial" w:cs="Arial"/>
          <w:sz w:val="24"/>
          <w:szCs w:val="24"/>
        </w:rPr>
        <w:t>Subsection (11) provides a pledge from the state not to take actions to impair the value of the nuclear asset-recovery property. Subsections (12) to (15)</w:t>
      </w:r>
      <w:r w:rsidRPr="00455CD0">
        <w:rPr>
          <w:rFonts w:ascii="Arial" w:eastAsia="Times New Roman" w:hAnsi="Arial" w:cs="Arial"/>
          <w:sz w:val="24"/>
          <w:szCs w:val="24"/>
        </w:rPr>
        <w:t xml:space="preserve"> </w:t>
      </w:r>
      <w:r>
        <w:rPr>
          <w:rFonts w:ascii="Arial" w:eastAsia="Times New Roman" w:hAnsi="Arial" w:cs="Arial"/>
          <w:sz w:val="24"/>
          <w:szCs w:val="24"/>
        </w:rPr>
        <w:t>include boilerplate provisions such as conflicts</w:t>
      </w:r>
      <w:r w:rsidR="00287F99">
        <w:rPr>
          <w:rFonts w:ascii="Arial" w:eastAsia="Times New Roman" w:hAnsi="Arial" w:cs="Arial"/>
          <w:sz w:val="24"/>
          <w:szCs w:val="24"/>
        </w:rPr>
        <w:t>,</w:t>
      </w:r>
      <w:r>
        <w:rPr>
          <w:rFonts w:ascii="Arial" w:eastAsia="Times New Roman" w:hAnsi="Arial" w:cs="Arial"/>
          <w:sz w:val="24"/>
          <w:szCs w:val="24"/>
        </w:rPr>
        <w:t xml:space="preserve"> severability and </w:t>
      </w:r>
      <w:r w:rsidR="00287F99">
        <w:rPr>
          <w:rFonts w:ascii="Arial" w:eastAsia="Times New Roman" w:hAnsi="Arial" w:cs="Arial"/>
          <w:sz w:val="24"/>
          <w:szCs w:val="24"/>
        </w:rPr>
        <w:t>penalties for incompliance.</w:t>
      </w:r>
    </w:p>
    <w:p w:rsidR="00287F99" w:rsidRPr="00287F99" w:rsidRDefault="00287F99" w:rsidP="00287F99">
      <w:pPr>
        <w:jc w:val="both"/>
        <w:rPr>
          <w:rFonts w:ascii="Arial" w:hAnsi="Arial" w:cs="Arial"/>
          <w:b/>
          <w:sz w:val="24"/>
          <w:szCs w:val="24"/>
        </w:rPr>
      </w:pPr>
      <w:r>
        <w:rPr>
          <w:rFonts w:ascii="Arial" w:hAnsi="Arial" w:cs="Arial"/>
          <w:b/>
          <w:sz w:val="24"/>
          <w:szCs w:val="24"/>
        </w:rPr>
        <w:t xml:space="preserve">Duke Energy Florida’s </w:t>
      </w:r>
      <w:proofErr w:type="gramStart"/>
      <w:r w:rsidRPr="00287F99">
        <w:rPr>
          <w:rFonts w:ascii="Arial" w:hAnsi="Arial" w:cs="Arial"/>
          <w:b/>
          <w:sz w:val="24"/>
          <w:szCs w:val="24"/>
        </w:rPr>
        <w:t>Financing</w:t>
      </w:r>
      <w:proofErr w:type="gramEnd"/>
      <w:r w:rsidRPr="00287F99">
        <w:rPr>
          <w:rFonts w:ascii="Arial" w:hAnsi="Arial" w:cs="Arial"/>
          <w:b/>
          <w:sz w:val="24"/>
          <w:szCs w:val="24"/>
        </w:rPr>
        <w:t xml:space="preserve"> Order and Bond Issuance</w:t>
      </w:r>
    </w:p>
    <w:p w:rsidR="00287F99" w:rsidRDefault="00287F99" w:rsidP="00287F99">
      <w:pPr>
        <w:jc w:val="both"/>
        <w:rPr>
          <w:rFonts w:ascii="Arial" w:hAnsi="Arial" w:cs="Arial"/>
          <w:sz w:val="24"/>
          <w:szCs w:val="24"/>
        </w:rPr>
      </w:pPr>
      <w:r>
        <w:rPr>
          <w:rFonts w:ascii="Arial" w:hAnsi="Arial" w:cs="Arial"/>
          <w:sz w:val="24"/>
          <w:szCs w:val="24"/>
        </w:rPr>
        <w:t xml:space="preserve">In November 2015, the Commission released Financing Order </w:t>
      </w:r>
      <w:hyperlink r:id="rId9" w:history="1">
        <w:r w:rsidRPr="00C16780">
          <w:rPr>
            <w:rStyle w:val="Hyperlink"/>
            <w:rFonts w:ascii="Arial" w:hAnsi="Arial" w:cs="Arial"/>
            <w:sz w:val="24"/>
            <w:szCs w:val="24"/>
          </w:rPr>
          <w:t>PSC-15-0537-FOF-EI</w:t>
        </w:r>
      </w:hyperlink>
      <w:r>
        <w:rPr>
          <w:rFonts w:ascii="Arial" w:hAnsi="Arial" w:cs="Arial"/>
          <w:sz w:val="24"/>
          <w:szCs w:val="24"/>
        </w:rPr>
        <w:t xml:space="preserve"> to approve DEF’s petition for the</w:t>
      </w:r>
      <w:r w:rsidRPr="002945FE">
        <w:rPr>
          <w:rFonts w:ascii="Arial" w:hAnsi="Arial" w:cs="Arial"/>
          <w:sz w:val="24"/>
          <w:szCs w:val="24"/>
        </w:rPr>
        <w:t xml:space="preserve"> issuance of nuclear asset</w:t>
      </w:r>
      <w:r>
        <w:rPr>
          <w:rFonts w:ascii="Arial" w:hAnsi="Arial" w:cs="Arial"/>
          <w:sz w:val="24"/>
          <w:szCs w:val="24"/>
        </w:rPr>
        <w:t>-</w:t>
      </w:r>
      <w:r w:rsidRPr="002945FE">
        <w:rPr>
          <w:rFonts w:ascii="Arial" w:hAnsi="Arial" w:cs="Arial"/>
          <w:sz w:val="24"/>
          <w:szCs w:val="24"/>
        </w:rPr>
        <w:t>recovery</w:t>
      </w:r>
      <w:r>
        <w:rPr>
          <w:rFonts w:ascii="Arial" w:hAnsi="Arial" w:cs="Arial"/>
          <w:sz w:val="24"/>
          <w:szCs w:val="24"/>
        </w:rPr>
        <w:t xml:space="preserve"> bonds in the amount of </w:t>
      </w:r>
      <w:r w:rsidRPr="002945FE">
        <w:rPr>
          <w:rFonts w:ascii="Arial" w:hAnsi="Arial" w:cs="Arial"/>
          <w:sz w:val="24"/>
          <w:szCs w:val="24"/>
        </w:rPr>
        <w:t>$1,283,012,000</w:t>
      </w:r>
      <w:r>
        <w:rPr>
          <w:rFonts w:ascii="Arial" w:hAnsi="Arial" w:cs="Arial"/>
          <w:sz w:val="24"/>
          <w:szCs w:val="24"/>
        </w:rPr>
        <w:t xml:space="preserve"> plus financing costs. Under the financing order, </w:t>
      </w:r>
      <w:r w:rsidRPr="002945FE">
        <w:rPr>
          <w:rFonts w:ascii="Arial" w:hAnsi="Arial" w:cs="Arial"/>
          <w:sz w:val="24"/>
          <w:szCs w:val="24"/>
        </w:rPr>
        <w:t>DEF is</w:t>
      </w:r>
      <w:r>
        <w:rPr>
          <w:rFonts w:ascii="Arial" w:hAnsi="Arial" w:cs="Arial"/>
          <w:sz w:val="24"/>
          <w:szCs w:val="24"/>
        </w:rPr>
        <w:t xml:space="preserve"> </w:t>
      </w:r>
      <w:r w:rsidRPr="002945FE">
        <w:rPr>
          <w:rFonts w:ascii="Arial" w:hAnsi="Arial" w:cs="Arial"/>
          <w:sz w:val="24"/>
          <w:szCs w:val="24"/>
        </w:rPr>
        <w:t xml:space="preserve">authorized to impose a nuclear asset-recovery charge </w:t>
      </w:r>
      <w:r>
        <w:rPr>
          <w:rFonts w:ascii="Arial" w:hAnsi="Arial" w:cs="Arial"/>
          <w:sz w:val="24"/>
          <w:szCs w:val="24"/>
        </w:rPr>
        <w:t>t</w:t>
      </w:r>
      <w:r w:rsidRPr="002945FE">
        <w:rPr>
          <w:rFonts w:ascii="Arial" w:hAnsi="Arial" w:cs="Arial"/>
          <w:sz w:val="24"/>
          <w:szCs w:val="24"/>
        </w:rPr>
        <w:t>o repay the nuclear asset-recovery bonds and associated financing costs</w:t>
      </w:r>
      <w:r>
        <w:rPr>
          <w:rFonts w:ascii="Arial" w:hAnsi="Arial" w:cs="Arial"/>
          <w:sz w:val="24"/>
          <w:szCs w:val="24"/>
        </w:rPr>
        <w:t xml:space="preserve">, which will </w:t>
      </w:r>
      <w:r w:rsidRPr="002945FE">
        <w:rPr>
          <w:rFonts w:ascii="Arial" w:hAnsi="Arial" w:cs="Arial"/>
          <w:sz w:val="24"/>
          <w:szCs w:val="24"/>
        </w:rPr>
        <w:t>be collected on a per-kWh basis from all</w:t>
      </w:r>
      <w:r>
        <w:rPr>
          <w:rFonts w:ascii="Arial" w:hAnsi="Arial" w:cs="Arial"/>
          <w:sz w:val="24"/>
          <w:szCs w:val="24"/>
        </w:rPr>
        <w:t xml:space="preserve"> </w:t>
      </w:r>
      <w:r w:rsidRPr="002945FE">
        <w:rPr>
          <w:rFonts w:ascii="Arial" w:hAnsi="Arial" w:cs="Arial"/>
          <w:sz w:val="24"/>
          <w:szCs w:val="24"/>
        </w:rPr>
        <w:t>applicable customer rate classes</w:t>
      </w:r>
      <w:r>
        <w:rPr>
          <w:rFonts w:ascii="Arial" w:hAnsi="Arial" w:cs="Arial"/>
          <w:sz w:val="24"/>
          <w:szCs w:val="24"/>
        </w:rPr>
        <w:t xml:space="preserve">. The financing order authorizes DEF to impose the </w:t>
      </w:r>
      <w:r>
        <w:rPr>
          <w:rFonts w:ascii="Arial" w:hAnsi="Arial" w:cs="Arial"/>
          <w:sz w:val="24"/>
          <w:szCs w:val="24"/>
        </w:rPr>
        <w:lastRenderedPageBreak/>
        <w:t>charge for a period not exceeding 276 months (23 years)</w:t>
      </w:r>
      <w:r w:rsidRPr="00D13273">
        <w:rPr>
          <w:rFonts w:ascii="Arial" w:hAnsi="Arial" w:cs="Arial"/>
          <w:sz w:val="24"/>
          <w:szCs w:val="24"/>
        </w:rPr>
        <w:t xml:space="preserve"> </w:t>
      </w:r>
      <w:r>
        <w:rPr>
          <w:rFonts w:ascii="Arial" w:hAnsi="Arial" w:cs="Arial"/>
          <w:sz w:val="24"/>
          <w:szCs w:val="24"/>
        </w:rPr>
        <w:t>from the issuance of the nuclear asset-recovery bond</w:t>
      </w:r>
      <w:r w:rsidRPr="002945FE">
        <w:rPr>
          <w:rFonts w:ascii="Arial" w:hAnsi="Arial" w:cs="Arial"/>
          <w:sz w:val="24"/>
          <w:szCs w:val="24"/>
        </w:rPr>
        <w:t>.</w:t>
      </w:r>
      <w:r>
        <w:rPr>
          <w:rFonts w:ascii="Arial" w:hAnsi="Arial" w:cs="Arial"/>
          <w:sz w:val="24"/>
          <w:szCs w:val="24"/>
        </w:rPr>
        <w:t xml:space="preserve"> </w:t>
      </w:r>
    </w:p>
    <w:p w:rsidR="00CD30E4" w:rsidRDefault="00287F99" w:rsidP="00CD30E4">
      <w:pPr>
        <w:rPr>
          <w:rFonts w:ascii="Arial" w:hAnsi="Arial" w:cs="Arial"/>
          <w:sz w:val="24"/>
          <w:szCs w:val="24"/>
        </w:rPr>
      </w:pPr>
      <w:r>
        <w:rPr>
          <w:rFonts w:ascii="Arial" w:hAnsi="Arial" w:cs="Arial"/>
          <w:sz w:val="24"/>
          <w:szCs w:val="24"/>
        </w:rPr>
        <w:t xml:space="preserve">DEF created Duke Energy Florida Project Finance LLC for the issuance of </w:t>
      </w:r>
      <w:proofErr w:type="spellStart"/>
      <w:r>
        <w:rPr>
          <w:rFonts w:ascii="Arial" w:hAnsi="Arial" w:cs="Arial"/>
          <w:sz w:val="24"/>
          <w:szCs w:val="24"/>
        </w:rPr>
        <w:t>of</w:t>
      </w:r>
      <w:proofErr w:type="spellEnd"/>
      <w:r>
        <w:rPr>
          <w:rFonts w:ascii="Arial" w:hAnsi="Arial" w:cs="Arial"/>
          <w:sz w:val="24"/>
          <w:szCs w:val="24"/>
        </w:rPr>
        <w:t xml:space="preserve"> nuclear asset-recovery bonds in June 2016.</w:t>
      </w:r>
    </w:p>
    <w:p w:rsidR="00C1385C" w:rsidRDefault="00C1385C" w:rsidP="00CD30E4">
      <w:pPr>
        <w:rPr>
          <w:rFonts w:ascii="Arial" w:hAnsi="Arial" w:cs="Arial"/>
          <w:sz w:val="24"/>
          <w:szCs w:val="24"/>
        </w:rPr>
      </w:pPr>
    </w:p>
    <w:p w:rsidR="00C1385C" w:rsidRPr="00C742B1" w:rsidRDefault="00C1385C" w:rsidP="00CD30E4">
      <w:pPr>
        <w:rPr>
          <w:rFonts w:ascii="Arial" w:hAnsi="Arial" w:cs="Arial"/>
          <w:sz w:val="24"/>
          <w:szCs w:val="24"/>
        </w:rPr>
      </w:pPr>
      <w:r>
        <w:rPr>
          <w:rFonts w:ascii="Arial" w:hAnsi="Arial" w:cs="Arial"/>
          <w:sz w:val="24"/>
          <w:szCs w:val="24"/>
        </w:rPr>
        <w:t>February 23, 2017</w:t>
      </w:r>
      <w:bookmarkStart w:id="0" w:name="_GoBack"/>
      <w:bookmarkEnd w:id="0"/>
    </w:p>
    <w:sectPr w:rsidR="00C1385C" w:rsidRPr="00C742B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F34" w:rsidRDefault="00706F34" w:rsidP="00300ABE">
      <w:pPr>
        <w:spacing w:after="0" w:line="240" w:lineRule="auto"/>
      </w:pPr>
      <w:r>
        <w:separator/>
      </w:r>
    </w:p>
  </w:endnote>
  <w:endnote w:type="continuationSeparator" w:id="0">
    <w:p w:rsidR="00706F34" w:rsidRDefault="00706F34" w:rsidP="00300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F34" w:rsidRDefault="00706F34" w:rsidP="00300ABE">
      <w:pPr>
        <w:spacing w:after="0" w:line="240" w:lineRule="auto"/>
      </w:pPr>
      <w:r>
        <w:separator/>
      </w:r>
    </w:p>
  </w:footnote>
  <w:footnote w:type="continuationSeparator" w:id="0">
    <w:p w:rsidR="00706F34" w:rsidRDefault="00706F34" w:rsidP="00300ABE">
      <w:pPr>
        <w:spacing w:after="0" w:line="240" w:lineRule="auto"/>
      </w:pPr>
      <w:r>
        <w:continuationSeparator/>
      </w:r>
    </w:p>
  </w:footnote>
  <w:footnote w:id="1">
    <w:p w:rsidR="00300ABE" w:rsidRDefault="00300ABE">
      <w:pPr>
        <w:pStyle w:val="FootnoteText"/>
      </w:pPr>
      <w:r>
        <w:rPr>
          <w:rStyle w:val="FootnoteReference"/>
        </w:rPr>
        <w:footnoteRef/>
      </w:r>
      <w:r>
        <w:t xml:space="preserve"> Duke Energy announcement, “</w:t>
      </w:r>
      <w:r w:rsidRPr="00300ABE">
        <w:t>Duke Energy Florida cuts rates for customers</w:t>
      </w:r>
      <w:r>
        <w:t>”, February 8, 2016 &lt;</w:t>
      </w:r>
      <w:r w:rsidRPr="00300ABE">
        <w:t>http://www.prnewswire.com/news-releases/duke-energy-florida-cuts-rates-for-customers-300216799.html</w:t>
      </w:r>
      <w:r>
        <w:t>&gt;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730DE8"/>
    <w:multiLevelType w:val="hybridMultilevel"/>
    <w:tmpl w:val="4392A0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5DC6"/>
    <w:rsid w:val="000F1E91"/>
    <w:rsid w:val="001B7164"/>
    <w:rsid w:val="001D09C8"/>
    <w:rsid w:val="00287F99"/>
    <w:rsid w:val="002945FE"/>
    <w:rsid w:val="00300ABE"/>
    <w:rsid w:val="004D5ADF"/>
    <w:rsid w:val="004F7B49"/>
    <w:rsid w:val="0054171D"/>
    <w:rsid w:val="00706F34"/>
    <w:rsid w:val="00912938"/>
    <w:rsid w:val="0091626E"/>
    <w:rsid w:val="009667CF"/>
    <w:rsid w:val="009B42A5"/>
    <w:rsid w:val="009F5DC6"/>
    <w:rsid w:val="00A943D8"/>
    <w:rsid w:val="00BA7395"/>
    <w:rsid w:val="00C126AD"/>
    <w:rsid w:val="00C1385C"/>
    <w:rsid w:val="00C16780"/>
    <w:rsid w:val="00C742B1"/>
    <w:rsid w:val="00CD30E4"/>
    <w:rsid w:val="00CE1A5C"/>
    <w:rsid w:val="00D13273"/>
    <w:rsid w:val="00EE1E0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5DC6"/>
    <w:rPr>
      <w:color w:val="0000FF" w:themeColor="hyperlink"/>
      <w:u w:val="single"/>
    </w:rPr>
  </w:style>
  <w:style w:type="paragraph" w:styleId="FootnoteText">
    <w:name w:val="footnote text"/>
    <w:basedOn w:val="Normal"/>
    <w:link w:val="FootnoteTextChar"/>
    <w:uiPriority w:val="99"/>
    <w:semiHidden/>
    <w:unhideWhenUsed/>
    <w:rsid w:val="00300A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0ABE"/>
    <w:rPr>
      <w:sz w:val="20"/>
      <w:szCs w:val="20"/>
    </w:rPr>
  </w:style>
  <w:style w:type="character" w:styleId="FootnoteReference">
    <w:name w:val="footnote reference"/>
    <w:basedOn w:val="DefaultParagraphFont"/>
    <w:uiPriority w:val="99"/>
    <w:semiHidden/>
    <w:unhideWhenUsed/>
    <w:rsid w:val="00300ABE"/>
    <w:rPr>
      <w:vertAlign w:val="superscript"/>
    </w:rPr>
  </w:style>
  <w:style w:type="paragraph" w:styleId="ListParagraph">
    <w:name w:val="List Paragraph"/>
    <w:basedOn w:val="Normal"/>
    <w:uiPriority w:val="34"/>
    <w:qFormat/>
    <w:rsid w:val="004D5A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5DC6"/>
    <w:rPr>
      <w:color w:val="0000FF" w:themeColor="hyperlink"/>
      <w:u w:val="single"/>
    </w:rPr>
  </w:style>
  <w:style w:type="paragraph" w:styleId="FootnoteText">
    <w:name w:val="footnote text"/>
    <w:basedOn w:val="Normal"/>
    <w:link w:val="FootnoteTextChar"/>
    <w:uiPriority w:val="99"/>
    <w:semiHidden/>
    <w:unhideWhenUsed/>
    <w:rsid w:val="00300A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0ABE"/>
    <w:rPr>
      <w:sz w:val="20"/>
      <w:szCs w:val="20"/>
    </w:rPr>
  </w:style>
  <w:style w:type="character" w:styleId="FootnoteReference">
    <w:name w:val="footnote reference"/>
    <w:basedOn w:val="DefaultParagraphFont"/>
    <w:uiPriority w:val="99"/>
    <w:semiHidden/>
    <w:unhideWhenUsed/>
    <w:rsid w:val="00300ABE"/>
    <w:rPr>
      <w:vertAlign w:val="superscript"/>
    </w:rPr>
  </w:style>
  <w:style w:type="paragraph" w:styleId="ListParagraph">
    <w:name w:val="List Paragraph"/>
    <w:basedOn w:val="Normal"/>
    <w:uiPriority w:val="34"/>
    <w:qFormat/>
    <w:rsid w:val="004D5A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66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psc.state.fl.us/library/filings/15/06523-15/06523-15.pdf" TargetMode="Externa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7B1DA7A406E5B4483F6E2661962F74C" ma:contentTypeVersion="1" ma:contentTypeDescription="Create a new document." ma:contentTypeScope="" ma:versionID="6e5a4b7797612b449d02feea4fcdff9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CD61B5-610F-4D92-A0B6-C4A1ACF0FBC4}"/>
</file>

<file path=customXml/itemProps2.xml><?xml version="1.0" encoding="utf-8"?>
<ds:datastoreItem xmlns:ds="http://schemas.openxmlformats.org/officeDocument/2006/customXml" ds:itemID="{FF91B6FE-5E05-48D0-82B7-B8FC24C9FFA0}"/>
</file>

<file path=customXml/itemProps3.xml><?xml version="1.0" encoding="utf-8"?>
<ds:datastoreItem xmlns:ds="http://schemas.openxmlformats.org/officeDocument/2006/customXml" ds:itemID="{8965838F-6472-4CEF-8629-DA592045DAF7}"/>
</file>

<file path=customXml/itemProps4.xml><?xml version="1.0" encoding="utf-8"?>
<ds:datastoreItem xmlns:ds="http://schemas.openxmlformats.org/officeDocument/2006/customXml" ds:itemID="{319B7DA0-AD57-4D3A-915D-93EA54545DCA}"/>
</file>

<file path=docProps/app.xml><?xml version="1.0" encoding="utf-8"?>
<Properties xmlns="http://schemas.openxmlformats.org/officeDocument/2006/extended-properties" xmlns:vt="http://schemas.openxmlformats.org/officeDocument/2006/docPropsVTypes">
  <Template>Normal</Template>
  <TotalTime>4</TotalTime>
  <Pages>3</Pages>
  <Words>850</Words>
  <Characters>4851</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5690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 Jackson (MEDG/MRIS)</dc:creator>
  <cp:lastModifiedBy>Calwell, Carolyn (ENERGY/MEDEI/MRI)</cp:lastModifiedBy>
  <cp:revision>2</cp:revision>
  <dcterms:created xsi:type="dcterms:W3CDTF">2017-02-23T23:59:00Z</dcterms:created>
  <dcterms:modified xsi:type="dcterms:W3CDTF">2017-02-23T23:59:00Z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0x01010067B1DA7A406E5B4483F6E2661962F74C</vt:lpwstr>
  </property>
</Properties>
</file>