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9DF" w:rsidRPr="00B96BEA" w:rsidRDefault="009669DF" w:rsidP="009669DF">
      <w:pPr>
        <w:spacing w:after="0" w:line="240" w:lineRule="auto"/>
        <w:jc w:val="center"/>
        <w:rPr>
          <w:rFonts w:ascii="Arial" w:eastAsia="Times New Roman" w:hAnsi="Arial" w:cs="Arial"/>
          <w:b/>
          <w:bCs/>
        </w:rPr>
      </w:pPr>
      <w:r w:rsidRPr="00B96BEA">
        <w:rPr>
          <w:rFonts w:ascii="Arial" w:eastAsia="Times New Roman" w:hAnsi="Arial" w:cs="Arial"/>
          <w:b/>
          <w:bCs/>
        </w:rPr>
        <w:t xml:space="preserve">  Confidential and Solicitor-Client Privileged</w:t>
      </w:r>
    </w:p>
    <w:tbl>
      <w:tblPr>
        <w:tblW w:w="0" w:type="auto"/>
        <w:tblBorders>
          <w:top w:val="thinThickSmallGap" w:sz="24" w:space="0" w:color="auto"/>
          <w:bottom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9576"/>
      </w:tblGrid>
      <w:tr w:rsidR="009669DF" w:rsidRPr="00B96BEA" w:rsidTr="006E57F3">
        <w:tc>
          <w:tcPr>
            <w:tcW w:w="9576" w:type="dxa"/>
          </w:tcPr>
          <w:p w:rsidR="009669DF" w:rsidRPr="00B96BEA" w:rsidRDefault="009669DF" w:rsidP="006E57F3">
            <w:pPr>
              <w:spacing w:after="0" w:line="240" w:lineRule="auto"/>
              <w:jc w:val="center"/>
              <w:rPr>
                <w:rFonts w:ascii="Arial" w:eastAsia="Times New Roman" w:hAnsi="Arial" w:cs="Arial"/>
                <w:b/>
                <w:bCs/>
                <w:lang w:val="en-US"/>
              </w:rPr>
            </w:pPr>
            <w:r w:rsidRPr="00B96BEA">
              <w:rPr>
                <w:rFonts w:ascii="Arial" w:eastAsia="Times New Roman" w:hAnsi="Arial" w:cs="Arial"/>
                <w:b/>
                <w:bCs/>
                <w:lang w:val="en-US"/>
              </w:rPr>
              <w:t>Ministry of the Attorney General</w:t>
            </w:r>
          </w:p>
          <w:p w:rsidR="009669DF" w:rsidRPr="00B96BEA" w:rsidRDefault="009669DF" w:rsidP="006E57F3">
            <w:pPr>
              <w:keepNext/>
              <w:spacing w:after="0" w:line="240" w:lineRule="auto"/>
              <w:jc w:val="center"/>
              <w:outlineLvl w:val="6"/>
              <w:rPr>
                <w:rFonts w:ascii="Arial" w:eastAsia="Times New Roman" w:hAnsi="Arial" w:cs="Arial"/>
                <w:b/>
                <w:bCs/>
                <w:i/>
                <w:iCs/>
                <w:lang w:val="en-US"/>
              </w:rPr>
            </w:pPr>
            <w:r w:rsidRPr="00B96BEA">
              <w:rPr>
                <w:rFonts w:ascii="Arial" w:eastAsia="Times New Roman" w:hAnsi="Arial" w:cs="Arial"/>
                <w:b/>
                <w:bCs/>
                <w:i/>
                <w:iCs/>
                <w:lang w:val="en-US"/>
              </w:rPr>
              <w:t xml:space="preserve">Briefing Note </w:t>
            </w:r>
          </w:p>
          <w:p w:rsidR="009669DF" w:rsidRPr="00B96BEA" w:rsidRDefault="009669DF" w:rsidP="006E57F3">
            <w:pPr>
              <w:spacing w:after="0" w:line="240" w:lineRule="auto"/>
              <w:jc w:val="center"/>
              <w:rPr>
                <w:rFonts w:ascii="Arial" w:eastAsia="Times New Roman" w:hAnsi="Arial" w:cs="Arial"/>
                <w:b/>
              </w:rPr>
            </w:pPr>
            <w:r w:rsidRPr="00B96BEA">
              <w:rPr>
                <w:rFonts w:ascii="Arial" w:eastAsia="Times New Roman" w:hAnsi="Arial" w:cs="Arial"/>
                <w:b/>
              </w:rPr>
              <w:t>Legal Services Division</w:t>
            </w:r>
          </w:p>
          <w:p w:rsidR="009669DF" w:rsidRPr="00B96BEA" w:rsidRDefault="009669DF" w:rsidP="006E57F3">
            <w:pPr>
              <w:spacing w:after="0" w:line="240" w:lineRule="auto"/>
              <w:jc w:val="center"/>
              <w:rPr>
                <w:rFonts w:ascii="Arial" w:eastAsia="Times New Roman" w:hAnsi="Arial" w:cs="Arial"/>
              </w:rPr>
            </w:pPr>
            <w:r w:rsidRPr="00B96BEA">
              <w:rPr>
                <w:rFonts w:ascii="Arial" w:eastAsia="Times New Roman" w:hAnsi="Arial" w:cs="Arial"/>
                <w:b/>
              </w:rPr>
              <w:t>Lega</w:t>
            </w:r>
            <w:r w:rsidR="00F705D3">
              <w:rPr>
                <w:rFonts w:ascii="Arial" w:eastAsia="Times New Roman" w:hAnsi="Arial" w:cs="Arial"/>
                <w:b/>
              </w:rPr>
              <w:t>l Services Branch – ENERGY/MEDG</w:t>
            </w:r>
            <w:r w:rsidRPr="00B96BEA">
              <w:rPr>
                <w:rFonts w:ascii="Arial" w:eastAsia="Times New Roman" w:hAnsi="Arial" w:cs="Arial"/>
                <w:b/>
              </w:rPr>
              <w:t>/MRI</w:t>
            </w:r>
            <w:r w:rsidR="00F705D3">
              <w:rPr>
                <w:rFonts w:ascii="Arial" w:eastAsia="Times New Roman" w:hAnsi="Arial" w:cs="Arial"/>
                <w:b/>
              </w:rPr>
              <w:t>S/MOI/ADO</w:t>
            </w:r>
          </w:p>
        </w:tc>
      </w:tr>
    </w:tbl>
    <w:p w:rsidR="009669DF" w:rsidRPr="00B96BEA" w:rsidRDefault="009669DF" w:rsidP="009669DF">
      <w:pPr>
        <w:pStyle w:val="NoSpacing"/>
        <w:rPr>
          <w:rFonts w:ascii="Arial" w:hAnsi="Arial" w:cs="Arial"/>
          <w:b/>
        </w:rPr>
      </w:pPr>
    </w:p>
    <w:p w:rsidR="009669DF" w:rsidRPr="00C6753E" w:rsidRDefault="009669DF" w:rsidP="00C6753E">
      <w:pPr>
        <w:spacing w:after="0" w:line="240" w:lineRule="auto"/>
        <w:ind w:left="1440" w:hanging="1440"/>
        <w:rPr>
          <w:rFonts w:ascii="Arial" w:eastAsia="Times New Roman" w:hAnsi="Arial" w:cs="Arial"/>
          <w:b/>
        </w:rPr>
      </w:pPr>
    </w:p>
    <w:p w:rsidR="009669DF" w:rsidRPr="00C6753E" w:rsidRDefault="003F5161" w:rsidP="00C6753E">
      <w:pPr>
        <w:spacing w:after="0" w:line="240" w:lineRule="auto"/>
        <w:ind w:left="1440" w:hanging="1440"/>
        <w:rPr>
          <w:rFonts w:ascii="Arial" w:eastAsia="Times New Roman" w:hAnsi="Arial" w:cs="Arial"/>
          <w:b/>
        </w:rPr>
      </w:pPr>
      <w:r w:rsidRPr="00C6753E">
        <w:rPr>
          <w:rFonts w:ascii="Arial" w:eastAsia="Times New Roman" w:hAnsi="Arial" w:cs="Arial"/>
          <w:b/>
        </w:rPr>
        <w:t>ISSUE</w:t>
      </w:r>
      <w:r w:rsidR="009669DF" w:rsidRPr="00C6753E">
        <w:rPr>
          <w:rFonts w:ascii="Arial" w:eastAsia="Times New Roman" w:hAnsi="Arial" w:cs="Arial"/>
          <w:b/>
        </w:rPr>
        <w:t xml:space="preserve"> </w:t>
      </w:r>
    </w:p>
    <w:p w:rsidR="009669DF" w:rsidRPr="00C6753E" w:rsidRDefault="009669DF" w:rsidP="00C6753E">
      <w:pPr>
        <w:spacing w:after="0" w:line="240" w:lineRule="auto"/>
        <w:ind w:left="1440" w:hanging="1440"/>
        <w:rPr>
          <w:rFonts w:ascii="Arial" w:eastAsia="Times New Roman" w:hAnsi="Arial" w:cs="Arial"/>
          <w:b/>
        </w:rPr>
      </w:pPr>
    </w:p>
    <w:p w:rsidR="00616FBA" w:rsidRPr="00C6753E" w:rsidRDefault="00616FBA" w:rsidP="00C6753E">
      <w:pPr>
        <w:spacing w:after="0" w:line="240" w:lineRule="auto"/>
        <w:ind w:left="709" w:firstLine="11"/>
        <w:rPr>
          <w:rFonts w:ascii="Arial" w:eastAsia="Times New Roman" w:hAnsi="Arial" w:cs="Arial"/>
          <w:b/>
        </w:rPr>
      </w:pPr>
      <w:r w:rsidRPr="00C6753E">
        <w:rPr>
          <w:rFonts w:ascii="Arial" w:eastAsia="Times New Roman" w:hAnsi="Arial" w:cs="Arial"/>
          <w:b/>
        </w:rPr>
        <w:t xml:space="preserve">Oversight of the Financial Services Manager’s establishment of fees under the </w:t>
      </w:r>
      <w:r w:rsidRPr="00C6753E">
        <w:rPr>
          <w:rFonts w:ascii="Arial" w:eastAsia="Times New Roman" w:hAnsi="Arial" w:cs="Arial"/>
          <w:b/>
          <w:i/>
        </w:rPr>
        <w:t>Ontario Fair Hydro Plan Act, 2017</w:t>
      </w:r>
    </w:p>
    <w:p w:rsidR="00A23F9F" w:rsidRPr="00C6753E" w:rsidRDefault="00A23F9F" w:rsidP="00C6753E">
      <w:pPr>
        <w:pStyle w:val="NoSpacing"/>
        <w:rPr>
          <w:rFonts w:ascii="Arial" w:hAnsi="Arial" w:cs="Arial"/>
        </w:rPr>
      </w:pPr>
    </w:p>
    <w:p w:rsidR="00C06B09" w:rsidRPr="00C6753E" w:rsidRDefault="00C06B09" w:rsidP="00C6753E">
      <w:pPr>
        <w:pStyle w:val="NoSpacing"/>
        <w:rPr>
          <w:rFonts w:ascii="Arial" w:hAnsi="Arial" w:cs="Arial"/>
          <w:b/>
        </w:rPr>
      </w:pPr>
      <w:r w:rsidRPr="00C6753E">
        <w:rPr>
          <w:rFonts w:ascii="Arial" w:hAnsi="Arial" w:cs="Arial"/>
          <w:b/>
        </w:rPr>
        <w:t>OPTIONS</w:t>
      </w:r>
    </w:p>
    <w:p w:rsidR="00C06B09" w:rsidRPr="00C6753E" w:rsidRDefault="00C06B09" w:rsidP="00C6753E">
      <w:pPr>
        <w:pStyle w:val="NoSpacing"/>
        <w:rPr>
          <w:rFonts w:ascii="Arial" w:hAnsi="Arial" w:cs="Arial"/>
        </w:rPr>
      </w:pPr>
    </w:p>
    <w:p w:rsidR="00C06B09" w:rsidRPr="00C6753E" w:rsidRDefault="00C06B09" w:rsidP="00C6753E">
      <w:pPr>
        <w:pStyle w:val="NoSpacing"/>
        <w:numPr>
          <w:ilvl w:val="0"/>
          <w:numId w:val="14"/>
        </w:numPr>
        <w:rPr>
          <w:rFonts w:ascii="Arial" w:hAnsi="Arial" w:cs="Arial"/>
        </w:rPr>
      </w:pPr>
      <w:r w:rsidRPr="00C6753E">
        <w:rPr>
          <w:rFonts w:ascii="Arial" w:hAnsi="Arial" w:cs="Arial"/>
        </w:rPr>
        <w:t>Financial Services Manager’s (FSM) fixed</w:t>
      </w:r>
      <w:r w:rsidR="00DA4128" w:rsidRPr="00C6753E">
        <w:rPr>
          <w:rFonts w:ascii="Arial" w:hAnsi="Arial" w:cs="Arial"/>
        </w:rPr>
        <w:t xml:space="preserve"> </w:t>
      </w:r>
      <w:r w:rsidRPr="00C6753E">
        <w:rPr>
          <w:rFonts w:ascii="Arial" w:hAnsi="Arial" w:cs="Arial"/>
        </w:rPr>
        <w:t>costs are subject to a prudence review by the OEB</w:t>
      </w:r>
      <w:r w:rsidR="002E2B4D">
        <w:rPr>
          <w:rFonts w:ascii="Arial" w:hAnsi="Arial" w:cs="Arial"/>
        </w:rPr>
        <w:t>.</w:t>
      </w:r>
    </w:p>
    <w:p w:rsidR="00DA4128" w:rsidRPr="00C6753E" w:rsidRDefault="00DA4128" w:rsidP="00C6753E">
      <w:pPr>
        <w:pStyle w:val="NoSpacing"/>
        <w:ind w:left="720"/>
        <w:rPr>
          <w:rFonts w:ascii="Arial" w:hAnsi="Arial" w:cs="Arial"/>
        </w:rPr>
      </w:pPr>
    </w:p>
    <w:p w:rsidR="00C06B09" w:rsidRPr="00C6753E" w:rsidRDefault="00C63CFC" w:rsidP="00C6753E">
      <w:pPr>
        <w:pStyle w:val="NoSpacing"/>
        <w:numPr>
          <w:ilvl w:val="0"/>
          <w:numId w:val="14"/>
        </w:numPr>
        <w:rPr>
          <w:rFonts w:ascii="Arial" w:hAnsi="Arial" w:cs="Arial"/>
        </w:rPr>
      </w:pPr>
      <w:r w:rsidRPr="00C6753E">
        <w:rPr>
          <w:rFonts w:ascii="Arial" w:hAnsi="Arial" w:cs="Arial"/>
        </w:rPr>
        <w:t>Fees are determined in accordance with formulas set out in the regulation; OEB has discretion to</w:t>
      </w:r>
      <w:r w:rsidR="00C06B09" w:rsidRPr="00C6753E">
        <w:rPr>
          <w:rFonts w:ascii="Arial" w:hAnsi="Arial" w:cs="Arial"/>
        </w:rPr>
        <w:t xml:space="preserve"> </w:t>
      </w:r>
      <w:r w:rsidRPr="00C6753E">
        <w:rPr>
          <w:rFonts w:ascii="Arial" w:hAnsi="Arial" w:cs="Arial"/>
        </w:rPr>
        <w:t xml:space="preserve">determine </w:t>
      </w:r>
      <w:r w:rsidR="00C06B09" w:rsidRPr="00C6753E">
        <w:rPr>
          <w:rFonts w:ascii="Arial" w:hAnsi="Arial" w:cs="Arial"/>
        </w:rPr>
        <w:t xml:space="preserve">comparators and benchmarks </w:t>
      </w:r>
      <w:r w:rsidRPr="00C6753E">
        <w:rPr>
          <w:rFonts w:ascii="Arial" w:hAnsi="Arial" w:cs="Arial"/>
        </w:rPr>
        <w:t>as inputs to the formulas.</w:t>
      </w:r>
    </w:p>
    <w:p w:rsidR="00C06B09" w:rsidRPr="00C6753E" w:rsidRDefault="00C06B09" w:rsidP="00C6753E">
      <w:pPr>
        <w:pStyle w:val="NoSpacing"/>
        <w:ind w:left="720"/>
        <w:rPr>
          <w:rFonts w:ascii="Arial" w:hAnsi="Arial" w:cs="Arial"/>
        </w:rPr>
      </w:pPr>
    </w:p>
    <w:p w:rsidR="00C06B09" w:rsidRPr="00C6753E" w:rsidRDefault="00C06B09" w:rsidP="00C6753E">
      <w:pPr>
        <w:pStyle w:val="NoSpacing"/>
        <w:numPr>
          <w:ilvl w:val="0"/>
          <w:numId w:val="14"/>
        </w:numPr>
        <w:rPr>
          <w:rFonts w:ascii="Arial" w:hAnsi="Arial" w:cs="Arial"/>
        </w:rPr>
      </w:pPr>
      <w:r w:rsidRPr="00C6753E">
        <w:rPr>
          <w:rFonts w:ascii="Arial" w:hAnsi="Arial" w:cs="Arial"/>
        </w:rPr>
        <w:t>Fees are set by formula set out in the regulation and OEB verifies FSM calculation of fees in accordance with the formulas.</w:t>
      </w:r>
    </w:p>
    <w:p w:rsidR="00C06B09" w:rsidRPr="00C6753E" w:rsidRDefault="00C06B09" w:rsidP="00C6753E">
      <w:pPr>
        <w:pStyle w:val="NoSpacing"/>
        <w:rPr>
          <w:rFonts w:ascii="Arial" w:hAnsi="Arial" w:cs="Arial"/>
        </w:rPr>
      </w:pPr>
    </w:p>
    <w:p w:rsidR="00616FBA" w:rsidRPr="00C6753E" w:rsidRDefault="00E936FC" w:rsidP="00C6753E">
      <w:pPr>
        <w:pStyle w:val="NoSpacing"/>
        <w:rPr>
          <w:rFonts w:ascii="Arial" w:hAnsi="Arial" w:cs="Arial"/>
          <w:b/>
        </w:rPr>
      </w:pPr>
      <w:r w:rsidRPr="00C6753E">
        <w:rPr>
          <w:rFonts w:ascii="Arial" w:hAnsi="Arial" w:cs="Arial"/>
          <w:b/>
        </w:rPr>
        <w:t xml:space="preserve">BACKGROUND </w:t>
      </w:r>
      <w:r w:rsidR="003F5161" w:rsidRPr="00C6753E">
        <w:rPr>
          <w:rFonts w:ascii="Arial" w:hAnsi="Arial" w:cs="Arial"/>
          <w:b/>
        </w:rPr>
        <w:t xml:space="preserve"> </w:t>
      </w:r>
    </w:p>
    <w:p w:rsidR="00616FBA" w:rsidRPr="00C6753E" w:rsidRDefault="00616FBA" w:rsidP="00C6753E">
      <w:pPr>
        <w:pStyle w:val="NoSpacing"/>
        <w:rPr>
          <w:rFonts w:ascii="Arial" w:hAnsi="Arial" w:cs="Arial"/>
          <w:b/>
        </w:rPr>
      </w:pPr>
    </w:p>
    <w:p w:rsidR="0043694C" w:rsidRDefault="00616FBA" w:rsidP="00C6753E">
      <w:pPr>
        <w:spacing w:after="0" w:line="240" w:lineRule="auto"/>
        <w:rPr>
          <w:rFonts w:ascii="Arial" w:hAnsi="Arial" w:cs="Arial"/>
        </w:rPr>
      </w:pPr>
      <w:r w:rsidRPr="00C6753E">
        <w:rPr>
          <w:rFonts w:ascii="Arial" w:hAnsi="Arial" w:cs="Arial"/>
        </w:rPr>
        <w:t xml:space="preserve">The Ministry, Ontario Power Generation (OPG) and the Ontario Energy Board (OEB) have been in discussions about the role of the OEB in overseeing the fees set by OPG in its role as Financial Services Manager under the </w:t>
      </w:r>
      <w:r w:rsidRPr="00C6753E">
        <w:rPr>
          <w:rFonts w:ascii="Arial" w:hAnsi="Arial" w:cs="Arial"/>
          <w:i/>
        </w:rPr>
        <w:t>Ontario Fair Hydro Plan Act, 2017</w:t>
      </w:r>
      <w:r w:rsidRPr="00C6753E">
        <w:rPr>
          <w:rFonts w:ascii="Arial" w:hAnsi="Arial" w:cs="Arial"/>
        </w:rPr>
        <w:t xml:space="preserve"> (the Act). </w:t>
      </w:r>
      <w:r w:rsidR="00FD136A" w:rsidRPr="00C6753E">
        <w:rPr>
          <w:rFonts w:ascii="Arial" w:hAnsi="Arial" w:cs="Arial"/>
        </w:rPr>
        <w:t xml:space="preserve"> </w:t>
      </w:r>
      <w:r w:rsidR="0043694C" w:rsidRPr="00C6753E">
        <w:rPr>
          <w:rFonts w:ascii="Arial" w:hAnsi="Arial" w:cs="Arial"/>
        </w:rPr>
        <w:t>The Ministry, OEB and OPG generally agree on the following:</w:t>
      </w:r>
    </w:p>
    <w:p w:rsidR="00C6753E" w:rsidRPr="00C6753E" w:rsidRDefault="00C6753E" w:rsidP="00C6753E">
      <w:pPr>
        <w:spacing w:after="0" w:line="240" w:lineRule="auto"/>
        <w:rPr>
          <w:rFonts w:ascii="Arial" w:hAnsi="Arial" w:cs="Arial"/>
        </w:rPr>
      </w:pPr>
    </w:p>
    <w:p w:rsidR="0043694C" w:rsidRPr="00C6753E" w:rsidRDefault="0043694C" w:rsidP="00C6753E">
      <w:pPr>
        <w:pStyle w:val="ListParagraph"/>
        <w:numPr>
          <w:ilvl w:val="0"/>
          <w:numId w:val="18"/>
        </w:numPr>
        <w:spacing w:after="0" w:line="240" w:lineRule="auto"/>
        <w:rPr>
          <w:rFonts w:ascii="Arial" w:hAnsi="Arial" w:cs="Arial"/>
        </w:rPr>
      </w:pPr>
      <w:r w:rsidRPr="00C6753E">
        <w:rPr>
          <w:rFonts w:ascii="Arial" w:hAnsi="Arial" w:cs="Arial"/>
        </w:rPr>
        <w:t xml:space="preserve">The fee will have a fixed component based on actual costs of providing services and a performance based, variable component. </w:t>
      </w:r>
    </w:p>
    <w:p w:rsidR="0043694C" w:rsidRPr="00C6753E" w:rsidRDefault="0043694C" w:rsidP="00C6753E">
      <w:pPr>
        <w:pStyle w:val="ListParagraph"/>
        <w:numPr>
          <w:ilvl w:val="0"/>
          <w:numId w:val="18"/>
        </w:numPr>
        <w:spacing w:after="0" w:line="240" w:lineRule="auto"/>
        <w:rPr>
          <w:rFonts w:ascii="Arial" w:hAnsi="Arial" w:cs="Arial"/>
        </w:rPr>
      </w:pPr>
      <w:r w:rsidRPr="00C6753E">
        <w:rPr>
          <w:rFonts w:ascii="Arial" w:hAnsi="Arial" w:cs="Arial"/>
        </w:rPr>
        <w:t xml:space="preserve">The variable component will measure the interest rates that the FSM is able to secure against benchmark interest rates.  </w:t>
      </w:r>
    </w:p>
    <w:p w:rsidR="0043694C" w:rsidRPr="00C6753E" w:rsidRDefault="0043694C" w:rsidP="00C6753E">
      <w:pPr>
        <w:pStyle w:val="ListParagraph"/>
        <w:numPr>
          <w:ilvl w:val="0"/>
          <w:numId w:val="18"/>
        </w:numPr>
        <w:spacing w:after="0" w:line="240" w:lineRule="auto"/>
        <w:rPr>
          <w:rFonts w:ascii="Arial" w:hAnsi="Arial" w:cs="Arial"/>
        </w:rPr>
      </w:pPr>
      <w:r w:rsidRPr="00C6753E">
        <w:rPr>
          <w:rFonts w:ascii="Arial" w:hAnsi="Arial" w:cs="Arial"/>
        </w:rPr>
        <w:t>The variable</w:t>
      </w:r>
      <w:r w:rsidR="00044C03" w:rsidRPr="00C6753E">
        <w:rPr>
          <w:rFonts w:ascii="Arial" w:hAnsi="Arial" w:cs="Arial"/>
        </w:rPr>
        <w:t xml:space="preserve"> component will have a cap and a floor</w:t>
      </w:r>
      <w:r w:rsidRPr="00C6753E">
        <w:rPr>
          <w:rFonts w:ascii="Arial" w:hAnsi="Arial" w:cs="Arial"/>
        </w:rPr>
        <w:t>.</w:t>
      </w:r>
      <w:r w:rsidR="00044C03" w:rsidRPr="00C6753E">
        <w:rPr>
          <w:rFonts w:ascii="Arial" w:hAnsi="Arial" w:cs="Arial"/>
        </w:rPr>
        <w:t xml:space="preserve">  If the variable fee is negative, then that amount will be deducted against fixed fees in the following year. </w:t>
      </w:r>
    </w:p>
    <w:p w:rsidR="00EE4043" w:rsidRPr="00C6753E" w:rsidRDefault="00EE4043" w:rsidP="00C6753E">
      <w:pPr>
        <w:pStyle w:val="ListParagraph"/>
        <w:numPr>
          <w:ilvl w:val="0"/>
          <w:numId w:val="18"/>
        </w:numPr>
        <w:spacing w:after="0" w:line="240" w:lineRule="auto"/>
        <w:rPr>
          <w:rFonts w:ascii="Arial" w:hAnsi="Arial" w:cs="Arial"/>
        </w:rPr>
      </w:pPr>
      <w:r w:rsidRPr="00C6753E">
        <w:rPr>
          <w:rFonts w:ascii="Arial" w:hAnsi="Arial" w:cs="Arial"/>
        </w:rPr>
        <w:t xml:space="preserve">Fees will be determined annually. </w:t>
      </w:r>
    </w:p>
    <w:p w:rsidR="00044C03" w:rsidRPr="00C6753E" w:rsidRDefault="00044C03" w:rsidP="00C6753E">
      <w:pPr>
        <w:pStyle w:val="ListParagraph"/>
        <w:numPr>
          <w:ilvl w:val="0"/>
          <w:numId w:val="18"/>
        </w:numPr>
        <w:spacing w:after="0" w:line="240" w:lineRule="auto"/>
        <w:rPr>
          <w:rFonts w:ascii="Arial" w:hAnsi="Arial" w:cs="Arial"/>
        </w:rPr>
      </w:pPr>
      <w:r w:rsidRPr="00C6753E">
        <w:rPr>
          <w:rFonts w:ascii="Arial" w:hAnsi="Arial" w:cs="Arial"/>
        </w:rPr>
        <w:t xml:space="preserve">The Board will have 120 days </w:t>
      </w:r>
      <w:r w:rsidR="00EE4043" w:rsidRPr="00C6753E">
        <w:rPr>
          <w:rFonts w:ascii="Arial" w:hAnsi="Arial" w:cs="Arial"/>
        </w:rPr>
        <w:t xml:space="preserve">upon a request for approval </w:t>
      </w:r>
      <w:r w:rsidRPr="00C6753E">
        <w:rPr>
          <w:rFonts w:ascii="Arial" w:hAnsi="Arial" w:cs="Arial"/>
        </w:rPr>
        <w:t xml:space="preserve">to make its determination.  </w:t>
      </w:r>
    </w:p>
    <w:p w:rsidR="00044C03" w:rsidRPr="00C6753E" w:rsidRDefault="00044C03" w:rsidP="00C6753E">
      <w:pPr>
        <w:pStyle w:val="ListParagraph"/>
        <w:numPr>
          <w:ilvl w:val="0"/>
          <w:numId w:val="18"/>
        </w:numPr>
        <w:spacing w:after="0" w:line="240" w:lineRule="auto"/>
        <w:rPr>
          <w:rFonts w:ascii="Arial" w:hAnsi="Arial" w:cs="Arial"/>
        </w:rPr>
      </w:pPr>
      <w:r w:rsidRPr="00C6753E">
        <w:rPr>
          <w:rFonts w:ascii="Arial" w:hAnsi="Arial" w:cs="Arial"/>
        </w:rPr>
        <w:t xml:space="preserve">The Board will be able to approve or refer back to OPG with recommendations for further consideration. </w:t>
      </w:r>
    </w:p>
    <w:p w:rsidR="00044C03" w:rsidRPr="00C6753E" w:rsidRDefault="00044C03" w:rsidP="00C6753E">
      <w:pPr>
        <w:pStyle w:val="ListParagraph"/>
        <w:numPr>
          <w:ilvl w:val="0"/>
          <w:numId w:val="18"/>
        </w:numPr>
        <w:spacing w:after="0" w:line="240" w:lineRule="auto"/>
        <w:rPr>
          <w:rFonts w:ascii="Arial" w:hAnsi="Arial" w:cs="Arial"/>
        </w:rPr>
      </w:pPr>
      <w:r w:rsidRPr="00C6753E">
        <w:rPr>
          <w:rFonts w:ascii="Arial" w:hAnsi="Arial" w:cs="Arial"/>
        </w:rPr>
        <w:t xml:space="preserve">Fees are “expenses” for the purposes of the Act and are part of the “finance amount”, meaning they are ultimately paid by rate payers. </w:t>
      </w:r>
    </w:p>
    <w:p w:rsidR="00C6753E" w:rsidRDefault="00C6753E" w:rsidP="00C6753E">
      <w:pPr>
        <w:spacing w:after="0" w:line="240" w:lineRule="auto"/>
        <w:rPr>
          <w:rFonts w:ascii="Arial" w:hAnsi="Arial" w:cs="Arial"/>
        </w:rPr>
      </w:pPr>
    </w:p>
    <w:p w:rsidR="002E2B4D" w:rsidRDefault="00C06B09" w:rsidP="00C6753E">
      <w:pPr>
        <w:spacing w:after="0" w:line="240" w:lineRule="auto"/>
        <w:rPr>
          <w:rFonts w:ascii="Arial" w:hAnsi="Arial" w:cs="Arial"/>
        </w:rPr>
      </w:pPr>
      <w:r w:rsidRPr="00C6753E">
        <w:rPr>
          <w:rFonts w:ascii="Arial" w:hAnsi="Arial" w:cs="Arial"/>
        </w:rPr>
        <w:t xml:space="preserve">OPG proposes </w:t>
      </w:r>
      <w:r w:rsidR="00044C03" w:rsidRPr="00C6753E">
        <w:rPr>
          <w:rFonts w:ascii="Arial" w:hAnsi="Arial" w:cs="Arial"/>
        </w:rPr>
        <w:t>that the</w:t>
      </w:r>
      <w:r w:rsidRPr="00C6753E">
        <w:rPr>
          <w:rFonts w:ascii="Arial" w:hAnsi="Arial" w:cs="Arial"/>
        </w:rPr>
        <w:t xml:space="preserve"> fixed and variable components </w:t>
      </w:r>
      <w:r w:rsidR="00044C03" w:rsidRPr="00C6753E">
        <w:rPr>
          <w:rFonts w:ascii="Arial" w:hAnsi="Arial" w:cs="Arial"/>
        </w:rPr>
        <w:t xml:space="preserve">be </w:t>
      </w:r>
      <w:r w:rsidRPr="00C6753E">
        <w:rPr>
          <w:rFonts w:ascii="Arial" w:hAnsi="Arial" w:cs="Arial"/>
        </w:rPr>
        <w:t>determined by formula</w:t>
      </w:r>
      <w:r w:rsidR="00E24A69" w:rsidRPr="00C6753E">
        <w:rPr>
          <w:rFonts w:ascii="Arial" w:hAnsi="Arial" w:cs="Arial"/>
        </w:rPr>
        <w:t>s</w:t>
      </w:r>
      <w:r w:rsidRPr="00C6753E">
        <w:rPr>
          <w:rFonts w:ascii="Arial" w:hAnsi="Arial" w:cs="Arial"/>
        </w:rPr>
        <w:t xml:space="preserve"> set out in regulation</w:t>
      </w:r>
      <w:r w:rsidR="002E2B4D">
        <w:rPr>
          <w:rFonts w:ascii="Arial" w:hAnsi="Arial" w:cs="Arial"/>
        </w:rPr>
        <w:t xml:space="preserve"> (Option 3)</w:t>
      </w:r>
      <w:r w:rsidRPr="00C6753E">
        <w:rPr>
          <w:rFonts w:ascii="Arial" w:hAnsi="Arial" w:cs="Arial"/>
        </w:rPr>
        <w:t xml:space="preserve">. </w:t>
      </w:r>
      <w:r w:rsidR="00E24A69" w:rsidRPr="00C6753E">
        <w:rPr>
          <w:rFonts w:ascii="Arial" w:hAnsi="Arial" w:cs="Arial"/>
        </w:rPr>
        <w:t xml:space="preserve">OPG recommends a fixed fee based on market comparators for similar services.  OPG‘s variable fee is based on the difference between forecast and actual interest rates achieved for its </w:t>
      </w:r>
      <w:r w:rsidR="002E2B4D">
        <w:rPr>
          <w:rFonts w:ascii="Arial" w:hAnsi="Arial" w:cs="Arial"/>
        </w:rPr>
        <w:t xml:space="preserve">new </w:t>
      </w:r>
      <w:r w:rsidR="00E24A69" w:rsidRPr="00C6753E">
        <w:rPr>
          <w:rFonts w:ascii="Arial" w:hAnsi="Arial" w:cs="Arial"/>
        </w:rPr>
        <w:t>funding tranches</w:t>
      </w:r>
      <w:r w:rsidR="002E2B4D">
        <w:rPr>
          <w:rFonts w:ascii="Arial" w:hAnsi="Arial" w:cs="Arial"/>
        </w:rPr>
        <w:t xml:space="preserve"> (excluding refinancing)</w:t>
      </w:r>
      <w:r w:rsidR="00E24A69" w:rsidRPr="00C6753E">
        <w:rPr>
          <w:rFonts w:ascii="Arial" w:hAnsi="Arial" w:cs="Arial"/>
        </w:rPr>
        <w:t xml:space="preserve">.  </w:t>
      </w:r>
      <w:r w:rsidR="002E2B4D">
        <w:rPr>
          <w:rFonts w:ascii="Arial" w:hAnsi="Arial" w:cs="Arial"/>
        </w:rPr>
        <w:t xml:space="preserve">The variable component of the fee is estimated to be about $1.2M per year.  </w:t>
      </w:r>
    </w:p>
    <w:p w:rsidR="00C06B09" w:rsidRPr="00C6753E" w:rsidRDefault="00C06B09" w:rsidP="00C6753E">
      <w:pPr>
        <w:spacing w:after="0" w:line="240" w:lineRule="auto"/>
        <w:rPr>
          <w:rFonts w:ascii="Arial" w:hAnsi="Arial" w:cs="Arial"/>
        </w:rPr>
      </w:pPr>
      <w:r w:rsidRPr="00C6753E">
        <w:rPr>
          <w:rFonts w:ascii="Arial" w:hAnsi="Arial" w:cs="Arial"/>
        </w:rPr>
        <w:lastRenderedPageBreak/>
        <w:t xml:space="preserve">OPG prefers that the OEB’s role be limited to verifying OPG’s calculations using the prescribed formulas.  </w:t>
      </w:r>
      <w:r w:rsidR="00FD136A" w:rsidRPr="00C6753E">
        <w:rPr>
          <w:rFonts w:ascii="Arial" w:hAnsi="Arial" w:cs="Arial"/>
        </w:rPr>
        <w:t xml:space="preserve"> </w:t>
      </w:r>
      <w:r w:rsidR="00C46347" w:rsidRPr="00C6753E">
        <w:rPr>
          <w:rFonts w:ascii="Arial" w:hAnsi="Arial" w:cs="Arial"/>
        </w:rPr>
        <w:t>Of particular concern for OPG is the amount of discretion to be accorded the Board through the fee-setting process.</w:t>
      </w:r>
    </w:p>
    <w:p w:rsidR="002E2B4D" w:rsidRDefault="002E2B4D" w:rsidP="00C6753E">
      <w:pPr>
        <w:spacing w:after="0" w:line="240" w:lineRule="auto"/>
        <w:rPr>
          <w:rFonts w:ascii="Arial" w:hAnsi="Arial" w:cs="Arial"/>
        </w:rPr>
      </w:pPr>
    </w:p>
    <w:p w:rsidR="00C6753E" w:rsidRPr="00C6753E" w:rsidRDefault="00616FBA" w:rsidP="00C6753E">
      <w:pPr>
        <w:spacing w:after="0" w:line="240" w:lineRule="auto"/>
        <w:rPr>
          <w:rFonts w:ascii="Arial" w:hAnsi="Arial" w:cs="Arial"/>
        </w:rPr>
      </w:pPr>
      <w:r w:rsidRPr="00C6753E">
        <w:rPr>
          <w:rFonts w:ascii="Arial" w:hAnsi="Arial" w:cs="Arial"/>
        </w:rPr>
        <w:t>The OEB takes the position that if it is to have a role, that role must be meaningful, meaning that the OEB sho</w:t>
      </w:r>
      <w:r w:rsidR="00C06B09" w:rsidRPr="00C6753E">
        <w:rPr>
          <w:rFonts w:ascii="Arial" w:hAnsi="Arial" w:cs="Arial"/>
        </w:rPr>
        <w:t>u</w:t>
      </w:r>
      <w:r w:rsidRPr="00C6753E">
        <w:rPr>
          <w:rFonts w:ascii="Arial" w:hAnsi="Arial" w:cs="Arial"/>
        </w:rPr>
        <w:t xml:space="preserve">ld be positioned to apply judgment and have the ability to make real </w:t>
      </w:r>
      <w:proofErr w:type="gramStart"/>
      <w:r w:rsidRPr="00C6753E">
        <w:rPr>
          <w:rFonts w:ascii="Arial" w:hAnsi="Arial" w:cs="Arial"/>
        </w:rPr>
        <w:t>determinations</w:t>
      </w:r>
      <w:proofErr w:type="gramEnd"/>
      <w:r w:rsidRPr="00C6753E">
        <w:rPr>
          <w:rFonts w:ascii="Arial" w:hAnsi="Arial" w:cs="Arial"/>
        </w:rPr>
        <w:t xml:space="preserve"> regarding</w:t>
      </w:r>
      <w:r w:rsidR="00C06B09" w:rsidRPr="00C6753E">
        <w:rPr>
          <w:rFonts w:ascii="Arial" w:hAnsi="Arial" w:cs="Arial"/>
        </w:rPr>
        <w:t xml:space="preserve"> fees.</w:t>
      </w:r>
      <w:r w:rsidR="00FD136A" w:rsidRPr="00C6753E">
        <w:rPr>
          <w:rFonts w:ascii="Arial" w:hAnsi="Arial" w:cs="Arial"/>
        </w:rPr>
        <w:t xml:space="preserve"> </w:t>
      </w:r>
    </w:p>
    <w:p w:rsidR="00C6753E" w:rsidRDefault="00C6753E" w:rsidP="00C6753E">
      <w:pPr>
        <w:spacing w:after="0" w:line="240" w:lineRule="auto"/>
        <w:rPr>
          <w:rFonts w:ascii="Arial" w:hAnsi="Arial" w:cs="Arial"/>
        </w:rPr>
      </w:pPr>
    </w:p>
    <w:p w:rsidR="00616FBA" w:rsidRDefault="00C06B09" w:rsidP="00C6753E">
      <w:pPr>
        <w:spacing w:after="0" w:line="240" w:lineRule="auto"/>
        <w:rPr>
          <w:rFonts w:ascii="Arial" w:hAnsi="Arial" w:cs="Arial"/>
        </w:rPr>
      </w:pPr>
      <w:r w:rsidRPr="00C6753E">
        <w:rPr>
          <w:rFonts w:ascii="Arial" w:hAnsi="Arial" w:cs="Arial"/>
        </w:rPr>
        <w:t xml:space="preserve">OPG argues that its position is based on </w:t>
      </w:r>
      <w:r w:rsidR="00616FBA" w:rsidRPr="00C6753E">
        <w:rPr>
          <w:rFonts w:ascii="Arial" w:hAnsi="Arial" w:cs="Arial"/>
        </w:rPr>
        <w:t xml:space="preserve">two statements in its February 27, 2017 </w:t>
      </w:r>
      <w:r w:rsidR="0043694C" w:rsidRPr="00C6753E">
        <w:rPr>
          <w:rFonts w:ascii="Arial" w:hAnsi="Arial" w:cs="Arial"/>
        </w:rPr>
        <w:t xml:space="preserve">accounting </w:t>
      </w:r>
      <w:r w:rsidR="00616FBA" w:rsidRPr="00C6753E">
        <w:rPr>
          <w:rFonts w:ascii="Arial" w:hAnsi="Arial" w:cs="Arial"/>
        </w:rPr>
        <w:t xml:space="preserve">“white paper” on its preliminary views </w:t>
      </w:r>
      <w:r w:rsidR="0043694C" w:rsidRPr="00C6753E">
        <w:rPr>
          <w:rFonts w:ascii="Arial" w:hAnsi="Arial" w:cs="Arial"/>
        </w:rPr>
        <w:t>o</w:t>
      </w:r>
      <w:r w:rsidR="00616FBA" w:rsidRPr="00C6753E">
        <w:rPr>
          <w:rFonts w:ascii="Arial" w:hAnsi="Arial" w:cs="Arial"/>
        </w:rPr>
        <w:t xml:space="preserve">n the implementation of Global Adjustment refinancing. </w:t>
      </w:r>
      <w:r w:rsidRPr="00C6753E">
        <w:rPr>
          <w:rFonts w:ascii="Arial" w:hAnsi="Arial" w:cs="Arial"/>
        </w:rPr>
        <w:t xml:space="preserve">  OPG asserts that failure to adopt the model that OPG proposes </w:t>
      </w:r>
      <w:r w:rsidR="0043694C" w:rsidRPr="00C6753E">
        <w:rPr>
          <w:rFonts w:ascii="Arial" w:hAnsi="Arial" w:cs="Arial"/>
        </w:rPr>
        <w:t>will prevent</w:t>
      </w:r>
      <w:r w:rsidRPr="00C6753E">
        <w:rPr>
          <w:rFonts w:ascii="Arial" w:hAnsi="Arial" w:cs="Arial"/>
        </w:rPr>
        <w:t xml:space="preserve"> OPG </w:t>
      </w:r>
      <w:r w:rsidR="0043694C" w:rsidRPr="00C6753E">
        <w:rPr>
          <w:rFonts w:ascii="Arial" w:hAnsi="Arial" w:cs="Arial"/>
        </w:rPr>
        <w:t xml:space="preserve">from </w:t>
      </w:r>
      <w:r w:rsidR="00FD136A" w:rsidRPr="00C6753E">
        <w:rPr>
          <w:rFonts w:ascii="Arial" w:hAnsi="Arial" w:cs="Arial"/>
        </w:rPr>
        <w:t>receiving a favourable accounting opi</w:t>
      </w:r>
      <w:r w:rsidR="00C46347" w:rsidRPr="00C6753E">
        <w:rPr>
          <w:rFonts w:ascii="Arial" w:hAnsi="Arial" w:cs="Arial"/>
        </w:rPr>
        <w:t>ni</w:t>
      </w:r>
      <w:r w:rsidR="00FD136A" w:rsidRPr="00C6753E">
        <w:rPr>
          <w:rFonts w:ascii="Arial" w:hAnsi="Arial" w:cs="Arial"/>
        </w:rPr>
        <w:t xml:space="preserve">on that it has </w:t>
      </w:r>
      <w:r w:rsidR="00C46347" w:rsidRPr="00C6753E">
        <w:rPr>
          <w:rFonts w:ascii="Arial" w:hAnsi="Arial" w:cs="Arial"/>
        </w:rPr>
        <w:t>appropriate</w:t>
      </w:r>
      <w:r w:rsidR="00FD136A" w:rsidRPr="00C6753E">
        <w:rPr>
          <w:rFonts w:ascii="Arial" w:hAnsi="Arial" w:cs="Arial"/>
        </w:rPr>
        <w:t xml:space="preserve">ly consolidated </w:t>
      </w:r>
      <w:r w:rsidRPr="00C6753E">
        <w:rPr>
          <w:rFonts w:ascii="Arial" w:hAnsi="Arial" w:cs="Arial"/>
        </w:rPr>
        <w:t>financing entities.  OPG relies on these statements</w:t>
      </w:r>
      <w:r w:rsidR="0043694C" w:rsidRPr="00C6753E">
        <w:rPr>
          <w:rFonts w:ascii="Arial" w:hAnsi="Arial" w:cs="Arial"/>
        </w:rPr>
        <w:t xml:space="preserve"> from the white paper</w:t>
      </w:r>
      <w:r w:rsidRPr="00C6753E">
        <w:rPr>
          <w:rFonts w:ascii="Arial" w:hAnsi="Arial" w:cs="Arial"/>
        </w:rPr>
        <w:t xml:space="preserve">: </w:t>
      </w:r>
    </w:p>
    <w:p w:rsidR="00C6753E" w:rsidRPr="00C6753E" w:rsidRDefault="00C6753E" w:rsidP="00C6753E">
      <w:pPr>
        <w:spacing w:after="0" w:line="240" w:lineRule="auto"/>
        <w:rPr>
          <w:rFonts w:ascii="Arial" w:hAnsi="Arial" w:cs="Arial"/>
        </w:rPr>
      </w:pPr>
    </w:p>
    <w:p w:rsidR="00616FBA" w:rsidRPr="00C6753E" w:rsidRDefault="00616FBA" w:rsidP="00C6753E">
      <w:pPr>
        <w:pStyle w:val="Default"/>
        <w:ind w:left="720"/>
        <w:rPr>
          <w:rFonts w:ascii="Arial" w:hAnsi="Arial" w:cs="Arial"/>
          <w:sz w:val="22"/>
          <w:szCs w:val="22"/>
        </w:rPr>
      </w:pPr>
      <w:r w:rsidRPr="00C6753E">
        <w:rPr>
          <w:rFonts w:ascii="Arial" w:hAnsi="Arial" w:cs="Arial"/>
          <w:sz w:val="22"/>
          <w:szCs w:val="22"/>
        </w:rPr>
        <w:t xml:space="preserve">4. </w:t>
      </w:r>
      <w:r w:rsidRPr="00C6753E">
        <w:rPr>
          <w:rFonts w:ascii="Arial" w:hAnsi="Arial" w:cs="Arial"/>
          <w:sz w:val="22"/>
          <w:szCs w:val="22"/>
        </w:rPr>
        <w:tab/>
        <w:t xml:space="preserve">Province cannot have the right to be able to veto OPG’s decisions about the relevant activities of the Trust.  OPG must have the power over the relevant activities of the Trust and be compensated.  The relevant activities of the Trust include (but are not limited to) the evaluation and decisions on financing alternatives, duration, and the strategy to minimize financing costs. OPG must have the power to establish operating and capital budgets of the SPV. </w:t>
      </w:r>
    </w:p>
    <w:p w:rsidR="00C06B09" w:rsidRPr="00C6753E" w:rsidRDefault="00C06B09" w:rsidP="00C6753E">
      <w:pPr>
        <w:spacing w:after="0" w:line="240" w:lineRule="auto"/>
        <w:ind w:left="720"/>
        <w:rPr>
          <w:rFonts w:ascii="Arial" w:hAnsi="Arial" w:cs="Arial"/>
        </w:rPr>
      </w:pPr>
    </w:p>
    <w:p w:rsidR="00616FBA" w:rsidRPr="00C6753E" w:rsidRDefault="00616FBA" w:rsidP="00C6753E">
      <w:pPr>
        <w:spacing w:after="0" w:line="240" w:lineRule="auto"/>
        <w:ind w:left="720"/>
        <w:rPr>
          <w:rFonts w:ascii="Arial" w:hAnsi="Arial" w:cs="Arial"/>
        </w:rPr>
      </w:pPr>
      <w:r w:rsidRPr="00C6753E">
        <w:rPr>
          <w:rFonts w:ascii="Arial" w:hAnsi="Arial" w:cs="Arial"/>
        </w:rPr>
        <w:t xml:space="preserve">10. </w:t>
      </w:r>
      <w:r w:rsidRPr="00C6753E">
        <w:rPr>
          <w:rFonts w:ascii="Arial" w:hAnsi="Arial" w:cs="Arial"/>
        </w:rPr>
        <w:tab/>
        <w:t>OPG must have the ability to earn variable returns by exercising its authority, which shall be accomplished as follows:</w:t>
      </w:r>
    </w:p>
    <w:p w:rsidR="00616FBA" w:rsidRPr="00C6753E" w:rsidRDefault="00616FBA" w:rsidP="00C6753E">
      <w:pPr>
        <w:pStyle w:val="ListParagraph"/>
        <w:numPr>
          <w:ilvl w:val="0"/>
          <w:numId w:val="13"/>
        </w:numPr>
        <w:spacing w:after="0" w:line="240" w:lineRule="auto"/>
        <w:ind w:left="1440"/>
        <w:contextualSpacing w:val="0"/>
        <w:rPr>
          <w:rFonts w:ascii="Arial" w:hAnsi="Arial" w:cs="Arial"/>
        </w:rPr>
      </w:pPr>
      <w:r w:rsidRPr="00C6753E">
        <w:rPr>
          <w:rFonts w:ascii="Arial" w:hAnsi="Arial" w:cs="Arial"/>
        </w:rPr>
        <w:t xml:space="preserve">The cash flow from the restructured asset shall include interest determined based on a relevant benchmark that is appropriate relative to the restructured asset, plus an appropriate margin consistent with the relevant market and other risks. </w:t>
      </w:r>
    </w:p>
    <w:p w:rsidR="00616FBA" w:rsidRPr="00C6753E" w:rsidRDefault="00616FBA" w:rsidP="00C6753E">
      <w:pPr>
        <w:spacing w:after="0" w:line="240" w:lineRule="auto"/>
        <w:ind w:left="1440" w:hanging="360"/>
        <w:rPr>
          <w:rFonts w:ascii="Arial" w:hAnsi="Arial" w:cs="Arial"/>
        </w:rPr>
      </w:pPr>
      <w:r w:rsidRPr="00C6753E">
        <w:rPr>
          <w:rFonts w:ascii="Arial" w:hAnsi="Arial" w:cs="Arial"/>
        </w:rPr>
        <w:t xml:space="preserve">b. </w:t>
      </w:r>
      <w:r w:rsidRPr="00C6753E">
        <w:rPr>
          <w:rFonts w:ascii="Arial" w:hAnsi="Arial" w:cs="Arial"/>
        </w:rPr>
        <w:tab/>
        <w:t>OPG shall have the authority to determine the financing strategy, which will vary the financing costs with the objective of enabling the SPV to achieve a more favourable return compared to the return from the restructured asset</w:t>
      </w:r>
    </w:p>
    <w:p w:rsidR="00616FBA" w:rsidRPr="00C6753E" w:rsidRDefault="00616FBA" w:rsidP="00C6753E">
      <w:pPr>
        <w:spacing w:after="0" w:line="240" w:lineRule="auto"/>
        <w:ind w:left="1440" w:hanging="360"/>
        <w:rPr>
          <w:rFonts w:ascii="Arial" w:hAnsi="Arial" w:cs="Arial"/>
        </w:rPr>
      </w:pPr>
      <w:r w:rsidRPr="00C6753E">
        <w:rPr>
          <w:rFonts w:ascii="Arial" w:hAnsi="Arial" w:cs="Arial"/>
        </w:rPr>
        <w:t xml:space="preserve">c. </w:t>
      </w:r>
      <w:r w:rsidRPr="00C6753E">
        <w:rPr>
          <w:rFonts w:ascii="Arial" w:hAnsi="Arial" w:cs="Arial"/>
        </w:rPr>
        <w:tab/>
        <w:t>The SPV shall establish classes of liabilities (senior, subordinated and the most subordinated). The classes would allow the SPV to delineate financing of lower risk investment and investment that would bear higher residual risk. The delineation would limit OPG’s self-funded investment to a reasonable level in order to allow OPG to remain a self-sustaining entity.</w:t>
      </w:r>
    </w:p>
    <w:p w:rsidR="00616FBA" w:rsidRPr="00C6753E" w:rsidRDefault="00616FBA" w:rsidP="00C6753E">
      <w:pPr>
        <w:spacing w:after="0" w:line="240" w:lineRule="auto"/>
        <w:ind w:left="1440" w:hanging="360"/>
        <w:rPr>
          <w:rFonts w:ascii="Arial" w:hAnsi="Arial" w:cs="Arial"/>
        </w:rPr>
      </w:pPr>
      <w:r w:rsidRPr="00C6753E">
        <w:rPr>
          <w:rFonts w:ascii="Arial" w:hAnsi="Arial" w:cs="Arial"/>
        </w:rPr>
        <w:t xml:space="preserve">d. </w:t>
      </w:r>
      <w:r w:rsidRPr="00C6753E">
        <w:rPr>
          <w:rFonts w:ascii="Arial" w:hAnsi="Arial" w:cs="Arial"/>
        </w:rPr>
        <w:tab/>
        <w:t>OPG shall, through its ownership of the most subordinated liability, be able to capture and retain the pricing difference between cost of financing and benchmark for interest on the restructured asset, or any residual risk of restructured asset. The targeted return of the subordinated liability should be reflective of the underlying risks and compensate holders for active management that would be required.</w:t>
      </w:r>
    </w:p>
    <w:p w:rsidR="00616FBA" w:rsidRPr="00C6753E" w:rsidRDefault="00616FBA" w:rsidP="00C6753E">
      <w:pPr>
        <w:spacing w:after="0" w:line="240" w:lineRule="auto"/>
        <w:ind w:left="1440" w:hanging="360"/>
        <w:rPr>
          <w:rFonts w:ascii="Arial" w:hAnsi="Arial" w:cs="Arial"/>
        </w:rPr>
      </w:pPr>
      <w:r w:rsidRPr="00C6753E">
        <w:rPr>
          <w:rFonts w:ascii="Arial" w:hAnsi="Arial" w:cs="Arial"/>
        </w:rPr>
        <w:t xml:space="preserve">e.  </w:t>
      </w:r>
      <w:r w:rsidRPr="00C6753E">
        <w:rPr>
          <w:rFonts w:ascii="Arial" w:hAnsi="Arial" w:cs="Arial"/>
        </w:rPr>
        <w:tab/>
        <w:t>OPG should participate in the detailed design of the above and the SPV documentation to ensure that it has substantive power and variability, which will allow OPG’s Board of Directors to evaluate the opportunity as a business initiative instead of through a shareholder directive.</w:t>
      </w:r>
    </w:p>
    <w:p w:rsidR="00C6753E" w:rsidRDefault="00C6753E" w:rsidP="00C6753E">
      <w:pPr>
        <w:pStyle w:val="NoSpacing"/>
        <w:rPr>
          <w:rFonts w:ascii="Arial" w:hAnsi="Arial" w:cs="Arial"/>
          <w:b/>
        </w:rPr>
      </w:pPr>
    </w:p>
    <w:p w:rsidR="00837EBC" w:rsidRDefault="00837EBC" w:rsidP="00C6753E">
      <w:pPr>
        <w:pStyle w:val="NoSpacing"/>
        <w:rPr>
          <w:rFonts w:ascii="Arial" w:hAnsi="Arial" w:cs="Arial"/>
        </w:rPr>
      </w:pPr>
      <w:r w:rsidRPr="002E2B4D">
        <w:rPr>
          <w:rFonts w:ascii="Arial" w:hAnsi="Arial" w:cs="Arial"/>
        </w:rPr>
        <w:t xml:space="preserve">OFA </w:t>
      </w:r>
      <w:r w:rsidR="002E2B4D">
        <w:rPr>
          <w:rFonts w:ascii="Arial" w:hAnsi="Arial" w:cs="Arial"/>
        </w:rPr>
        <w:t xml:space="preserve">has flagged that OPG is proposing fees on the 44% debt to be issued by OPG to the financing entity/trust to be created by OPG, which is funded by the Province’s equity injection.  OFA is reluctant to sign off on OPG’s fees methodology because there is no capital market decision-making associated with this component of the financing. OFA has asked OPG for more detail about its accounting requirements.    </w:t>
      </w:r>
    </w:p>
    <w:p w:rsidR="002E2B4D" w:rsidRPr="002E2B4D" w:rsidRDefault="002E2B4D" w:rsidP="00C6753E">
      <w:pPr>
        <w:pStyle w:val="NoSpacing"/>
        <w:rPr>
          <w:rFonts w:ascii="Arial" w:hAnsi="Arial" w:cs="Arial"/>
        </w:rPr>
      </w:pPr>
      <w:r>
        <w:rPr>
          <w:rFonts w:ascii="Arial" w:hAnsi="Arial" w:cs="Arial"/>
        </w:rPr>
        <w:lastRenderedPageBreak/>
        <w:t xml:space="preserve">LSB has considered whether the Ontario Nuclear Funds Agreement, the IESO rate order or the Distribution Rate Protection Program offer any useful insight into how to structure the fees arrangement for this program.  LSB will continue to look for precedents. </w:t>
      </w:r>
    </w:p>
    <w:p w:rsidR="00837EBC" w:rsidRDefault="00837EBC" w:rsidP="00C6753E">
      <w:pPr>
        <w:pStyle w:val="NoSpacing"/>
        <w:rPr>
          <w:rFonts w:ascii="Arial" w:hAnsi="Arial" w:cs="Arial"/>
          <w:b/>
        </w:rPr>
      </w:pPr>
    </w:p>
    <w:p w:rsidR="002D089F" w:rsidRPr="00C6753E" w:rsidRDefault="002E2B4D" w:rsidP="00C6753E">
      <w:pPr>
        <w:pStyle w:val="NoSpacing"/>
        <w:rPr>
          <w:rFonts w:ascii="Arial" w:hAnsi="Arial" w:cs="Arial"/>
          <w:b/>
        </w:rPr>
      </w:pPr>
      <w:r>
        <w:rPr>
          <w:rFonts w:ascii="Arial" w:hAnsi="Arial" w:cs="Arial"/>
          <w:b/>
        </w:rPr>
        <w:t xml:space="preserve">OPTIONS - </w:t>
      </w:r>
      <w:r w:rsidR="00C06B09" w:rsidRPr="00C6753E">
        <w:rPr>
          <w:rFonts w:ascii="Arial" w:hAnsi="Arial" w:cs="Arial"/>
          <w:b/>
        </w:rPr>
        <w:t>CONSIDERATIONS</w:t>
      </w:r>
    </w:p>
    <w:p w:rsidR="00DA4128" w:rsidRPr="00C6753E" w:rsidRDefault="00DA4128" w:rsidP="00C6753E">
      <w:pPr>
        <w:pStyle w:val="NoSpacing"/>
        <w:rPr>
          <w:rFonts w:ascii="Arial" w:hAnsi="Arial" w:cs="Arial"/>
          <w:b/>
        </w:rPr>
      </w:pPr>
    </w:p>
    <w:p w:rsidR="00DA4128" w:rsidRPr="00C6753E" w:rsidRDefault="0043694C" w:rsidP="00C6753E">
      <w:pPr>
        <w:pStyle w:val="NoSpacing"/>
        <w:numPr>
          <w:ilvl w:val="0"/>
          <w:numId w:val="16"/>
        </w:numPr>
        <w:rPr>
          <w:rFonts w:ascii="Arial" w:hAnsi="Arial" w:cs="Arial"/>
          <w:b/>
        </w:rPr>
      </w:pPr>
      <w:r w:rsidRPr="00C6753E">
        <w:rPr>
          <w:rFonts w:ascii="Arial" w:hAnsi="Arial" w:cs="Arial"/>
          <w:b/>
        </w:rPr>
        <w:t>FSM</w:t>
      </w:r>
      <w:r w:rsidR="00DA4128" w:rsidRPr="00C6753E">
        <w:rPr>
          <w:rFonts w:ascii="Arial" w:hAnsi="Arial" w:cs="Arial"/>
          <w:b/>
        </w:rPr>
        <w:t xml:space="preserve"> fixed costs are subject to a prudence review by the OEB</w:t>
      </w:r>
      <w:r w:rsidR="00C46347" w:rsidRPr="00C6753E">
        <w:rPr>
          <w:rFonts w:ascii="Arial" w:hAnsi="Arial" w:cs="Arial"/>
          <w:b/>
        </w:rPr>
        <w:t xml:space="preserve"> </w:t>
      </w:r>
      <w:r w:rsidR="00C46347" w:rsidRPr="00C6753E">
        <w:rPr>
          <w:rFonts w:ascii="Arial" w:hAnsi="Arial" w:cs="Arial"/>
        </w:rPr>
        <w:t>(greatest discretion for the OEB)</w:t>
      </w:r>
    </w:p>
    <w:p w:rsidR="00DA4128" w:rsidRPr="00C6753E" w:rsidRDefault="00DA4128" w:rsidP="00C6753E">
      <w:pPr>
        <w:pStyle w:val="NoSpacing"/>
        <w:ind w:left="720"/>
        <w:rPr>
          <w:rFonts w:ascii="Arial" w:hAnsi="Arial" w:cs="Arial"/>
        </w:rPr>
      </w:pPr>
    </w:p>
    <w:p w:rsidR="00EE4043" w:rsidRPr="00C6753E" w:rsidRDefault="00044C03" w:rsidP="00C6753E">
      <w:pPr>
        <w:pStyle w:val="NoSpacing"/>
        <w:numPr>
          <w:ilvl w:val="0"/>
          <w:numId w:val="17"/>
        </w:numPr>
        <w:ind w:left="284" w:hanging="284"/>
        <w:rPr>
          <w:rFonts w:ascii="Arial" w:hAnsi="Arial" w:cs="Arial"/>
        </w:rPr>
      </w:pPr>
      <w:r w:rsidRPr="00C6753E">
        <w:rPr>
          <w:rFonts w:ascii="Arial" w:hAnsi="Arial" w:cs="Arial"/>
        </w:rPr>
        <w:t>The OEB could apply a prudence analysis to the</w:t>
      </w:r>
      <w:r w:rsidR="00E24A69" w:rsidRPr="00C6753E">
        <w:rPr>
          <w:rFonts w:ascii="Arial" w:hAnsi="Arial" w:cs="Arial"/>
        </w:rPr>
        <w:t xml:space="preserve"> actual</w:t>
      </w:r>
      <w:r w:rsidRPr="00C6753E">
        <w:rPr>
          <w:rFonts w:ascii="Arial" w:hAnsi="Arial" w:cs="Arial"/>
        </w:rPr>
        <w:t xml:space="preserve"> costs of services provided by the FSM.  This would entail OEB review of the actual costs incurred by the FSM. OEB would be empowered to </w:t>
      </w:r>
      <w:r w:rsidR="00EE4043" w:rsidRPr="00C6753E">
        <w:rPr>
          <w:rFonts w:ascii="Arial" w:hAnsi="Arial" w:cs="Arial"/>
        </w:rPr>
        <w:t>approve</w:t>
      </w:r>
      <w:r w:rsidRPr="00C6753E">
        <w:rPr>
          <w:rFonts w:ascii="Arial" w:hAnsi="Arial" w:cs="Arial"/>
        </w:rPr>
        <w:t xml:space="preserve"> or deny those costs and provide recommendations about how the FSM performs its role.  </w:t>
      </w:r>
      <w:r w:rsidR="00EE4043" w:rsidRPr="00C6753E">
        <w:rPr>
          <w:rFonts w:ascii="Arial" w:hAnsi="Arial" w:cs="Arial"/>
        </w:rPr>
        <w:t>OPG would be required to justify to the OEB its actual costs</w:t>
      </w:r>
      <w:r w:rsidR="00E24A69" w:rsidRPr="00C6753E">
        <w:rPr>
          <w:rFonts w:ascii="Arial" w:hAnsi="Arial" w:cs="Arial"/>
        </w:rPr>
        <w:t xml:space="preserve"> and</w:t>
      </w:r>
      <w:r w:rsidR="00EE4043" w:rsidRPr="00C6753E">
        <w:rPr>
          <w:rFonts w:ascii="Arial" w:hAnsi="Arial" w:cs="Arial"/>
        </w:rPr>
        <w:t xml:space="preserve"> </w:t>
      </w:r>
      <w:r w:rsidR="00BF24FF">
        <w:rPr>
          <w:rFonts w:ascii="Arial" w:hAnsi="Arial" w:cs="Arial"/>
        </w:rPr>
        <w:t xml:space="preserve">that </w:t>
      </w:r>
      <w:r w:rsidR="00EE4043" w:rsidRPr="00C6753E">
        <w:rPr>
          <w:rFonts w:ascii="Arial" w:hAnsi="Arial" w:cs="Arial"/>
        </w:rPr>
        <w:t xml:space="preserve">any </w:t>
      </w:r>
      <w:proofErr w:type="spellStart"/>
      <w:r w:rsidR="00E24A69" w:rsidRPr="00C6753E">
        <w:rPr>
          <w:rFonts w:ascii="Arial" w:hAnsi="Arial" w:cs="Arial"/>
        </w:rPr>
        <w:t>comparables</w:t>
      </w:r>
      <w:proofErr w:type="spellEnd"/>
      <w:r w:rsidR="00E24A69" w:rsidRPr="00C6753E">
        <w:rPr>
          <w:rFonts w:ascii="Arial" w:hAnsi="Arial" w:cs="Arial"/>
        </w:rPr>
        <w:t xml:space="preserve"> are reasonable. </w:t>
      </w:r>
    </w:p>
    <w:p w:rsidR="00EE4043" w:rsidRPr="00C6753E" w:rsidRDefault="00EE4043" w:rsidP="00C6753E">
      <w:pPr>
        <w:pStyle w:val="NoSpacing"/>
        <w:numPr>
          <w:ilvl w:val="0"/>
          <w:numId w:val="17"/>
        </w:numPr>
        <w:ind w:left="284" w:hanging="284"/>
        <w:rPr>
          <w:rFonts w:ascii="Arial" w:hAnsi="Arial" w:cs="Arial"/>
        </w:rPr>
      </w:pPr>
      <w:r w:rsidRPr="00C6753E">
        <w:rPr>
          <w:rFonts w:ascii="Arial" w:hAnsi="Arial" w:cs="Arial"/>
        </w:rPr>
        <w:t>The OEB could also review inputs to a variable rate</w:t>
      </w:r>
      <w:r w:rsidR="00E24A69" w:rsidRPr="00C6753E">
        <w:rPr>
          <w:rFonts w:ascii="Arial" w:hAnsi="Arial" w:cs="Arial"/>
        </w:rPr>
        <w:t>, such as OPG’s determination of forecast interest rates</w:t>
      </w:r>
      <w:r w:rsidRPr="00C6753E">
        <w:rPr>
          <w:rFonts w:ascii="Arial" w:hAnsi="Arial" w:cs="Arial"/>
        </w:rPr>
        <w:t xml:space="preserve">. </w:t>
      </w:r>
    </w:p>
    <w:p w:rsidR="00E24A69" w:rsidRPr="00C6753E" w:rsidRDefault="00E24A69" w:rsidP="00C6753E">
      <w:pPr>
        <w:pStyle w:val="NoSpacing"/>
        <w:numPr>
          <w:ilvl w:val="0"/>
          <w:numId w:val="17"/>
        </w:numPr>
        <w:ind w:left="284" w:hanging="284"/>
        <w:rPr>
          <w:rFonts w:ascii="Arial" w:hAnsi="Arial" w:cs="Arial"/>
        </w:rPr>
      </w:pPr>
      <w:r w:rsidRPr="00C6753E">
        <w:rPr>
          <w:rFonts w:ascii="Arial" w:hAnsi="Arial" w:cs="Arial"/>
        </w:rPr>
        <w:t xml:space="preserve">This option provides the greatest level of OEB oversight and discretion. </w:t>
      </w:r>
    </w:p>
    <w:p w:rsidR="00C6753E" w:rsidRPr="00C6753E" w:rsidRDefault="00C6753E" w:rsidP="00C6753E">
      <w:pPr>
        <w:pStyle w:val="NoSpacing"/>
        <w:numPr>
          <w:ilvl w:val="0"/>
          <w:numId w:val="17"/>
        </w:numPr>
        <w:ind w:left="284" w:hanging="284"/>
        <w:rPr>
          <w:rFonts w:ascii="Arial" w:hAnsi="Arial" w:cs="Arial"/>
        </w:rPr>
      </w:pPr>
      <w:r w:rsidRPr="00C6753E">
        <w:rPr>
          <w:rFonts w:ascii="Arial" w:hAnsi="Arial" w:cs="Arial"/>
        </w:rPr>
        <w:t xml:space="preserve">This approach also accords most closely with the Board’s general role as an independent quasi-judicial administrative tribunal where the Board exercises a true rate-making or fee-setting function.  </w:t>
      </w:r>
    </w:p>
    <w:p w:rsidR="00E24A69" w:rsidRPr="00C6753E" w:rsidRDefault="00E24A69" w:rsidP="00C6753E">
      <w:pPr>
        <w:pStyle w:val="NoSpacing"/>
        <w:numPr>
          <w:ilvl w:val="0"/>
          <w:numId w:val="17"/>
        </w:numPr>
        <w:ind w:left="284" w:hanging="284"/>
        <w:rPr>
          <w:rFonts w:ascii="Arial" w:hAnsi="Arial" w:cs="Arial"/>
        </w:rPr>
      </w:pPr>
      <w:r w:rsidRPr="00C6753E">
        <w:rPr>
          <w:rFonts w:ascii="Arial" w:hAnsi="Arial" w:cs="Arial"/>
        </w:rPr>
        <w:t xml:space="preserve">A hearing </w:t>
      </w:r>
      <w:r w:rsidR="00702D9B">
        <w:rPr>
          <w:rFonts w:ascii="Arial" w:hAnsi="Arial" w:cs="Arial"/>
        </w:rPr>
        <w:t>would</w:t>
      </w:r>
      <w:r w:rsidRPr="00C6753E">
        <w:rPr>
          <w:rFonts w:ascii="Arial" w:hAnsi="Arial" w:cs="Arial"/>
        </w:rPr>
        <w:t xml:space="preserve"> likely </w:t>
      </w:r>
      <w:r w:rsidR="00702D9B">
        <w:rPr>
          <w:rFonts w:ascii="Arial" w:hAnsi="Arial" w:cs="Arial"/>
        </w:rPr>
        <w:t>be required.  The Ministry</w:t>
      </w:r>
      <w:r w:rsidRPr="00C6753E">
        <w:rPr>
          <w:rFonts w:ascii="Arial" w:hAnsi="Arial" w:cs="Arial"/>
        </w:rPr>
        <w:t xml:space="preserve"> has not canvassed whether the OEB would prefer an oral or written hearing in these circumstances. </w:t>
      </w:r>
    </w:p>
    <w:p w:rsidR="0043694C" w:rsidRDefault="0043694C" w:rsidP="00C6753E">
      <w:pPr>
        <w:pStyle w:val="NoSpacing"/>
        <w:numPr>
          <w:ilvl w:val="0"/>
          <w:numId w:val="17"/>
        </w:numPr>
        <w:ind w:left="284" w:hanging="284"/>
        <w:rPr>
          <w:rFonts w:ascii="Arial" w:hAnsi="Arial" w:cs="Arial"/>
        </w:rPr>
      </w:pPr>
      <w:r w:rsidRPr="00C6753E">
        <w:rPr>
          <w:rFonts w:ascii="Arial" w:hAnsi="Arial" w:cs="Arial"/>
        </w:rPr>
        <w:t>OEB oversight ensures that OPG does not use its regulat</w:t>
      </w:r>
      <w:r w:rsidR="00EE4043" w:rsidRPr="00C6753E">
        <w:rPr>
          <w:rFonts w:ascii="Arial" w:hAnsi="Arial" w:cs="Arial"/>
        </w:rPr>
        <w:t xml:space="preserve">ory </w:t>
      </w:r>
      <w:r w:rsidR="00FD136A" w:rsidRPr="00C6753E">
        <w:rPr>
          <w:rFonts w:ascii="Arial" w:hAnsi="Arial" w:cs="Arial"/>
        </w:rPr>
        <w:t xml:space="preserve">generation </w:t>
      </w:r>
      <w:r w:rsidR="00EE4043" w:rsidRPr="00C6753E">
        <w:rPr>
          <w:rFonts w:ascii="Arial" w:hAnsi="Arial" w:cs="Arial"/>
        </w:rPr>
        <w:t xml:space="preserve">business to cross-subsidize its work as FSM, which is not regulated. </w:t>
      </w:r>
    </w:p>
    <w:p w:rsidR="00C6753E" w:rsidRPr="00C6753E" w:rsidRDefault="00C6753E" w:rsidP="00C6753E">
      <w:pPr>
        <w:pStyle w:val="NoSpacing"/>
        <w:numPr>
          <w:ilvl w:val="0"/>
          <w:numId w:val="17"/>
        </w:numPr>
        <w:ind w:left="284" w:hanging="284"/>
        <w:rPr>
          <w:rFonts w:ascii="Arial" w:hAnsi="Arial" w:cs="Arial"/>
        </w:rPr>
      </w:pPr>
      <w:r>
        <w:rPr>
          <w:rFonts w:ascii="Arial" w:hAnsi="Arial" w:cs="Arial"/>
        </w:rPr>
        <w:t>It is not clear that this role for the OEB undermines OPG’s power over the relevant activities of the financing entity or its ability to establish capital and operating budgets.</w:t>
      </w:r>
    </w:p>
    <w:p w:rsidR="0043694C" w:rsidRPr="00C6753E" w:rsidRDefault="0043694C" w:rsidP="00C6753E">
      <w:pPr>
        <w:pStyle w:val="NoSpacing"/>
        <w:ind w:left="720"/>
        <w:rPr>
          <w:rFonts w:ascii="Arial" w:hAnsi="Arial" w:cs="Arial"/>
        </w:rPr>
      </w:pPr>
    </w:p>
    <w:p w:rsidR="00DA4128" w:rsidRPr="00C6753E" w:rsidRDefault="00DA4128" w:rsidP="00C6753E">
      <w:pPr>
        <w:pStyle w:val="NoSpacing"/>
        <w:numPr>
          <w:ilvl w:val="0"/>
          <w:numId w:val="16"/>
        </w:numPr>
        <w:rPr>
          <w:rFonts w:ascii="Arial" w:hAnsi="Arial" w:cs="Arial"/>
          <w:b/>
        </w:rPr>
      </w:pPr>
      <w:r w:rsidRPr="00C6753E">
        <w:rPr>
          <w:rFonts w:ascii="Arial" w:hAnsi="Arial" w:cs="Arial"/>
          <w:b/>
        </w:rPr>
        <w:t>Fees are determined in accordance with formulas set out in the regulation; OEB has discretion to determine comparators and benchmarks as inputs to the formulas.</w:t>
      </w:r>
      <w:r w:rsidR="00C6753E" w:rsidRPr="00C6753E">
        <w:rPr>
          <w:rFonts w:ascii="Arial" w:hAnsi="Arial" w:cs="Arial"/>
          <w:b/>
        </w:rPr>
        <w:t xml:space="preserve"> </w:t>
      </w:r>
      <w:r w:rsidR="00C6753E" w:rsidRPr="00C6753E">
        <w:rPr>
          <w:rFonts w:ascii="Arial" w:hAnsi="Arial" w:cs="Arial"/>
        </w:rPr>
        <w:t>(limited discretion for the OEB)</w:t>
      </w:r>
    </w:p>
    <w:p w:rsidR="00044C03" w:rsidRPr="00C6753E" w:rsidRDefault="00044C03" w:rsidP="00C6753E">
      <w:pPr>
        <w:pStyle w:val="NoSpacing"/>
        <w:ind w:left="720"/>
        <w:rPr>
          <w:rFonts w:ascii="Arial" w:hAnsi="Arial" w:cs="Arial"/>
        </w:rPr>
      </w:pPr>
    </w:p>
    <w:p w:rsidR="00E24A69" w:rsidRPr="00C6753E" w:rsidRDefault="00E24A69" w:rsidP="00C6753E">
      <w:pPr>
        <w:pStyle w:val="NoSpacing"/>
        <w:numPr>
          <w:ilvl w:val="0"/>
          <w:numId w:val="19"/>
        </w:numPr>
        <w:ind w:left="284" w:hanging="284"/>
        <w:rPr>
          <w:rFonts w:ascii="Arial" w:hAnsi="Arial" w:cs="Arial"/>
        </w:rPr>
      </w:pPr>
      <w:r w:rsidRPr="00C6753E">
        <w:rPr>
          <w:rFonts w:ascii="Arial" w:hAnsi="Arial" w:cs="Arial"/>
        </w:rPr>
        <w:t xml:space="preserve">This option is an attempt to find a middle ground to OPG’s position. </w:t>
      </w:r>
    </w:p>
    <w:p w:rsidR="00044C03" w:rsidRPr="00C6753E" w:rsidRDefault="00EE4043" w:rsidP="00C6753E">
      <w:pPr>
        <w:pStyle w:val="NoSpacing"/>
        <w:numPr>
          <w:ilvl w:val="0"/>
          <w:numId w:val="19"/>
        </w:numPr>
        <w:ind w:left="284" w:hanging="284"/>
        <w:rPr>
          <w:rFonts w:ascii="Arial" w:hAnsi="Arial" w:cs="Arial"/>
        </w:rPr>
      </w:pPr>
      <w:r w:rsidRPr="00C6753E">
        <w:rPr>
          <w:rFonts w:ascii="Arial" w:hAnsi="Arial" w:cs="Arial"/>
        </w:rPr>
        <w:t xml:space="preserve">OPG’s proposal would have OPG determine its fixed rate based on “market comparable fees determined by the FSM”.  </w:t>
      </w:r>
      <w:r w:rsidR="00702D9B">
        <w:rPr>
          <w:rFonts w:ascii="Arial" w:hAnsi="Arial" w:cs="Arial"/>
        </w:rPr>
        <w:t>OPG would also have t</w:t>
      </w:r>
      <w:r w:rsidRPr="00C6753E">
        <w:rPr>
          <w:rFonts w:ascii="Arial" w:hAnsi="Arial" w:cs="Arial"/>
        </w:rPr>
        <w:t xml:space="preserve">he variable fee based on forecast interest rates for the following year, also determined by the FSM.  </w:t>
      </w:r>
    </w:p>
    <w:p w:rsidR="00EE4043" w:rsidRPr="00C6753E" w:rsidRDefault="00EE4043" w:rsidP="00C6753E">
      <w:pPr>
        <w:pStyle w:val="NoSpacing"/>
        <w:numPr>
          <w:ilvl w:val="0"/>
          <w:numId w:val="19"/>
        </w:numPr>
        <w:ind w:left="284" w:hanging="284"/>
        <w:rPr>
          <w:rFonts w:ascii="Arial" w:hAnsi="Arial" w:cs="Arial"/>
        </w:rPr>
      </w:pPr>
      <w:r w:rsidRPr="00C6753E">
        <w:rPr>
          <w:rFonts w:ascii="Arial" w:hAnsi="Arial" w:cs="Arial"/>
        </w:rPr>
        <w:t xml:space="preserve">This option could replace the discretion of the FSM to determine comparable and forecast interests with the discretion of the OEB. </w:t>
      </w:r>
    </w:p>
    <w:p w:rsidR="00E24A69" w:rsidRPr="00C6753E" w:rsidRDefault="00E24A69" w:rsidP="00C6753E">
      <w:pPr>
        <w:pStyle w:val="NoSpacing"/>
        <w:numPr>
          <w:ilvl w:val="0"/>
          <w:numId w:val="19"/>
        </w:numPr>
        <w:ind w:left="284" w:hanging="284"/>
        <w:rPr>
          <w:rFonts w:ascii="Arial" w:hAnsi="Arial" w:cs="Arial"/>
        </w:rPr>
      </w:pPr>
      <w:r w:rsidRPr="00C6753E">
        <w:rPr>
          <w:rFonts w:ascii="Arial" w:hAnsi="Arial" w:cs="Arial"/>
        </w:rPr>
        <w:t>In reviewing the fixed fee, the OEB would have broad discretion to review the services provided by the FSM and the comparators that OPG has selected.  These inputs would impact</w:t>
      </w:r>
      <w:r w:rsidR="00FD136A" w:rsidRPr="00C6753E">
        <w:rPr>
          <w:rFonts w:ascii="Arial" w:hAnsi="Arial" w:cs="Arial"/>
        </w:rPr>
        <w:t xml:space="preserve"> only</w:t>
      </w:r>
      <w:r w:rsidR="00BF24FF">
        <w:rPr>
          <w:rFonts w:ascii="Arial" w:hAnsi="Arial" w:cs="Arial"/>
        </w:rPr>
        <w:t xml:space="preserve"> one part</w:t>
      </w:r>
      <w:r w:rsidR="00702D9B" w:rsidRPr="00C6753E">
        <w:rPr>
          <w:rFonts w:ascii="Arial" w:hAnsi="Arial" w:cs="Arial"/>
        </w:rPr>
        <w:t xml:space="preserve">, albeit a significant part, </w:t>
      </w:r>
      <w:r w:rsidRPr="00C6753E">
        <w:rPr>
          <w:rFonts w:ascii="Arial" w:hAnsi="Arial" w:cs="Arial"/>
        </w:rPr>
        <w:t xml:space="preserve">of </w:t>
      </w:r>
      <w:r w:rsidR="00FC3EDF" w:rsidRPr="00C6753E">
        <w:rPr>
          <w:rFonts w:ascii="Arial" w:hAnsi="Arial" w:cs="Arial"/>
        </w:rPr>
        <w:t>the formula</w:t>
      </w:r>
      <w:r w:rsidR="00702D9B">
        <w:rPr>
          <w:rFonts w:ascii="Arial" w:hAnsi="Arial" w:cs="Arial"/>
        </w:rPr>
        <w:t xml:space="preserve"> </w:t>
      </w:r>
      <w:r w:rsidR="00FC3EDF" w:rsidRPr="00C6753E">
        <w:rPr>
          <w:rFonts w:ascii="Arial" w:hAnsi="Arial" w:cs="Arial"/>
        </w:rPr>
        <w:t>proposed by OPG.</w:t>
      </w:r>
    </w:p>
    <w:p w:rsidR="00FC3EDF" w:rsidRPr="00C6753E" w:rsidRDefault="00FC3EDF" w:rsidP="00C6753E">
      <w:pPr>
        <w:pStyle w:val="NoSpacing"/>
        <w:numPr>
          <w:ilvl w:val="0"/>
          <w:numId w:val="19"/>
        </w:numPr>
        <w:ind w:left="284" w:hanging="284"/>
        <w:rPr>
          <w:rFonts w:ascii="Arial" w:hAnsi="Arial" w:cs="Arial"/>
        </w:rPr>
      </w:pPr>
      <w:r w:rsidRPr="00C6753E">
        <w:rPr>
          <w:rFonts w:ascii="Arial" w:hAnsi="Arial" w:cs="Arial"/>
        </w:rPr>
        <w:t xml:space="preserve">In reviewing the variable fee, the OEB would examine the forecast interest rate proposed by the FSM and would determine whether the actual interest rate and the principle amounts of funding obligations as determined by the FSM are correct. </w:t>
      </w:r>
    </w:p>
    <w:p w:rsidR="0043694C" w:rsidRPr="00C6753E" w:rsidRDefault="0043694C" w:rsidP="00C6753E">
      <w:pPr>
        <w:pStyle w:val="NoSpacing"/>
        <w:rPr>
          <w:rFonts w:ascii="Arial" w:hAnsi="Arial" w:cs="Arial"/>
        </w:rPr>
      </w:pPr>
    </w:p>
    <w:p w:rsidR="00DA4128" w:rsidRPr="00C6753E" w:rsidRDefault="00DA4128" w:rsidP="00C6753E">
      <w:pPr>
        <w:pStyle w:val="NoSpacing"/>
        <w:numPr>
          <w:ilvl w:val="0"/>
          <w:numId w:val="16"/>
        </w:numPr>
        <w:rPr>
          <w:rFonts w:ascii="Arial" w:hAnsi="Arial" w:cs="Arial"/>
          <w:b/>
        </w:rPr>
      </w:pPr>
      <w:r w:rsidRPr="00C6753E">
        <w:rPr>
          <w:rFonts w:ascii="Arial" w:hAnsi="Arial" w:cs="Arial"/>
          <w:b/>
        </w:rPr>
        <w:t>Fees are set by formula set out in the regulation and OEB verifies FSM calculation of fees in accordance with the formulas.</w:t>
      </w:r>
      <w:r w:rsidR="00C6753E" w:rsidRPr="00C6753E">
        <w:rPr>
          <w:rFonts w:ascii="Arial" w:hAnsi="Arial" w:cs="Arial"/>
          <w:b/>
        </w:rPr>
        <w:t xml:space="preserve"> </w:t>
      </w:r>
      <w:r w:rsidR="00C6753E" w:rsidRPr="00C6753E">
        <w:rPr>
          <w:rFonts w:ascii="Arial" w:hAnsi="Arial" w:cs="Arial"/>
        </w:rPr>
        <w:t>(no discretion for the OEB)</w:t>
      </w:r>
    </w:p>
    <w:p w:rsidR="00EE4043" w:rsidRPr="00C6753E" w:rsidRDefault="00EE4043" w:rsidP="00C6753E">
      <w:pPr>
        <w:pStyle w:val="NoSpacing"/>
        <w:ind w:left="720"/>
        <w:rPr>
          <w:rFonts w:ascii="Arial" w:hAnsi="Arial" w:cs="Arial"/>
        </w:rPr>
      </w:pPr>
    </w:p>
    <w:p w:rsidR="00E76412" w:rsidRPr="00C6753E" w:rsidRDefault="00EE4043" w:rsidP="00C6753E">
      <w:pPr>
        <w:pStyle w:val="NoSpacing"/>
        <w:numPr>
          <w:ilvl w:val="0"/>
          <w:numId w:val="19"/>
        </w:numPr>
        <w:ind w:left="284" w:hanging="284"/>
        <w:rPr>
          <w:rFonts w:ascii="Arial" w:hAnsi="Arial" w:cs="Arial"/>
        </w:rPr>
      </w:pPr>
      <w:r w:rsidRPr="00C6753E">
        <w:rPr>
          <w:rFonts w:ascii="Arial" w:hAnsi="Arial" w:cs="Arial"/>
        </w:rPr>
        <w:t xml:space="preserve">With this option, the regulatory framework constrains OPG’s ability to impose fees.  </w:t>
      </w:r>
    </w:p>
    <w:p w:rsidR="00C6753E" w:rsidRPr="00C6753E" w:rsidRDefault="00FC3EDF" w:rsidP="00C6753E">
      <w:pPr>
        <w:pStyle w:val="NoSpacing"/>
        <w:numPr>
          <w:ilvl w:val="0"/>
          <w:numId w:val="19"/>
        </w:numPr>
        <w:ind w:left="284" w:hanging="284"/>
        <w:rPr>
          <w:rFonts w:ascii="Arial" w:hAnsi="Arial" w:cs="Arial"/>
        </w:rPr>
      </w:pPr>
      <w:r w:rsidRPr="00C6753E">
        <w:rPr>
          <w:rFonts w:ascii="Arial" w:hAnsi="Arial" w:cs="Arial"/>
        </w:rPr>
        <w:t>T</w:t>
      </w:r>
      <w:r w:rsidR="00EE4043" w:rsidRPr="00C6753E">
        <w:rPr>
          <w:rFonts w:ascii="Arial" w:hAnsi="Arial" w:cs="Arial"/>
        </w:rPr>
        <w:t xml:space="preserve">he OEB role </w:t>
      </w:r>
      <w:r w:rsidRPr="00C6753E">
        <w:rPr>
          <w:rFonts w:ascii="Arial" w:hAnsi="Arial" w:cs="Arial"/>
        </w:rPr>
        <w:t>would</w:t>
      </w:r>
      <w:r w:rsidR="00FD136A" w:rsidRPr="00C6753E">
        <w:rPr>
          <w:rFonts w:ascii="Arial" w:hAnsi="Arial" w:cs="Arial"/>
        </w:rPr>
        <w:t xml:space="preserve"> be</w:t>
      </w:r>
      <w:r w:rsidR="00EE4043" w:rsidRPr="00C6753E">
        <w:rPr>
          <w:rFonts w:ascii="Arial" w:hAnsi="Arial" w:cs="Arial"/>
        </w:rPr>
        <w:t xml:space="preserve"> minimized to confirming OPG’s calculations. </w:t>
      </w:r>
    </w:p>
    <w:p w:rsidR="00EE4043" w:rsidRPr="00C6753E" w:rsidRDefault="00C6753E" w:rsidP="00C6753E">
      <w:pPr>
        <w:pStyle w:val="NoSpacing"/>
        <w:numPr>
          <w:ilvl w:val="0"/>
          <w:numId w:val="19"/>
        </w:numPr>
        <w:ind w:left="284" w:hanging="284"/>
        <w:rPr>
          <w:rFonts w:ascii="Arial" w:hAnsi="Arial" w:cs="Arial"/>
        </w:rPr>
      </w:pPr>
      <w:r w:rsidRPr="00C6753E">
        <w:rPr>
          <w:rFonts w:ascii="Arial" w:hAnsi="Arial" w:cs="Arial"/>
        </w:rPr>
        <w:lastRenderedPageBreak/>
        <w:t>The OEB may take the view that the limited nature of its review would not benefit from a full and transparent hearing process.</w:t>
      </w:r>
    </w:p>
    <w:p w:rsidR="00DA4128" w:rsidRPr="00C6753E" w:rsidRDefault="00C6753E" w:rsidP="00C6753E">
      <w:pPr>
        <w:pStyle w:val="NoSpacing"/>
        <w:numPr>
          <w:ilvl w:val="0"/>
          <w:numId w:val="19"/>
        </w:numPr>
        <w:ind w:left="284" w:hanging="284"/>
        <w:rPr>
          <w:rFonts w:ascii="Arial" w:hAnsi="Arial" w:cs="Arial"/>
        </w:rPr>
      </w:pPr>
      <w:r w:rsidRPr="00C6753E">
        <w:rPr>
          <w:rFonts w:ascii="Arial" w:hAnsi="Arial" w:cs="Arial"/>
        </w:rPr>
        <w:t xml:space="preserve">OPG argues that this approach is critical to achieve its accounting requirements. </w:t>
      </w:r>
    </w:p>
    <w:p w:rsidR="00DA4128" w:rsidRPr="00C6753E" w:rsidRDefault="00DA4128" w:rsidP="00C6753E">
      <w:pPr>
        <w:spacing w:after="0" w:line="240" w:lineRule="auto"/>
        <w:rPr>
          <w:rFonts w:ascii="Arial" w:hAnsi="Arial" w:cs="Arial"/>
        </w:rPr>
      </w:pPr>
    </w:p>
    <w:p w:rsidR="00967550" w:rsidRPr="00C6753E" w:rsidRDefault="0043694C" w:rsidP="00C6753E">
      <w:pPr>
        <w:spacing w:after="0" w:line="240" w:lineRule="auto"/>
        <w:rPr>
          <w:rFonts w:ascii="Arial" w:eastAsia="Times New Roman" w:hAnsi="Arial" w:cs="Arial"/>
          <w:b/>
        </w:rPr>
      </w:pPr>
      <w:r w:rsidRPr="00C6753E">
        <w:rPr>
          <w:rFonts w:ascii="Arial" w:eastAsia="Times New Roman" w:hAnsi="Arial" w:cs="Arial"/>
          <w:b/>
        </w:rPr>
        <w:t>NEXT STEPS</w:t>
      </w:r>
    </w:p>
    <w:p w:rsidR="00967550" w:rsidRPr="00C6753E" w:rsidRDefault="00967550" w:rsidP="00C6753E">
      <w:pPr>
        <w:spacing w:after="0" w:line="240" w:lineRule="auto"/>
        <w:rPr>
          <w:rFonts w:ascii="Arial" w:eastAsia="Times New Roman" w:hAnsi="Arial" w:cs="Arial"/>
          <w:b/>
        </w:rPr>
      </w:pPr>
    </w:p>
    <w:p w:rsidR="002E2B4D" w:rsidRDefault="0043694C" w:rsidP="00C6753E">
      <w:pPr>
        <w:pStyle w:val="NoSpacing"/>
        <w:rPr>
          <w:rFonts w:ascii="Arial" w:hAnsi="Arial" w:cs="Arial"/>
        </w:rPr>
      </w:pPr>
      <w:proofErr w:type="gramStart"/>
      <w:r w:rsidRPr="00C6753E">
        <w:rPr>
          <w:rFonts w:ascii="Arial" w:hAnsi="Arial" w:cs="Arial"/>
        </w:rPr>
        <w:t xml:space="preserve">Ministry to meet with OPG to </w:t>
      </w:r>
      <w:r w:rsidR="00FC3EDF" w:rsidRPr="00C6753E">
        <w:rPr>
          <w:rFonts w:ascii="Arial" w:hAnsi="Arial" w:cs="Arial"/>
        </w:rPr>
        <w:t>discuss options.</w:t>
      </w:r>
      <w:proofErr w:type="gramEnd"/>
      <w:r w:rsidR="00FC3EDF" w:rsidRPr="00C6753E">
        <w:rPr>
          <w:rFonts w:ascii="Arial" w:hAnsi="Arial" w:cs="Arial"/>
        </w:rPr>
        <w:t xml:space="preserve"> OPCD should be included. </w:t>
      </w:r>
    </w:p>
    <w:p w:rsidR="002E2B4D" w:rsidRDefault="002E2B4D" w:rsidP="00C6753E">
      <w:pPr>
        <w:pStyle w:val="NoSpacing"/>
        <w:rPr>
          <w:rFonts w:ascii="Arial" w:hAnsi="Arial" w:cs="Arial"/>
        </w:rPr>
      </w:pPr>
    </w:p>
    <w:p w:rsidR="005501C4" w:rsidRPr="00C6753E" w:rsidRDefault="002E2B4D" w:rsidP="00C6753E">
      <w:pPr>
        <w:pStyle w:val="NoSpacing"/>
        <w:rPr>
          <w:rFonts w:ascii="Arial" w:hAnsi="Arial" w:cs="Arial"/>
        </w:rPr>
      </w:pPr>
      <w:r>
        <w:rPr>
          <w:rFonts w:ascii="Arial" w:hAnsi="Arial" w:cs="Arial"/>
        </w:rPr>
        <w:t xml:space="preserve">LSB will continue to look for </w:t>
      </w:r>
      <w:r w:rsidR="00DD4849" w:rsidRPr="00C6753E">
        <w:rPr>
          <w:rFonts w:ascii="Arial" w:hAnsi="Arial" w:cs="Arial"/>
        </w:rPr>
        <w:t xml:space="preserve">   </w:t>
      </w:r>
      <w:bookmarkStart w:id="0" w:name="_GoBack"/>
      <w:bookmarkEnd w:id="0"/>
    </w:p>
    <w:p w:rsidR="00FB1577" w:rsidRPr="00C6753E" w:rsidRDefault="00FB1577" w:rsidP="00C6753E">
      <w:pPr>
        <w:pStyle w:val="NoSpacing"/>
        <w:rPr>
          <w:rFonts w:ascii="Arial" w:hAnsi="Arial" w:cs="Arial"/>
          <w:b/>
        </w:rPr>
      </w:pPr>
    </w:p>
    <w:p w:rsidR="00E76412" w:rsidRPr="00C6753E" w:rsidRDefault="00E76412" w:rsidP="00C6753E">
      <w:pPr>
        <w:pStyle w:val="NoSpacing"/>
        <w:rPr>
          <w:rFonts w:ascii="Arial" w:hAnsi="Arial" w:cs="Arial"/>
          <w:b/>
        </w:rPr>
      </w:pPr>
    </w:p>
    <w:p w:rsidR="00F74919" w:rsidRPr="00C6753E" w:rsidRDefault="009669DF" w:rsidP="00C6753E">
      <w:pPr>
        <w:spacing w:after="0" w:line="240" w:lineRule="auto"/>
        <w:rPr>
          <w:rFonts w:ascii="Arial" w:eastAsia="Times New Roman" w:hAnsi="Arial" w:cs="Arial"/>
        </w:rPr>
      </w:pPr>
      <w:r w:rsidRPr="00C6753E">
        <w:rPr>
          <w:rFonts w:ascii="Arial" w:eastAsia="Times New Roman" w:hAnsi="Arial" w:cs="Arial"/>
        </w:rPr>
        <w:t xml:space="preserve">Date: </w:t>
      </w:r>
      <w:r w:rsidRPr="00C6753E">
        <w:rPr>
          <w:rFonts w:ascii="Arial" w:eastAsia="Times New Roman" w:hAnsi="Arial" w:cs="Arial"/>
        </w:rPr>
        <w:tab/>
      </w:r>
      <w:r w:rsidRPr="00C6753E">
        <w:rPr>
          <w:rFonts w:ascii="Arial" w:eastAsia="Times New Roman" w:hAnsi="Arial" w:cs="Arial"/>
        </w:rPr>
        <w:tab/>
      </w:r>
      <w:r w:rsidR="00BF24FF">
        <w:rPr>
          <w:rFonts w:ascii="Arial" w:eastAsia="Times New Roman" w:hAnsi="Arial" w:cs="Arial"/>
        </w:rPr>
        <w:t>July 6</w:t>
      </w:r>
      <w:r w:rsidR="00FC3EDF" w:rsidRPr="00C6753E">
        <w:rPr>
          <w:rFonts w:ascii="Arial" w:eastAsia="Times New Roman" w:hAnsi="Arial" w:cs="Arial"/>
        </w:rPr>
        <w:t>, 2017</w:t>
      </w:r>
    </w:p>
    <w:p w:rsidR="00F74919" w:rsidRPr="00C6753E" w:rsidRDefault="00F74919" w:rsidP="00C6753E">
      <w:pPr>
        <w:spacing w:after="0" w:line="240" w:lineRule="auto"/>
        <w:rPr>
          <w:rFonts w:ascii="Arial" w:eastAsia="Times New Roman" w:hAnsi="Arial" w:cs="Arial"/>
        </w:rPr>
      </w:pPr>
    </w:p>
    <w:p w:rsidR="009669DF" w:rsidRPr="00C6753E" w:rsidRDefault="009669DF" w:rsidP="00C6753E">
      <w:pPr>
        <w:spacing w:after="0" w:line="240" w:lineRule="auto"/>
        <w:rPr>
          <w:rFonts w:ascii="Arial" w:eastAsia="Times New Roman" w:hAnsi="Arial" w:cs="Arial"/>
        </w:rPr>
      </w:pPr>
      <w:r w:rsidRPr="00C6753E">
        <w:rPr>
          <w:rFonts w:ascii="Arial" w:eastAsia="Times New Roman" w:hAnsi="Arial" w:cs="Arial"/>
        </w:rPr>
        <w:t xml:space="preserve">Prepared by: </w:t>
      </w:r>
      <w:r w:rsidRPr="00C6753E">
        <w:rPr>
          <w:rFonts w:ascii="Arial" w:eastAsia="Times New Roman" w:hAnsi="Arial" w:cs="Arial"/>
        </w:rPr>
        <w:tab/>
      </w:r>
      <w:r w:rsidR="00FC3EDF" w:rsidRPr="00C6753E">
        <w:rPr>
          <w:rFonts w:ascii="Arial" w:eastAsia="Times New Roman" w:hAnsi="Arial" w:cs="Arial"/>
        </w:rPr>
        <w:t>Legal Service Branch</w:t>
      </w:r>
      <w:r w:rsidR="00FC3EDF" w:rsidRPr="00C6753E">
        <w:rPr>
          <w:rFonts w:ascii="Arial" w:eastAsia="Times New Roman" w:hAnsi="Arial" w:cs="Arial"/>
        </w:rPr>
        <w:tab/>
      </w:r>
    </w:p>
    <w:p w:rsidR="005D5273" w:rsidRPr="00C6753E" w:rsidRDefault="005D5273" w:rsidP="00C6753E">
      <w:pPr>
        <w:spacing w:after="0" w:line="240" w:lineRule="auto"/>
        <w:rPr>
          <w:rFonts w:ascii="Arial" w:eastAsia="Times New Roman" w:hAnsi="Arial" w:cs="Arial"/>
        </w:rPr>
      </w:pPr>
    </w:p>
    <w:p w:rsidR="005D5273" w:rsidRPr="00C6753E" w:rsidRDefault="005D5273" w:rsidP="00C6753E">
      <w:pPr>
        <w:spacing w:after="0" w:line="240" w:lineRule="auto"/>
        <w:rPr>
          <w:rFonts w:ascii="Arial" w:eastAsia="Times New Roman" w:hAnsi="Arial" w:cs="Arial"/>
        </w:rPr>
      </w:pPr>
      <w:r w:rsidRPr="00C6753E">
        <w:rPr>
          <w:rFonts w:ascii="Arial" w:eastAsia="Times New Roman" w:hAnsi="Arial" w:cs="Arial"/>
        </w:rPr>
        <w:t xml:space="preserve">Reviewed by: </w:t>
      </w:r>
      <w:r w:rsidRPr="00C6753E">
        <w:rPr>
          <w:rFonts w:ascii="Arial" w:eastAsia="Times New Roman" w:hAnsi="Arial" w:cs="Arial"/>
        </w:rPr>
        <w:tab/>
      </w:r>
      <w:r w:rsidR="00FC3EDF" w:rsidRPr="00C6753E">
        <w:rPr>
          <w:rFonts w:ascii="Arial" w:eastAsia="Times New Roman" w:hAnsi="Arial" w:cs="Arial"/>
        </w:rPr>
        <w:t>Energy Supply Policy</w:t>
      </w:r>
    </w:p>
    <w:p w:rsidR="005D5273" w:rsidRPr="00C6753E" w:rsidRDefault="00C6753E" w:rsidP="00C6753E">
      <w:pPr>
        <w:spacing w:after="0" w:line="240" w:lineRule="auto"/>
        <w:rPr>
          <w:rFonts w:ascii="Arial" w:eastAsia="Times New Roman" w:hAnsi="Arial" w:cs="Arial"/>
        </w:rPr>
      </w:pPr>
      <w:r>
        <w:rPr>
          <w:rFonts w:ascii="Arial" w:eastAsia="Times New Roman" w:hAnsi="Arial" w:cs="Arial"/>
        </w:rPr>
        <w:tab/>
      </w:r>
      <w:r>
        <w:rPr>
          <w:rFonts w:ascii="Arial" w:eastAsia="Times New Roman" w:hAnsi="Arial" w:cs="Arial"/>
        </w:rPr>
        <w:tab/>
      </w:r>
      <w:r w:rsidR="00FC3EDF" w:rsidRPr="00C6753E">
        <w:rPr>
          <w:rFonts w:ascii="Arial" w:eastAsia="Times New Roman" w:hAnsi="Arial" w:cs="Arial"/>
        </w:rPr>
        <w:t>I</w:t>
      </w:r>
      <w:r>
        <w:rPr>
          <w:rFonts w:ascii="Arial" w:eastAsia="Times New Roman" w:hAnsi="Arial" w:cs="Arial"/>
        </w:rPr>
        <w:t>nvestment Governance Secretaria</w:t>
      </w:r>
      <w:r w:rsidR="00BF24FF">
        <w:rPr>
          <w:rFonts w:ascii="Arial" w:eastAsia="Times New Roman" w:hAnsi="Arial" w:cs="Arial"/>
        </w:rPr>
        <w:t>t</w:t>
      </w:r>
    </w:p>
    <w:p w:rsidR="005D5273" w:rsidRPr="00C6753E" w:rsidRDefault="005D5273" w:rsidP="00C6753E">
      <w:pPr>
        <w:spacing w:after="0" w:line="240" w:lineRule="auto"/>
        <w:rPr>
          <w:rFonts w:ascii="Arial" w:eastAsia="Times New Roman" w:hAnsi="Arial" w:cs="Arial"/>
        </w:rPr>
      </w:pPr>
    </w:p>
    <w:p w:rsidR="005D5273" w:rsidRPr="00C6753E" w:rsidRDefault="005D5273" w:rsidP="00C6753E">
      <w:pPr>
        <w:spacing w:after="0" w:line="240" w:lineRule="auto"/>
        <w:rPr>
          <w:rFonts w:ascii="Arial" w:eastAsia="Times New Roman" w:hAnsi="Arial" w:cs="Arial"/>
        </w:rPr>
      </w:pPr>
    </w:p>
    <w:p w:rsidR="005D5273" w:rsidRPr="00C6753E" w:rsidRDefault="005D5273" w:rsidP="00C6753E">
      <w:pPr>
        <w:spacing w:after="0" w:line="240" w:lineRule="auto"/>
        <w:rPr>
          <w:rFonts w:ascii="Arial" w:eastAsia="Times New Roman" w:hAnsi="Arial" w:cs="Arial"/>
        </w:rPr>
      </w:pPr>
    </w:p>
    <w:p w:rsidR="009669DF" w:rsidRPr="00C6753E" w:rsidRDefault="009669DF" w:rsidP="00C6753E">
      <w:pPr>
        <w:spacing w:after="0" w:line="240" w:lineRule="auto"/>
        <w:rPr>
          <w:rFonts w:ascii="Arial" w:eastAsia="Times New Roman" w:hAnsi="Arial" w:cs="Arial"/>
        </w:rPr>
      </w:pPr>
    </w:p>
    <w:p w:rsidR="009669DF" w:rsidRPr="00C6753E" w:rsidRDefault="009669DF" w:rsidP="009669DF">
      <w:pPr>
        <w:spacing w:after="0" w:line="240" w:lineRule="auto"/>
        <w:rPr>
          <w:rFonts w:ascii="Arial" w:eastAsia="Times New Roman" w:hAnsi="Arial" w:cs="Arial"/>
          <w:sz w:val="24"/>
          <w:szCs w:val="24"/>
        </w:rPr>
      </w:pPr>
    </w:p>
    <w:p w:rsidR="00A23F9F" w:rsidRPr="009669DF" w:rsidRDefault="00A23F9F" w:rsidP="00A23F9F">
      <w:bookmarkStart w:id="1" w:name="P323_17375"/>
      <w:bookmarkStart w:id="2" w:name="s12s1"/>
      <w:bookmarkStart w:id="3" w:name="BK16"/>
      <w:bookmarkEnd w:id="1"/>
      <w:bookmarkEnd w:id="2"/>
      <w:bookmarkEnd w:id="3"/>
    </w:p>
    <w:sectPr w:rsidR="00A23F9F" w:rsidRPr="009669DF" w:rsidSect="006E6B7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1B8" w:rsidRDefault="00A551B8" w:rsidP="00C32964">
      <w:pPr>
        <w:spacing w:after="0" w:line="240" w:lineRule="auto"/>
      </w:pPr>
      <w:r>
        <w:separator/>
      </w:r>
    </w:p>
  </w:endnote>
  <w:endnote w:type="continuationSeparator" w:id="0">
    <w:p w:rsidR="00A551B8" w:rsidRDefault="00A551B8" w:rsidP="00C32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970232"/>
      <w:docPartObj>
        <w:docPartGallery w:val="Page Numbers (Bottom of Page)"/>
        <w:docPartUnique/>
      </w:docPartObj>
    </w:sdtPr>
    <w:sdtEndPr>
      <w:rPr>
        <w:rFonts w:ascii="Arial" w:hAnsi="Arial" w:cs="Arial"/>
      </w:rPr>
    </w:sdtEndPr>
    <w:sdtContent>
      <w:sdt>
        <w:sdtPr>
          <w:id w:val="860082579"/>
          <w:docPartObj>
            <w:docPartGallery w:val="Page Numbers (Top of Page)"/>
            <w:docPartUnique/>
          </w:docPartObj>
        </w:sdtPr>
        <w:sdtEndPr>
          <w:rPr>
            <w:rFonts w:ascii="Arial" w:hAnsi="Arial" w:cs="Arial"/>
          </w:rPr>
        </w:sdtEndPr>
        <w:sdtContent>
          <w:p w:rsidR="00C32964" w:rsidRPr="00C32964" w:rsidRDefault="00C32964">
            <w:pPr>
              <w:pStyle w:val="Footer"/>
              <w:jc w:val="right"/>
              <w:rPr>
                <w:rFonts w:ascii="Arial" w:hAnsi="Arial" w:cs="Arial"/>
              </w:rPr>
            </w:pPr>
            <w:r w:rsidRPr="00C32964">
              <w:rPr>
                <w:rFonts w:ascii="Arial" w:hAnsi="Arial" w:cs="Arial"/>
              </w:rPr>
              <w:t xml:space="preserve">Page </w:t>
            </w:r>
            <w:r w:rsidRPr="00C32964">
              <w:rPr>
                <w:rFonts w:ascii="Arial" w:hAnsi="Arial" w:cs="Arial"/>
                <w:b/>
                <w:bCs/>
              </w:rPr>
              <w:fldChar w:fldCharType="begin"/>
            </w:r>
            <w:r w:rsidRPr="00C32964">
              <w:rPr>
                <w:rFonts w:ascii="Arial" w:hAnsi="Arial" w:cs="Arial"/>
                <w:b/>
                <w:bCs/>
              </w:rPr>
              <w:instrText xml:space="preserve"> PAGE </w:instrText>
            </w:r>
            <w:r w:rsidRPr="00C32964">
              <w:rPr>
                <w:rFonts w:ascii="Arial" w:hAnsi="Arial" w:cs="Arial"/>
                <w:b/>
                <w:bCs/>
              </w:rPr>
              <w:fldChar w:fldCharType="separate"/>
            </w:r>
            <w:r w:rsidR="00BF24FF">
              <w:rPr>
                <w:rFonts w:ascii="Arial" w:hAnsi="Arial" w:cs="Arial"/>
                <w:b/>
                <w:bCs/>
                <w:noProof/>
              </w:rPr>
              <w:t>3</w:t>
            </w:r>
            <w:r w:rsidRPr="00C32964">
              <w:rPr>
                <w:rFonts w:ascii="Arial" w:hAnsi="Arial" w:cs="Arial"/>
                <w:b/>
                <w:bCs/>
              </w:rPr>
              <w:fldChar w:fldCharType="end"/>
            </w:r>
            <w:r w:rsidRPr="00C32964">
              <w:rPr>
                <w:rFonts w:ascii="Arial" w:hAnsi="Arial" w:cs="Arial"/>
              </w:rPr>
              <w:t xml:space="preserve"> of </w:t>
            </w:r>
            <w:r w:rsidRPr="00C32964">
              <w:rPr>
                <w:rFonts w:ascii="Arial" w:hAnsi="Arial" w:cs="Arial"/>
                <w:b/>
                <w:bCs/>
              </w:rPr>
              <w:fldChar w:fldCharType="begin"/>
            </w:r>
            <w:r w:rsidRPr="00C32964">
              <w:rPr>
                <w:rFonts w:ascii="Arial" w:hAnsi="Arial" w:cs="Arial"/>
                <w:b/>
                <w:bCs/>
              </w:rPr>
              <w:instrText xml:space="preserve"> NUMPAGES  </w:instrText>
            </w:r>
            <w:r w:rsidRPr="00C32964">
              <w:rPr>
                <w:rFonts w:ascii="Arial" w:hAnsi="Arial" w:cs="Arial"/>
                <w:b/>
                <w:bCs/>
              </w:rPr>
              <w:fldChar w:fldCharType="separate"/>
            </w:r>
            <w:r w:rsidR="00BF24FF">
              <w:rPr>
                <w:rFonts w:ascii="Arial" w:hAnsi="Arial" w:cs="Arial"/>
                <w:b/>
                <w:bCs/>
                <w:noProof/>
              </w:rPr>
              <w:t>4</w:t>
            </w:r>
            <w:r w:rsidRPr="00C32964">
              <w:rPr>
                <w:rFonts w:ascii="Arial" w:hAnsi="Arial" w:cs="Arial"/>
                <w:b/>
                <w:bCs/>
              </w:rPr>
              <w:fldChar w:fldCharType="end"/>
            </w:r>
          </w:p>
        </w:sdtContent>
      </w:sdt>
    </w:sdtContent>
  </w:sdt>
  <w:p w:rsidR="00C32964" w:rsidRDefault="00C32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1B8" w:rsidRDefault="00A551B8" w:rsidP="00C32964">
      <w:pPr>
        <w:spacing w:after="0" w:line="240" w:lineRule="auto"/>
      </w:pPr>
      <w:r>
        <w:separator/>
      </w:r>
    </w:p>
  </w:footnote>
  <w:footnote w:type="continuationSeparator" w:id="0">
    <w:p w:rsidR="00A551B8" w:rsidRDefault="00A551B8" w:rsidP="00C329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355F"/>
    <w:multiLevelType w:val="hybridMultilevel"/>
    <w:tmpl w:val="204C8C8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0BC1CCF"/>
    <w:multiLevelType w:val="hybridMultilevel"/>
    <w:tmpl w:val="12A0DBB6"/>
    <w:lvl w:ilvl="0" w:tplc="10090003">
      <w:start w:val="1"/>
      <w:numFmt w:val="bullet"/>
      <w:lvlText w:val="o"/>
      <w:lvlJc w:val="left"/>
      <w:pPr>
        <w:ind w:left="1942" w:hanging="360"/>
      </w:pPr>
      <w:rPr>
        <w:rFonts w:ascii="Courier New" w:hAnsi="Courier New" w:cs="Courier New" w:hint="default"/>
      </w:rPr>
    </w:lvl>
    <w:lvl w:ilvl="1" w:tplc="10090003" w:tentative="1">
      <w:start w:val="1"/>
      <w:numFmt w:val="bullet"/>
      <w:lvlText w:val="o"/>
      <w:lvlJc w:val="left"/>
      <w:pPr>
        <w:ind w:left="2662" w:hanging="360"/>
      </w:pPr>
      <w:rPr>
        <w:rFonts w:ascii="Courier New" w:hAnsi="Courier New" w:cs="Courier New" w:hint="default"/>
      </w:rPr>
    </w:lvl>
    <w:lvl w:ilvl="2" w:tplc="10090005" w:tentative="1">
      <w:start w:val="1"/>
      <w:numFmt w:val="bullet"/>
      <w:lvlText w:val=""/>
      <w:lvlJc w:val="left"/>
      <w:pPr>
        <w:ind w:left="3382" w:hanging="360"/>
      </w:pPr>
      <w:rPr>
        <w:rFonts w:ascii="Wingdings" w:hAnsi="Wingdings" w:hint="default"/>
      </w:rPr>
    </w:lvl>
    <w:lvl w:ilvl="3" w:tplc="10090001" w:tentative="1">
      <w:start w:val="1"/>
      <w:numFmt w:val="bullet"/>
      <w:lvlText w:val=""/>
      <w:lvlJc w:val="left"/>
      <w:pPr>
        <w:ind w:left="4102" w:hanging="360"/>
      </w:pPr>
      <w:rPr>
        <w:rFonts w:ascii="Symbol" w:hAnsi="Symbol" w:hint="default"/>
      </w:rPr>
    </w:lvl>
    <w:lvl w:ilvl="4" w:tplc="10090003" w:tentative="1">
      <w:start w:val="1"/>
      <w:numFmt w:val="bullet"/>
      <w:lvlText w:val="o"/>
      <w:lvlJc w:val="left"/>
      <w:pPr>
        <w:ind w:left="4822" w:hanging="360"/>
      </w:pPr>
      <w:rPr>
        <w:rFonts w:ascii="Courier New" w:hAnsi="Courier New" w:cs="Courier New" w:hint="default"/>
      </w:rPr>
    </w:lvl>
    <w:lvl w:ilvl="5" w:tplc="10090005" w:tentative="1">
      <w:start w:val="1"/>
      <w:numFmt w:val="bullet"/>
      <w:lvlText w:val=""/>
      <w:lvlJc w:val="left"/>
      <w:pPr>
        <w:ind w:left="5542" w:hanging="360"/>
      </w:pPr>
      <w:rPr>
        <w:rFonts w:ascii="Wingdings" w:hAnsi="Wingdings" w:hint="default"/>
      </w:rPr>
    </w:lvl>
    <w:lvl w:ilvl="6" w:tplc="10090001" w:tentative="1">
      <w:start w:val="1"/>
      <w:numFmt w:val="bullet"/>
      <w:lvlText w:val=""/>
      <w:lvlJc w:val="left"/>
      <w:pPr>
        <w:ind w:left="6262" w:hanging="360"/>
      </w:pPr>
      <w:rPr>
        <w:rFonts w:ascii="Symbol" w:hAnsi="Symbol" w:hint="default"/>
      </w:rPr>
    </w:lvl>
    <w:lvl w:ilvl="7" w:tplc="10090003" w:tentative="1">
      <w:start w:val="1"/>
      <w:numFmt w:val="bullet"/>
      <w:lvlText w:val="o"/>
      <w:lvlJc w:val="left"/>
      <w:pPr>
        <w:ind w:left="6982" w:hanging="360"/>
      </w:pPr>
      <w:rPr>
        <w:rFonts w:ascii="Courier New" w:hAnsi="Courier New" w:cs="Courier New" w:hint="default"/>
      </w:rPr>
    </w:lvl>
    <w:lvl w:ilvl="8" w:tplc="10090005" w:tentative="1">
      <w:start w:val="1"/>
      <w:numFmt w:val="bullet"/>
      <w:lvlText w:val=""/>
      <w:lvlJc w:val="left"/>
      <w:pPr>
        <w:ind w:left="7702" w:hanging="360"/>
      </w:pPr>
      <w:rPr>
        <w:rFonts w:ascii="Wingdings" w:hAnsi="Wingdings" w:hint="default"/>
      </w:rPr>
    </w:lvl>
  </w:abstractNum>
  <w:abstractNum w:abstractNumId="2">
    <w:nsid w:val="1DAB6C40"/>
    <w:multiLevelType w:val="hybridMultilevel"/>
    <w:tmpl w:val="204C8C8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0243C4D"/>
    <w:multiLevelType w:val="hybridMultilevel"/>
    <w:tmpl w:val="0B9E1F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3F524C4"/>
    <w:multiLevelType w:val="hybridMultilevel"/>
    <w:tmpl w:val="B816AB98"/>
    <w:lvl w:ilvl="0" w:tplc="10090003">
      <w:start w:val="1"/>
      <w:numFmt w:val="bullet"/>
      <w:lvlText w:val="o"/>
      <w:lvlJc w:val="left"/>
      <w:pPr>
        <w:ind w:left="1942" w:hanging="360"/>
      </w:pPr>
      <w:rPr>
        <w:rFonts w:ascii="Courier New" w:hAnsi="Courier New" w:cs="Courier New" w:hint="default"/>
      </w:rPr>
    </w:lvl>
    <w:lvl w:ilvl="1" w:tplc="10090003" w:tentative="1">
      <w:start w:val="1"/>
      <w:numFmt w:val="bullet"/>
      <w:lvlText w:val="o"/>
      <w:lvlJc w:val="left"/>
      <w:pPr>
        <w:ind w:left="2662" w:hanging="360"/>
      </w:pPr>
      <w:rPr>
        <w:rFonts w:ascii="Courier New" w:hAnsi="Courier New" w:cs="Courier New" w:hint="default"/>
      </w:rPr>
    </w:lvl>
    <w:lvl w:ilvl="2" w:tplc="10090005" w:tentative="1">
      <w:start w:val="1"/>
      <w:numFmt w:val="bullet"/>
      <w:lvlText w:val=""/>
      <w:lvlJc w:val="left"/>
      <w:pPr>
        <w:ind w:left="3382" w:hanging="360"/>
      </w:pPr>
      <w:rPr>
        <w:rFonts w:ascii="Wingdings" w:hAnsi="Wingdings" w:hint="default"/>
      </w:rPr>
    </w:lvl>
    <w:lvl w:ilvl="3" w:tplc="10090001" w:tentative="1">
      <w:start w:val="1"/>
      <w:numFmt w:val="bullet"/>
      <w:lvlText w:val=""/>
      <w:lvlJc w:val="left"/>
      <w:pPr>
        <w:ind w:left="4102" w:hanging="360"/>
      </w:pPr>
      <w:rPr>
        <w:rFonts w:ascii="Symbol" w:hAnsi="Symbol" w:hint="default"/>
      </w:rPr>
    </w:lvl>
    <w:lvl w:ilvl="4" w:tplc="10090003" w:tentative="1">
      <w:start w:val="1"/>
      <w:numFmt w:val="bullet"/>
      <w:lvlText w:val="o"/>
      <w:lvlJc w:val="left"/>
      <w:pPr>
        <w:ind w:left="4822" w:hanging="360"/>
      </w:pPr>
      <w:rPr>
        <w:rFonts w:ascii="Courier New" w:hAnsi="Courier New" w:cs="Courier New" w:hint="default"/>
      </w:rPr>
    </w:lvl>
    <w:lvl w:ilvl="5" w:tplc="10090005" w:tentative="1">
      <w:start w:val="1"/>
      <w:numFmt w:val="bullet"/>
      <w:lvlText w:val=""/>
      <w:lvlJc w:val="left"/>
      <w:pPr>
        <w:ind w:left="5542" w:hanging="360"/>
      </w:pPr>
      <w:rPr>
        <w:rFonts w:ascii="Wingdings" w:hAnsi="Wingdings" w:hint="default"/>
      </w:rPr>
    </w:lvl>
    <w:lvl w:ilvl="6" w:tplc="10090001" w:tentative="1">
      <w:start w:val="1"/>
      <w:numFmt w:val="bullet"/>
      <w:lvlText w:val=""/>
      <w:lvlJc w:val="left"/>
      <w:pPr>
        <w:ind w:left="6262" w:hanging="360"/>
      </w:pPr>
      <w:rPr>
        <w:rFonts w:ascii="Symbol" w:hAnsi="Symbol" w:hint="default"/>
      </w:rPr>
    </w:lvl>
    <w:lvl w:ilvl="7" w:tplc="10090003" w:tentative="1">
      <w:start w:val="1"/>
      <w:numFmt w:val="bullet"/>
      <w:lvlText w:val="o"/>
      <w:lvlJc w:val="left"/>
      <w:pPr>
        <w:ind w:left="6982" w:hanging="360"/>
      </w:pPr>
      <w:rPr>
        <w:rFonts w:ascii="Courier New" w:hAnsi="Courier New" w:cs="Courier New" w:hint="default"/>
      </w:rPr>
    </w:lvl>
    <w:lvl w:ilvl="8" w:tplc="10090005" w:tentative="1">
      <w:start w:val="1"/>
      <w:numFmt w:val="bullet"/>
      <w:lvlText w:val=""/>
      <w:lvlJc w:val="left"/>
      <w:pPr>
        <w:ind w:left="7702" w:hanging="360"/>
      </w:pPr>
      <w:rPr>
        <w:rFonts w:ascii="Wingdings" w:hAnsi="Wingdings" w:hint="default"/>
      </w:rPr>
    </w:lvl>
  </w:abstractNum>
  <w:abstractNum w:abstractNumId="5">
    <w:nsid w:val="28FD1BE5"/>
    <w:multiLevelType w:val="hybridMultilevel"/>
    <w:tmpl w:val="ABEAAD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6A76593"/>
    <w:multiLevelType w:val="hybridMultilevel"/>
    <w:tmpl w:val="19B6E166"/>
    <w:lvl w:ilvl="0" w:tplc="10090001">
      <w:start w:val="1"/>
      <w:numFmt w:val="bullet"/>
      <w:lvlText w:val=""/>
      <w:lvlJc w:val="left"/>
      <w:pPr>
        <w:ind w:left="540" w:hanging="360"/>
      </w:pPr>
      <w:rPr>
        <w:rFonts w:ascii="Symbol" w:hAnsi="Symbol" w:hint="default"/>
      </w:rPr>
    </w:lvl>
    <w:lvl w:ilvl="1" w:tplc="10090003">
      <w:start w:val="1"/>
      <w:numFmt w:val="bullet"/>
      <w:lvlText w:val="o"/>
      <w:lvlJc w:val="left"/>
      <w:pPr>
        <w:ind w:left="1260" w:hanging="360"/>
      </w:pPr>
      <w:rPr>
        <w:rFonts w:ascii="Courier New" w:hAnsi="Courier New" w:cs="Courier New" w:hint="default"/>
      </w:rPr>
    </w:lvl>
    <w:lvl w:ilvl="2" w:tplc="10090005">
      <w:start w:val="1"/>
      <w:numFmt w:val="bullet"/>
      <w:lvlText w:val=""/>
      <w:lvlJc w:val="left"/>
      <w:pPr>
        <w:ind w:left="1980" w:hanging="360"/>
      </w:pPr>
      <w:rPr>
        <w:rFonts w:ascii="Wingdings" w:hAnsi="Wingdings" w:hint="default"/>
      </w:rPr>
    </w:lvl>
    <w:lvl w:ilvl="3" w:tplc="10090001" w:tentative="1">
      <w:start w:val="1"/>
      <w:numFmt w:val="bullet"/>
      <w:lvlText w:val=""/>
      <w:lvlJc w:val="left"/>
      <w:pPr>
        <w:ind w:left="2700" w:hanging="360"/>
      </w:pPr>
      <w:rPr>
        <w:rFonts w:ascii="Symbol" w:hAnsi="Symbol" w:hint="default"/>
      </w:rPr>
    </w:lvl>
    <w:lvl w:ilvl="4" w:tplc="10090003" w:tentative="1">
      <w:start w:val="1"/>
      <w:numFmt w:val="bullet"/>
      <w:lvlText w:val="o"/>
      <w:lvlJc w:val="left"/>
      <w:pPr>
        <w:ind w:left="3420" w:hanging="360"/>
      </w:pPr>
      <w:rPr>
        <w:rFonts w:ascii="Courier New" w:hAnsi="Courier New" w:cs="Courier New" w:hint="default"/>
      </w:rPr>
    </w:lvl>
    <w:lvl w:ilvl="5" w:tplc="10090005" w:tentative="1">
      <w:start w:val="1"/>
      <w:numFmt w:val="bullet"/>
      <w:lvlText w:val=""/>
      <w:lvlJc w:val="left"/>
      <w:pPr>
        <w:ind w:left="4140" w:hanging="360"/>
      </w:pPr>
      <w:rPr>
        <w:rFonts w:ascii="Wingdings" w:hAnsi="Wingdings" w:hint="default"/>
      </w:rPr>
    </w:lvl>
    <w:lvl w:ilvl="6" w:tplc="10090001" w:tentative="1">
      <w:start w:val="1"/>
      <w:numFmt w:val="bullet"/>
      <w:lvlText w:val=""/>
      <w:lvlJc w:val="left"/>
      <w:pPr>
        <w:ind w:left="4860" w:hanging="360"/>
      </w:pPr>
      <w:rPr>
        <w:rFonts w:ascii="Symbol" w:hAnsi="Symbol" w:hint="default"/>
      </w:rPr>
    </w:lvl>
    <w:lvl w:ilvl="7" w:tplc="10090003" w:tentative="1">
      <w:start w:val="1"/>
      <w:numFmt w:val="bullet"/>
      <w:lvlText w:val="o"/>
      <w:lvlJc w:val="left"/>
      <w:pPr>
        <w:ind w:left="5580" w:hanging="360"/>
      </w:pPr>
      <w:rPr>
        <w:rFonts w:ascii="Courier New" w:hAnsi="Courier New" w:cs="Courier New" w:hint="default"/>
      </w:rPr>
    </w:lvl>
    <w:lvl w:ilvl="8" w:tplc="10090005" w:tentative="1">
      <w:start w:val="1"/>
      <w:numFmt w:val="bullet"/>
      <w:lvlText w:val=""/>
      <w:lvlJc w:val="left"/>
      <w:pPr>
        <w:ind w:left="6300" w:hanging="360"/>
      </w:pPr>
      <w:rPr>
        <w:rFonts w:ascii="Wingdings" w:hAnsi="Wingdings" w:hint="default"/>
      </w:rPr>
    </w:lvl>
  </w:abstractNum>
  <w:abstractNum w:abstractNumId="7">
    <w:nsid w:val="40071661"/>
    <w:multiLevelType w:val="hybridMultilevel"/>
    <w:tmpl w:val="204C8C8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B0A7730"/>
    <w:multiLevelType w:val="hybridMultilevel"/>
    <w:tmpl w:val="64B26DBE"/>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9">
    <w:nsid w:val="4D2E1274"/>
    <w:multiLevelType w:val="hybridMultilevel"/>
    <w:tmpl w:val="584CCDFA"/>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nsid w:val="562A5D46"/>
    <w:multiLevelType w:val="hybridMultilevel"/>
    <w:tmpl w:val="30D0F454"/>
    <w:lvl w:ilvl="0" w:tplc="10090001">
      <w:start w:val="1"/>
      <w:numFmt w:val="bullet"/>
      <w:lvlText w:val=""/>
      <w:lvlJc w:val="left"/>
      <w:pPr>
        <w:ind w:left="502" w:hanging="360"/>
      </w:pPr>
      <w:rPr>
        <w:rFonts w:ascii="Symbol" w:hAnsi="Symbol" w:hint="default"/>
      </w:rPr>
    </w:lvl>
    <w:lvl w:ilvl="1" w:tplc="10090003" w:tentative="1">
      <w:start w:val="1"/>
      <w:numFmt w:val="bullet"/>
      <w:lvlText w:val="o"/>
      <w:lvlJc w:val="left"/>
      <w:pPr>
        <w:ind w:left="1222" w:hanging="360"/>
      </w:pPr>
      <w:rPr>
        <w:rFonts w:ascii="Courier New" w:hAnsi="Courier New" w:cs="Courier New" w:hint="default"/>
      </w:rPr>
    </w:lvl>
    <w:lvl w:ilvl="2" w:tplc="10090005" w:tentative="1">
      <w:start w:val="1"/>
      <w:numFmt w:val="bullet"/>
      <w:lvlText w:val=""/>
      <w:lvlJc w:val="left"/>
      <w:pPr>
        <w:ind w:left="1942" w:hanging="360"/>
      </w:pPr>
      <w:rPr>
        <w:rFonts w:ascii="Wingdings" w:hAnsi="Wingdings" w:hint="default"/>
      </w:rPr>
    </w:lvl>
    <w:lvl w:ilvl="3" w:tplc="10090001" w:tentative="1">
      <w:start w:val="1"/>
      <w:numFmt w:val="bullet"/>
      <w:lvlText w:val=""/>
      <w:lvlJc w:val="left"/>
      <w:pPr>
        <w:ind w:left="2662" w:hanging="360"/>
      </w:pPr>
      <w:rPr>
        <w:rFonts w:ascii="Symbol" w:hAnsi="Symbol" w:hint="default"/>
      </w:rPr>
    </w:lvl>
    <w:lvl w:ilvl="4" w:tplc="10090003" w:tentative="1">
      <w:start w:val="1"/>
      <w:numFmt w:val="bullet"/>
      <w:lvlText w:val="o"/>
      <w:lvlJc w:val="left"/>
      <w:pPr>
        <w:ind w:left="3382" w:hanging="360"/>
      </w:pPr>
      <w:rPr>
        <w:rFonts w:ascii="Courier New" w:hAnsi="Courier New" w:cs="Courier New" w:hint="default"/>
      </w:rPr>
    </w:lvl>
    <w:lvl w:ilvl="5" w:tplc="10090005" w:tentative="1">
      <w:start w:val="1"/>
      <w:numFmt w:val="bullet"/>
      <w:lvlText w:val=""/>
      <w:lvlJc w:val="left"/>
      <w:pPr>
        <w:ind w:left="4102" w:hanging="360"/>
      </w:pPr>
      <w:rPr>
        <w:rFonts w:ascii="Wingdings" w:hAnsi="Wingdings" w:hint="default"/>
      </w:rPr>
    </w:lvl>
    <w:lvl w:ilvl="6" w:tplc="10090001" w:tentative="1">
      <w:start w:val="1"/>
      <w:numFmt w:val="bullet"/>
      <w:lvlText w:val=""/>
      <w:lvlJc w:val="left"/>
      <w:pPr>
        <w:ind w:left="4822" w:hanging="360"/>
      </w:pPr>
      <w:rPr>
        <w:rFonts w:ascii="Symbol" w:hAnsi="Symbol" w:hint="default"/>
      </w:rPr>
    </w:lvl>
    <w:lvl w:ilvl="7" w:tplc="10090003" w:tentative="1">
      <w:start w:val="1"/>
      <w:numFmt w:val="bullet"/>
      <w:lvlText w:val="o"/>
      <w:lvlJc w:val="left"/>
      <w:pPr>
        <w:ind w:left="5542" w:hanging="360"/>
      </w:pPr>
      <w:rPr>
        <w:rFonts w:ascii="Courier New" w:hAnsi="Courier New" w:cs="Courier New" w:hint="default"/>
      </w:rPr>
    </w:lvl>
    <w:lvl w:ilvl="8" w:tplc="10090005" w:tentative="1">
      <w:start w:val="1"/>
      <w:numFmt w:val="bullet"/>
      <w:lvlText w:val=""/>
      <w:lvlJc w:val="left"/>
      <w:pPr>
        <w:ind w:left="6262" w:hanging="360"/>
      </w:pPr>
      <w:rPr>
        <w:rFonts w:ascii="Wingdings" w:hAnsi="Wingdings" w:hint="default"/>
      </w:rPr>
    </w:lvl>
  </w:abstractNum>
  <w:abstractNum w:abstractNumId="11">
    <w:nsid w:val="57DD72B5"/>
    <w:multiLevelType w:val="hybridMultilevel"/>
    <w:tmpl w:val="A7FC0E3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nsid w:val="631C0171"/>
    <w:multiLevelType w:val="hybridMultilevel"/>
    <w:tmpl w:val="E11A431C"/>
    <w:lvl w:ilvl="0" w:tplc="10090001">
      <w:start w:val="1"/>
      <w:numFmt w:val="bullet"/>
      <w:lvlText w:val=""/>
      <w:lvlJc w:val="left"/>
      <w:pPr>
        <w:ind w:left="1260" w:hanging="360"/>
      </w:pPr>
      <w:rPr>
        <w:rFonts w:ascii="Symbol" w:hAnsi="Symbol" w:hint="default"/>
      </w:rPr>
    </w:lvl>
    <w:lvl w:ilvl="1" w:tplc="10090003" w:tentative="1">
      <w:start w:val="1"/>
      <w:numFmt w:val="bullet"/>
      <w:lvlText w:val="o"/>
      <w:lvlJc w:val="left"/>
      <w:pPr>
        <w:ind w:left="1980" w:hanging="360"/>
      </w:pPr>
      <w:rPr>
        <w:rFonts w:ascii="Courier New" w:hAnsi="Courier New" w:cs="Courier New" w:hint="default"/>
      </w:rPr>
    </w:lvl>
    <w:lvl w:ilvl="2" w:tplc="10090005" w:tentative="1">
      <w:start w:val="1"/>
      <w:numFmt w:val="bullet"/>
      <w:lvlText w:val=""/>
      <w:lvlJc w:val="left"/>
      <w:pPr>
        <w:ind w:left="2700" w:hanging="360"/>
      </w:pPr>
      <w:rPr>
        <w:rFonts w:ascii="Wingdings" w:hAnsi="Wingdings" w:hint="default"/>
      </w:rPr>
    </w:lvl>
    <w:lvl w:ilvl="3" w:tplc="10090001" w:tentative="1">
      <w:start w:val="1"/>
      <w:numFmt w:val="bullet"/>
      <w:lvlText w:val=""/>
      <w:lvlJc w:val="left"/>
      <w:pPr>
        <w:ind w:left="3420" w:hanging="360"/>
      </w:pPr>
      <w:rPr>
        <w:rFonts w:ascii="Symbol" w:hAnsi="Symbol" w:hint="default"/>
      </w:rPr>
    </w:lvl>
    <w:lvl w:ilvl="4" w:tplc="10090003" w:tentative="1">
      <w:start w:val="1"/>
      <w:numFmt w:val="bullet"/>
      <w:lvlText w:val="o"/>
      <w:lvlJc w:val="left"/>
      <w:pPr>
        <w:ind w:left="4140" w:hanging="360"/>
      </w:pPr>
      <w:rPr>
        <w:rFonts w:ascii="Courier New" w:hAnsi="Courier New" w:cs="Courier New" w:hint="default"/>
      </w:rPr>
    </w:lvl>
    <w:lvl w:ilvl="5" w:tplc="10090005" w:tentative="1">
      <w:start w:val="1"/>
      <w:numFmt w:val="bullet"/>
      <w:lvlText w:val=""/>
      <w:lvlJc w:val="left"/>
      <w:pPr>
        <w:ind w:left="4860" w:hanging="360"/>
      </w:pPr>
      <w:rPr>
        <w:rFonts w:ascii="Wingdings" w:hAnsi="Wingdings" w:hint="default"/>
      </w:rPr>
    </w:lvl>
    <w:lvl w:ilvl="6" w:tplc="10090001" w:tentative="1">
      <w:start w:val="1"/>
      <w:numFmt w:val="bullet"/>
      <w:lvlText w:val=""/>
      <w:lvlJc w:val="left"/>
      <w:pPr>
        <w:ind w:left="5580" w:hanging="360"/>
      </w:pPr>
      <w:rPr>
        <w:rFonts w:ascii="Symbol" w:hAnsi="Symbol" w:hint="default"/>
      </w:rPr>
    </w:lvl>
    <w:lvl w:ilvl="7" w:tplc="10090003" w:tentative="1">
      <w:start w:val="1"/>
      <w:numFmt w:val="bullet"/>
      <w:lvlText w:val="o"/>
      <w:lvlJc w:val="left"/>
      <w:pPr>
        <w:ind w:left="6300" w:hanging="360"/>
      </w:pPr>
      <w:rPr>
        <w:rFonts w:ascii="Courier New" w:hAnsi="Courier New" w:cs="Courier New" w:hint="default"/>
      </w:rPr>
    </w:lvl>
    <w:lvl w:ilvl="8" w:tplc="10090005" w:tentative="1">
      <w:start w:val="1"/>
      <w:numFmt w:val="bullet"/>
      <w:lvlText w:val=""/>
      <w:lvlJc w:val="left"/>
      <w:pPr>
        <w:ind w:left="7020" w:hanging="360"/>
      </w:pPr>
      <w:rPr>
        <w:rFonts w:ascii="Wingdings" w:hAnsi="Wingdings" w:hint="default"/>
      </w:rPr>
    </w:lvl>
  </w:abstractNum>
  <w:abstractNum w:abstractNumId="13">
    <w:nsid w:val="66CB373D"/>
    <w:multiLevelType w:val="hybridMultilevel"/>
    <w:tmpl w:val="283249FC"/>
    <w:lvl w:ilvl="0" w:tplc="10090001">
      <w:start w:val="1"/>
      <w:numFmt w:val="bullet"/>
      <w:lvlText w:val=""/>
      <w:lvlJc w:val="left"/>
      <w:pPr>
        <w:ind w:left="502" w:hanging="360"/>
      </w:pPr>
      <w:rPr>
        <w:rFonts w:ascii="Symbol" w:hAnsi="Symbol" w:hint="default"/>
      </w:rPr>
    </w:lvl>
    <w:lvl w:ilvl="1" w:tplc="10090003">
      <w:start w:val="1"/>
      <w:numFmt w:val="bullet"/>
      <w:lvlText w:val="o"/>
      <w:lvlJc w:val="left"/>
      <w:pPr>
        <w:ind w:left="1222" w:hanging="360"/>
      </w:pPr>
      <w:rPr>
        <w:rFonts w:ascii="Courier New" w:hAnsi="Courier New" w:cs="Courier New" w:hint="default"/>
      </w:rPr>
    </w:lvl>
    <w:lvl w:ilvl="2" w:tplc="10090003">
      <w:start w:val="1"/>
      <w:numFmt w:val="bullet"/>
      <w:lvlText w:val="o"/>
      <w:lvlJc w:val="left"/>
      <w:pPr>
        <w:ind w:left="1942" w:hanging="360"/>
      </w:pPr>
      <w:rPr>
        <w:rFonts w:ascii="Courier New" w:hAnsi="Courier New" w:cs="Courier New" w:hint="default"/>
      </w:rPr>
    </w:lvl>
    <w:lvl w:ilvl="3" w:tplc="10090001" w:tentative="1">
      <w:start w:val="1"/>
      <w:numFmt w:val="bullet"/>
      <w:lvlText w:val=""/>
      <w:lvlJc w:val="left"/>
      <w:pPr>
        <w:ind w:left="2662" w:hanging="360"/>
      </w:pPr>
      <w:rPr>
        <w:rFonts w:ascii="Symbol" w:hAnsi="Symbol" w:hint="default"/>
      </w:rPr>
    </w:lvl>
    <w:lvl w:ilvl="4" w:tplc="10090003" w:tentative="1">
      <w:start w:val="1"/>
      <w:numFmt w:val="bullet"/>
      <w:lvlText w:val="o"/>
      <w:lvlJc w:val="left"/>
      <w:pPr>
        <w:ind w:left="3382" w:hanging="360"/>
      </w:pPr>
      <w:rPr>
        <w:rFonts w:ascii="Courier New" w:hAnsi="Courier New" w:cs="Courier New" w:hint="default"/>
      </w:rPr>
    </w:lvl>
    <w:lvl w:ilvl="5" w:tplc="10090005" w:tentative="1">
      <w:start w:val="1"/>
      <w:numFmt w:val="bullet"/>
      <w:lvlText w:val=""/>
      <w:lvlJc w:val="left"/>
      <w:pPr>
        <w:ind w:left="4102" w:hanging="360"/>
      </w:pPr>
      <w:rPr>
        <w:rFonts w:ascii="Wingdings" w:hAnsi="Wingdings" w:hint="default"/>
      </w:rPr>
    </w:lvl>
    <w:lvl w:ilvl="6" w:tplc="10090001" w:tentative="1">
      <w:start w:val="1"/>
      <w:numFmt w:val="bullet"/>
      <w:lvlText w:val=""/>
      <w:lvlJc w:val="left"/>
      <w:pPr>
        <w:ind w:left="4822" w:hanging="360"/>
      </w:pPr>
      <w:rPr>
        <w:rFonts w:ascii="Symbol" w:hAnsi="Symbol" w:hint="default"/>
      </w:rPr>
    </w:lvl>
    <w:lvl w:ilvl="7" w:tplc="10090003" w:tentative="1">
      <w:start w:val="1"/>
      <w:numFmt w:val="bullet"/>
      <w:lvlText w:val="o"/>
      <w:lvlJc w:val="left"/>
      <w:pPr>
        <w:ind w:left="5542" w:hanging="360"/>
      </w:pPr>
      <w:rPr>
        <w:rFonts w:ascii="Courier New" w:hAnsi="Courier New" w:cs="Courier New" w:hint="default"/>
      </w:rPr>
    </w:lvl>
    <w:lvl w:ilvl="8" w:tplc="10090005" w:tentative="1">
      <w:start w:val="1"/>
      <w:numFmt w:val="bullet"/>
      <w:lvlText w:val=""/>
      <w:lvlJc w:val="left"/>
      <w:pPr>
        <w:ind w:left="6262" w:hanging="360"/>
      </w:pPr>
      <w:rPr>
        <w:rFonts w:ascii="Wingdings" w:hAnsi="Wingdings" w:hint="default"/>
      </w:rPr>
    </w:lvl>
  </w:abstractNum>
  <w:abstractNum w:abstractNumId="14">
    <w:nsid w:val="6CDE40A6"/>
    <w:multiLevelType w:val="hybridMultilevel"/>
    <w:tmpl w:val="BD4EF5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6F100B21"/>
    <w:multiLevelType w:val="hybridMultilevel"/>
    <w:tmpl w:val="554A65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715B7FDE"/>
    <w:multiLevelType w:val="hybridMultilevel"/>
    <w:tmpl w:val="1DBAC0F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76056DA4"/>
    <w:multiLevelType w:val="hybridMultilevel"/>
    <w:tmpl w:val="97D8E5A2"/>
    <w:lvl w:ilvl="0" w:tplc="3AF4005E">
      <w:start w:val="1"/>
      <w:numFmt w:val="decimal"/>
      <w:lvlText w:val="%1."/>
      <w:lvlJc w:val="left"/>
      <w:pPr>
        <w:ind w:left="720" w:hanging="360"/>
      </w:pPr>
      <w:rPr>
        <w:rFonts w:eastAsiaTheme="minorEastAsia"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7EF548B7"/>
    <w:multiLevelType w:val="hybridMultilevel"/>
    <w:tmpl w:val="C13CD1D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4"/>
  </w:num>
  <w:num w:numId="5">
    <w:abstractNumId w:val="1"/>
  </w:num>
  <w:num w:numId="6">
    <w:abstractNumId w:val="17"/>
  </w:num>
  <w:num w:numId="7">
    <w:abstractNumId w:val="12"/>
  </w:num>
  <w:num w:numId="8">
    <w:abstractNumId w:val="16"/>
  </w:num>
  <w:num w:numId="9">
    <w:abstractNumId w:val="3"/>
  </w:num>
  <w:num w:numId="10">
    <w:abstractNumId w:val="9"/>
  </w:num>
  <w:num w:numId="11">
    <w:abstractNumId w:val="18"/>
  </w:num>
  <w:num w:numId="12">
    <w:abstractNumId w:val="1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7"/>
  </w:num>
  <w:num w:numId="16">
    <w:abstractNumId w:val="2"/>
  </w:num>
  <w:num w:numId="17">
    <w:abstractNumId w:val="15"/>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9DF"/>
    <w:rsid w:val="000145F7"/>
    <w:rsid w:val="000174E2"/>
    <w:rsid w:val="00044C03"/>
    <w:rsid w:val="000666A1"/>
    <w:rsid w:val="000B2E06"/>
    <w:rsid w:val="000B38DA"/>
    <w:rsid w:val="000D6A9B"/>
    <w:rsid w:val="000F585E"/>
    <w:rsid w:val="00125AC1"/>
    <w:rsid w:val="00166539"/>
    <w:rsid w:val="001A3FF6"/>
    <w:rsid w:val="001B5A5F"/>
    <w:rsid w:val="001C74DE"/>
    <w:rsid w:val="001E1D03"/>
    <w:rsid w:val="0020096E"/>
    <w:rsid w:val="00216362"/>
    <w:rsid w:val="00230A60"/>
    <w:rsid w:val="00232161"/>
    <w:rsid w:val="00254285"/>
    <w:rsid w:val="002D05CB"/>
    <w:rsid w:val="002D089F"/>
    <w:rsid w:val="002E2B4D"/>
    <w:rsid w:val="0030784E"/>
    <w:rsid w:val="003334FB"/>
    <w:rsid w:val="00342049"/>
    <w:rsid w:val="003847D1"/>
    <w:rsid w:val="003F5161"/>
    <w:rsid w:val="00420706"/>
    <w:rsid w:val="0043694C"/>
    <w:rsid w:val="0045509C"/>
    <w:rsid w:val="00470BF2"/>
    <w:rsid w:val="00474639"/>
    <w:rsid w:val="0048451D"/>
    <w:rsid w:val="004979B6"/>
    <w:rsid w:val="00511300"/>
    <w:rsid w:val="0054316B"/>
    <w:rsid w:val="005501C4"/>
    <w:rsid w:val="0056710F"/>
    <w:rsid w:val="005C5E69"/>
    <w:rsid w:val="005D5273"/>
    <w:rsid w:val="00616FBA"/>
    <w:rsid w:val="006240B3"/>
    <w:rsid w:val="00675CCB"/>
    <w:rsid w:val="00692E6E"/>
    <w:rsid w:val="006977F1"/>
    <w:rsid w:val="006A33AE"/>
    <w:rsid w:val="006B6D73"/>
    <w:rsid w:val="006E30FA"/>
    <w:rsid w:val="00702D9B"/>
    <w:rsid w:val="00737991"/>
    <w:rsid w:val="00761303"/>
    <w:rsid w:val="00796A5F"/>
    <w:rsid w:val="007A3859"/>
    <w:rsid w:val="007A49C4"/>
    <w:rsid w:val="007C3008"/>
    <w:rsid w:val="007C41BE"/>
    <w:rsid w:val="007D04BE"/>
    <w:rsid w:val="0081663E"/>
    <w:rsid w:val="00837EBC"/>
    <w:rsid w:val="0084320A"/>
    <w:rsid w:val="0087637B"/>
    <w:rsid w:val="008865D3"/>
    <w:rsid w:val="00892CE1"/>
    <w:rsid w:val="008C6B0C"/>
    <w:rsid w:val="00926290"/>
    <w:rsid w:val="00950D86"/>
    <w:rsid w:val="009669DF"/>
    <w:rsid w:val="00967550"/>
    <w:rsid w:val="009702C9"/>
    <w:rsid w:val="00A23F9F"/>
    <w:rsid w:val="00A452F6"/>
    <w:rsid w:val="00A551B8"/>
    <w:rsid w:val="00A65F56"/>
    <w:rsid w:val="00AB43CC"/>
    <w:rsid w:val="00B1364B"/>
    <w:rsid w:val="00B40899"/>
    <w:rsid w:val="00B739C0"/>
    <w:rsid w:val="00B748A1"/>
    <w:rsid w:val="00B96BEA"/>
    <w:rsid w:val="00B97168"/>
    <w:rsid w:val="00BB00B0"/>
    <w:rsid w:val="00BF24FF"/>
    <w:rsid w:val="00C0446A"/>
    <w:rsid w:val="00C06B09"/>
    <w:rsid w:val="00C16321"/>
    <w:rsid w:val="00C1664A"/>
    <w:rsid w:val="00C32964"/>
    <w:rsid w:val="00C46347"/>
    <w:rsid w:val="00C6035F"/>
    <w:rsid w:val="00C63CFC"/>
    <w:rsid w:val="00C6753E"/>
    <w:rsid w:val="00C7226F"/>
    <w:rsid w:val="00C751C8"/>
    <w:rsid w:val="00C8715E"/>
    <w:rsid w:val="00CA1F69"/>
    <w:rsid w:val="00CB170C"/>
    <w:rsid w:val="00CC4012"/>
    <w:rsid w:val="00D12A75"/>
    <w:rsid w:val="00D32631"/>
    <w:rsid w:val="00D40DA3"/>
    <w:rsid w:val="00D820A7"/>
    <w:rsid w:val="00D83CBA"/>
    <w:rsid w:val="00D91A97"/>
    <w:rsid w:val="00D940EF"/>
    <w:rsid w:val="00DA4128"/>
    <w:rsid w:val="00DC178C"/>
    <w:rsid w:val="00DD4849"/>
    <w:rsid w:val="00DF467D"/>
    <w:rsid w:val="00E14C95"/>
    <w:rsid w:val="00E24A69"/>
    <w:rsid w:val="00E357BF"/>
    <w:rsid w:val="00E36D19"/>
    <w:rsid w:val="00E37204"/>
    <w:rsid w:val="00E4111A"/>
    <w:rsid w:val="00E51537"/>
    <w:rsid w:val="00E522DE"/>
    <w:rsid w:val="00E67AB0"/>
    <w:rsid w:val="00E76412"/>
    <w:rsid w:val="00E8018E"/>
    <w:rsid w:val="00E855F5"/>
    <w:rsid w:val="00E936C9"/>
    <w:rsid w:val="00E936FC"/>
    <w:rsid w:val="00EE4043"/>
    <w:rsid w:val="00F33818"/>
    <w:rsid w:val="00F66B17"/>
    <w:rsid w:val="00F705D3"/>
    <w:rsid w:val="00F74919"/>
    <w:rsid w:val="00FB1577"/>
    <w:rsid w:val="00FC3723"/>
    <w:rsid w:val="00FC3EDF"/>
    <w:rsid w:val="00FD136A"/>
    <w:rsid w:val="00FD60C0"/>
    <w:rsid w:val="00FE5E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9DF"/>
    <w:rPr>
      <w:rFonts w:eastAsiaTheme="minorEastAsia"/>
      <w:lang w:eastAsia="en-CA"/>
    </w:rPr>
  </w:style>
  <w:style w:type="paragraph" w:styleId="Heading3">
    <w:name w:val="heading 3"/>
    <w:basedOn w:val="Normal"/>
    <w:next w:val="Normal"/>
    <w:link w:val="Heading3Char"/>
    <w:uiPriority w:val="9"/>
    <w:semiHidden/>
    <w:unhideWhenUsed/>
    <w:qFormat/>
    <w:rsid w:val="004550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69DF"/>
    <w:pPr>
      <w:spacing w:after="0" w:line="240" w:lineRule="auto"/>
    </w:pPr>
    <w:rPr>
      <w:rFonts w:eastAsiaTheme="minorEastAsia"/>
      <w:lang w:eastAsia="en-CA"/>
    </w:rPr>
  </w:style>
  <w:style w:type="paragraph" w:customStyle="1" w:styleId="chapter-e">
    <w:name w:val="chapter-e"/>
    <w:rsid w:val="009669DF"/>
    <w:pPr>
      <w:keepNext/>
      <w:tabs>
        <w:tab w:val="left" w:pos="0"/>
      </w:tabs>
      <w:suppressAutoHyphens/>
      <w:spacing w:after="309" w:line="269" w:lineRule="atLeast"/>
      <w:jc w:val="center"/>
    </w:pPr>
    <w:rPr>
      <w:rFonts w:ascii="Times New Roman" w:eastAsia="Times New Roman" w:hAnsi="Times New Roman" w:cs="Times New Roman"/>
      <w:caps/>
      <w:snapToGrid w:val="0"/>
      <w:sz w:val="24"/>
      <w:szCs w:val="20"/>
      <w:lang w:val="en-GB"/>
    </w:rPr>
  </w:style>
  <w:style w:type="paragraph" w:customStyle="1" w:styleId="line-e">
    <w:name w:val="line-e"/>
    <w:rsid w:val="009669DF"/>
    <w:pPr>
      <w:tabs>
        <w:tab w:val="left" w:pos="0"/>
      </w:tabs>
      <w:spacing w:before="60" w:after="60" w:line="209" w:lineRule="exact"/>
      <w:jc w:val="center"/>
    </w:pPr>
    <w:rPr>
      <w:rFonts w:ascii="Times New Roman" w:eastAsia="Times New Roman" w:hAnsi="Times New Roman" w:cs="Times New Roman"/>
      <w:snapToGrid w:val="0"/>
      <w:sz w:val="20"/>
      <w:szCs w:val="20"/>
      <w:lang w:val="en-GB"/>
    </w:rPr>
  </w:style>
  <w:style w:type="paragraph" w:customStyle="1" w:styleId="shorttitle-e">
    <w:name w:val="shorttitle-e"/>
    <w:basedOn w:val="Normal"/>
    <w:rsid w:val="009669DF"/>
    <w:pPr>
      <w:keepNext/>
      <w:tabs>
        <w:tab w:val="left" w:pos="0"/>
      </w:tabs>
      <w:suppressAutoHyphens/>
      <w:spacing w:after="578" w:line="270" w:lineRule="exact"/>
      <w:jc w:val="center"/>
    </w:pPr>
    <w:rPr>
      <w:rFonts w:ascii="Times New Roman" w:eastAsia="Times New Roman" w:hAnsi="Times New Roman" w:cs="Times New Roman"/>
      <w:b/>
      <w:snapToGrid w:val="0"/>
      <w:sz w:val="24"/>
      <w:szCs w:val="20"/>
      <w:lang w:val="en-GB" w:eastAsia="en-US"/>
    </w:rPr>
  </w:style>
  <w:style w:type="paragraph" w:customStyle="1" w:styleId="comment-e">
    <w:name w:val="comment-e"/>
    <w:rsid w:val="009669DF"/>
    <w:pPr>
      <w:tabs>
        <w:tab w:val="left" w:pos="0"/>
        <w:tab w:val="left" w:pos="720"/>
        <w:tab w:val="left" w:pos="1440"/>
        <w:tab w:val="left" w:pos="2160"/>
      </w:tabs>
      <w:suppressAutoHyphens/>
      <w:spacing w:before="120" w:after="120" w:line="240" w:lineRule="auto"/>
    </w:pPr>
    <w:rPr>
      <w:rFonts w:ascii="Times New Roman" w:eastAsia="Times New Roman" w:hAnsi="Times New Roman" w:cs="Times New Roman"/>
      <w:snapToGrid w:val="0"/>
      <w:sz w:val="20"/>
      <w:szCs w:val="20"/>
      <w:lang w:val="en-GB"/>
    </w:rPr>
  </w:style>
  <w:style w:type="paragraph" w:customStyle="1" w:styleId="ConsolidationPeriod-e">
    <w:name w:val="ConsolidationPeriod-e"/>
    <w:rsid w:val="009669DF"/>
    <w:pPr>
      <w:widowControl w:val="0"/>
      <w:spacing w:before="90" w:after="0" w:line="190" w:lineRule="exact"/>
    </w:pPr>
    <w:rPr>
      <w:rFonts w:ascii="Times New Roman" w:eastAsia="Times New Roman" w:hAnsi="Times New Roman" w:cs="Times New Roman"/>
      <w:bCs/>
      <w:color w:val="FF0000"/>
      <w:sz w:val="18"/>
      <w:szCs w:val="20"/>
    </w:rPr>
  </w:style>
  <w:style w:type="paragraph" w:customStyle="1" w:styleId="Pnote-e">
    <w:name w:val="Pnote-e"/>
    <w:link w:val="Pnote-eChar"/>
    <w:rsid w:val="009669DF"/>
    <w:pPr>
      <w:shd w:val="pct15" w:color="auto" w:fill="FFFFFF"/>
      <w:tabs>
        <w:tab w:val="left" w:pos="0"/>
      </w:tabs>
      <w:spacing w:before="100" w:after="0" w:line="179" w:lineRule="exact"/>
      <w:jc w:val="both"/>
    </w:pPr>
    <w:rPr>
      <w:rFonts w:ascii="Times New Roman" w:eastAsia="Times New Roman" w:hAnsi="Times New Roman" w:cs="Times New Roman"/>
      <w:b/>
      <w:snapToGrid w:val="0"/>
      <w:sz w:val="16"/>
      <w:szCs w:val="20"/>
      <w:lang w:val="en-GB"/>
    </w:rPr>
  </w:style>
  <w:style w:type="paragraph" w:customStyle="1" w:styleId="section-e">
    <w:name w:val="section-e"/>
    <w:link w:val="section-eChar"/>
    <w:rsid w:val="009669DF"/>
    <w:pPr>
      <w:tabs>
        <w:tab w:val="left" w:pos="0"/>
        <w:tab w:val="left" w:pos="189"/>
      </w:tabs>
      <w:spacing w:before="100" w:after="0" w:line="209" w:lineRule="exact"/>
      <w:jc w:val="both"/>
    </w:pPr>
    <w:rPr>
      <w:rFonts w:ascii="Times New Roman" w:eastAsia="Times New Roman" w:hAnsi="Times New Roman" w:cs="Times New Roman"/>
      <w:snapToGrid w:val="0"/>
      <w:sz w:val="20"/>
      <w:szCs w:val="20"/>
      <w:lang w:val="en-GB"/>
    </w:rPr>
  </w:style>
  <w:style w:type="paragraph" w:customStyle="1" w:styleId="Yfirstdef-e">
    <w:name w:val="Yfirstdef-e"/>
    <w:basedOn w:val="Normal"/>
    <w:rsid w:val="009669DF"/>
    <w:pPr>
      <w:shd w:val="clear" w:color="auto" w:fill="D9D9D9"/>
      <w:tabs>
        <w:tab w:val="left" w:pos="0"/>
      </w:tabs>
      <w:spacing w:before="111" w:after="0" w:line="209" w:lineRule="exact"/>
      <w:ind w:left="189" w:hanging="189"/>
      <w:jc w:val="both"/>
    </w:pPr>
    <w:rPr>
      <w:rFonts w:ascii="Times New Roman" w:eastAsia="Times New Roman" w:hAnsi="Times New Roman" w:cs="Times New Roman"/>
      <w:snapToGrid w:val="0"/>
      <w:sz w:val="20"/>
      <w:szCs w:val="20"/>
      <w:lang w:val="en-GB" w:eastAsia="en-US"/>
    </w:rPr>
  </w:style>
  <w:style w:type="paragraph" w:customStyle="1" w:styleId="Ydefinition-e">
    <w:name w:val="Ydefinition-e"/>
    <w:basedOn w:val="Normal"/>
    <w:rsid w:val="009669DF"/>
    <w:pPr>
      <w:shd w:val="clear" w:color="auto" w:fill="D9D9D9"/>
      <w:tabs>
        <w:tab w:val="left" w:pos="0"/>
      </w:tabs>
      <w:spacing w:before="111" w:after="0" w:line="209" w:lineRule="exact"/>
      <w:ind w:left="189" w:hanging="189"/>
      <w:jc w:val="both"/>
    </w:pPr>
    <w:rPr>
      <w:rFonts w:ascii="Times New Roman" w:eastAsia="Times New Roman" w:hAnsi="Times New Roman" w:cs="Times New Roman"/>
      <w:snapToGrid w:val="0"/>
      <w:sz w:val="20"/>
      <w:szCs w:val="20"/>
      <w:lang w:val="en-GB" w:eastAsia="en-US"/>
    </w:rPr>
  </w:style>
  <w:style w:type="paragraph" w:customStyle="1" w:styleId="Ydefclause-e">
    <w:name w:val="Ydefclause-e"/>
    <w:basedOn w:val="Normal"/>
    <w:rsid w:val="009669DF"/>
    <w:pPr>
      <w:shd w:val="clear" w:color="auto" w:fill="D9D9D9"/>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eastAsia="en-US"/>
    </w:rPr>
  </w:style>
  <w:style w:type="paragraph" w:customStyle="1" w:styleId="Ysection-e">
    <w:name w:val="Ysection-e"/>
    <w:basedOn w:val="section-e"/>
    <w:rsid w:val="009669DF"/>
    <w:pPr>
      <w:shd w:val="clear" w:color="auto" w:fill="D9D9D9"/>
    </w:pPr>
  </w:style>
  <w:style w:type="paragraph" w:customStyle="1" w:styleId="Ysubsection-e">
    <w:name w:val="Ysubsection-e"/>
    <w:basedOn w:val="Normal"/>
    <w:rsid w:val="009669DF"/>
    <w:pPr>
      <w:shd w:val="clear" w:color="auto" w:fill="D9D9D9"/>
      <w:tabs>
        <w:tab w:val="left" w:pos="0"/>
        <w:tab w:val="left" w:pos="189"/>
      </w:tabs>
      <w:spacing w:before="100" w:after="0" w:line="209" w:lineRule="exact"/>
      <w:jc w:val="both"/>
    </w:pPr>
    <w:rPr>
      <w:rFonts w:ascii="Times New Roman" w:eastAsia="Times New Roman" w:hAnsi="Times New Roman" w:cs="Times New Roman"/>
      <w:snapToGrid w:val="0"/>
      <w:sz w:val="20"/>
      <w:szCs w:val="20"/>
      <w:lang w:val="en-GB" w:eastAsia="en-US"/>
    </w:rPr>
  </w:style>
  <w:style w:type="paragraph" w:customStyle="1" w:styleId="Yclause-e">
    <w:name w:val="Yclause-e"/>
    <w:basedOn w:val="Normal"/>
    <w:rsid w:val="009669DF"/>
    <w:pPr>
      <w:shd w:val="clear" w:color="auto" w:fill="D9D9D9"/>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eastAsia="en-US"/>
    </w:rPr>
  </w:style>
  <w:style w:type="paragraph" w:customStyle="1" w:styleId="Yparagraph-e">
    <w:name w:val="Yparagraph-e"/>
    <w:basedOn w:val="Normal"/>
    <w:rsid w:val="009669DF"/>
    <w:pPr>
      <w:shd w:val="clear" w:color="auto" w:fill="D9D9D9"/>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eastAsia="en-US"/>
    </w:rPr>
  </w:style>
  <w:style w:type="paragraph" w:customStyle="1" w:styleId="Ysubpara-e">
    <w:name w:val="Ysubpara-e"/>
    <w:basedOn w:val="Normal"/>
    <w:rsid w:val="009669DF"/>
    <w:pPr>
      <w:shd w:val="clear" w:color="auto" w:fill="D9D9D9"/>
      <w:tabs>
        <w:tab w:val="right" w:pos="837"/>
        <w:tab w:val="left" w:pos="956"/>
      </w:tabs>
      <w:spacing w:before="111" w:after="0" w:line="209" w:lineRule="exact"/>
      <w:ind w:left="955" w:hanging="955"/>
      <w:jc w:val="both"/>
    </w:pPr>
    <w:rPr>
      <w:rFonts w:ascii="Times New Roman" w:eastAsia="Times New Roman" w:hAnsi="Times New Roman" w:cs="Times New Roman"/>
      <w:snapToGrid w:val="0"/>
      <w:sz w:val="20"/>
      <w:szCs w:val="20"/>
      <w:lang w:val="en-GB" w:eastAsia="en-US"/>
    </w:rPr>
  </w:style>
  <w:style w:type="paragraph" w:customStyle="1" w:styleId="Standard-e">
    <w:name w:val="Standard-e"/>
    <w:basedOn w:val="section-e"/>
    <w:link w:val="Standard-eChar"/>
    <w:rsid w:val="009669DF"/>
  </w:style>
  <w:style w:type="paragraph" w:customStyle="1" w:styleId="Yheadnote-e">
    <w:name w:val="Yheadnote-e"/>
    <w:basedOn w:val="Normal"/>
    <w:rsid w:val="009669DF"/>
    <w:pPr>
      <w:keepLines/>
      <w:shd w:val="clear" w:color="auto" w:fill="D9D9D9"/>
      <w:tabs>
        <w:tab w:val="left" w:pos="0"/>
      </w:tabs>
      <w:suppressAutoHyphens/>
      <w:spacing w:before="120" w:after="0" w:line="180" w:lineRule="exact"/>
    </w:pPr>
    <w:rPr>
      <w:rFonts w:ascii="Times New Roman" w:eastAsia="Times New Roman" w:hAnsi="Times New Roman" w:cs="Times New Roman"/>
      <w:b/>
      <w:snapToGrid w:val="0"/>
      <w:sz w:val="16"/>
      <w:szCs w:val="20"/>
      <w:lang w:val="en-GB" w:eastAsia="en-US"/>
    </w:rPr>
  </w:style>
  <w:style w:type="character" w:customStyle="1" w:styleId="ovitalic">
    <w:name w:val="ovitalic"/>
    <w:rsid w:val="009669DF"/>
    <w:rPr>
      <w:i/>
    </w:rPr>
  </w:style>
  <w:style w:type="character" w:customStyle="1" w:styleId="ovsmallcap">
    <w:name w:val="ovsmallcap"/>
    <w:rsid w:val="009669DF"/>
    <w:rPr>
      <w:smallCaps/>
    </w:rPr>
  </w:style>
  <w:style w:type="character" w:customStyle="1" w:styleId="Standard-eChar">
    <w:name w:val="Standard-e Char"/>
    <w:link w:val="Standard-e"/>
    <w:rsid w:val="009669DF"/>
    <w:rPr>
      <w:rFonts w:ascii="Times New Roman" w:eastAsia="Times New Roman" w:hAnsi="Times New Roman" w:cs="Times New Roman"/>
      <w:snapToGrid w:val="0"/>
      <w:sz w:val="20"/>
      <w:szCs w:val="20"/>
      <w:lang w:val="en-GB"/>
    </w:rPr>
  </w:style>
  <w:style w:type="character" w:customStyle="1" w:styleId="section-eChar">
    <w:name w:val="section-e Char"/>
    <w:link w:val="section-e"/>
    <w:rsid w:val="009669DF"/>
    <w:rPr>
      <w:rFonts w:ascii="Times New Roman" w:eastAsia="Times New Roman" w:hAnsi="Times New Roman" w:cs="Times New Roman"/>
      <w:snapToGrid w:val="0"/>
      <w:sz w:val="20"/>
      <w:szCs w:val="20"/>
      <w:lang w:val="en-GB"/>
    </w:rPr>
  </w:style>
  <w:style w:type="character" w:customStyle="1" w:styleId="Pnote-eChar">
    <w:name w:val="Pnote-e Char"/>
    <w:link w:val="Pnote-e"/>
    <w:rsid w:val="009669DF"/>
    <w:rPr>
      <w:rFonts w:ascii="Times New Roman" w:eastAsia="Times New Roman" w:hAnsi="Times New Roman" w:cs="Times New Roman"/>
      <w:b/>
      <w:snapToGrid w:val="0"/>
      <w:sz w:val="16"/>
      <w:szCs w:val="20"/>
      <w:shd w:val="pct15" w:color="auto" w:fill="FFFFFF"/>
      <w:lang w:val="en-GB"/>
    </w:rPr>
  </w:style>
  <w:style w:type="character" w:styleId="Hyperlink">
    <w:name w:val="Hyperlink"/>
    <w:rsid w:val="009669DF"/>
    <w:rPr>
      <w:color w:val="auto"/>
      <w:u w:val="none"/>
    </w:rPr>
  </w:style>
  <w:style w:type="paragraph" w:customStyle="1" w:styleId="regnumber-e">
    <w:name w:val="regnumber-e"/>
    <w:rsid w:val="009669DF"/>
    <w:pPr>
      <w:keepNext/>
      <w:tabs>
        <w:tab w:val="left" w:pos="0"/>
        <w:tab w:val="right" w:pos="14400"/>
      </w:tabs>
      <w:spacing w:after="140" w:line="224" w:lineRule="exact"/>
      <w:jc w:val="center"/>
    </w:pPr>
    <w:rPr>
      <w:rFonts w:ascii="Times New Roman" w:eastAsia="Times New Roman" w:hAnsi="Times New Roman" w:cs="Times New Roman"/>
      <w:b/>
      <w:caps/>
      <w:snapToGrid w:val="0"/>
      <w:sz w:val="23"/>
      <w:szCs w:val="20"/>
      <w:lang w:val="en-GB"/>
    </w:rPr>
  </w:style>
  <w:style w:type="paragraph" w:customStyle="1" w:styleId="regtitle-e">
    <w:name w:val="regtitle-e"/>
    <w:rsid w:val="009669DF"/>
    <w:pPr>
      <w:keepNext/>
      <w:tabs>
        <w:tab w:val="left" w:pos="0"/>
        <w:tab w:val="right" w:pos="14400"/>
      </w:tabs>
      <w:suppressAutoHyphens/>
      <w:spacing w:after="139" w:line="224" w:lineRule="exact"/>
      <w:jc w:val="center"/>
    </w:pPr>
    <w:rPr>
      <w:rFonts w:ascii="Times New Roman" w:eastAsia="Times New Roman" w:hAnsi="Times New Roman" w:cs="Times New Roman"/>
      <w:b/>
      <w:caps/>
      <w:snapToGrid w:val="0"/>
      <w:sz w:val="23"/>
      <w:szCs w:val="20"/>
      <w:lang w:val="en-GB"/>
    </w:rPr>
  </w:style>
  <w:style w:type="paragraph" w:customStyle="1" w:styleId="version-e">
    <w:name w:val="version-e"/>
    <w:rsid w:val="009669DF"/>
    <w:pPr>
      <w:tabs>
        <w:tab w:val="left" w:pos="0"/>
      </w:tabs>
      <w:spacing w:before="139" w:after="0" w:line="190" w:lineRule="exact"/>
    </w:pPr>
    <w:rPr>
      <w:rFonts w:ascii="Times New Roman" w:eastAsia="Times New Roman" w:hAnsi="Times New Roman" w:cs="Times New Roman"/>
      <w:b/>
      <w:i/>
      <w:snapToGrid w:val="0"/>
      <w:sz w:val="20"/>
      <w:szCs w:val="20"/>
      <w:lang w:val="en-GB"/>
    </w:rPr>
  </w:style>
  <w:style w:type="paragraph" w:styleId="ListParagraph">
    <w:name w:val="List Paragraph"/>
    <w:basedOn w:val="Normal"/>
    <w:uiPriority w:val="34"/>
    <w:qFormat/>
    <w:rsid w:val="002D089F"/>
    <w:pPr>
      <w:ind w:left="720"/>
      <w:contextualSpacing/>
    </w:pPr>
  </w:style>
  <w:style w:type="table" w:styleId="TableGrid">
    <w:name w:val="Table Grid"/>
    <w:basedOn w:val="TableNormal"/>
    <w:uiPriority w:val="59"/>
    <w:rsid w:val="00F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964"/>
    <w:rPr>
      <w:rFonts w:eastAsiaTheme="minorEastAsia"/>
      <w:lang w:eastAsia="en-CA"/>
    </w:rPr>
  </w:style>
  <w:style w:type="paragraph" w:styleId="Footer">
    <w:name w:val="footer"/>
    <w:basedOn w:val="Normal"/>
    <w:link w:val="FooterChar"/>
    <w:uiPriority w:val="99"/>
    <w:unhideWhenUsed/>
    <w:rsid w:val="00C32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964"/>
    <w:rPr>
      <w:rFonts w:eastAsiaTheme="minorEastAsia"/>
      <w:lang w:eastAsia="en-CA"/>
    </w:rPr>
  </w:style>
  <w:style w:type="character" w:customStyle="1" w:styleId="Heading3Char">
    <w:name w:val="Heading 3 Char"/>
    <w:basedOn w:val="DefaultParagraphFont"/>
    <w:link w:val="Heading3"/>
    <w:uiPriority w:val="9"/>
    <w:semiHidden/>
    <w:rsid w:val="0045509C"/>
    <w:rPr>
      <w:rFonts w:asciiTheme="majorHAnsi" w:eastAsiaTheme="majorEastAsia" w:hAnsiTheme="majorHAnsi" w:cstheme="majorBidi"/>
      <w:b/>
      <w:bCs/>
      <w:color w:val="4F81BD" w:themeColor="accent1"/>
      <w:lang w:eastAsia="en-CA"/>
    </w:rPr>
  </w:style>
  <w:style w:type="paragraph" w:styleId="FootnoteText">
    <w:name w:val="footnote text"/>
    <w:basedOn w:val="Normal"/>
    <w:link w:val="FootnoteTextChar"/>
    <w:uiPriority w:val="99"/>
    <w:semiHidden/>
    <w:unhideWhenUsed/>
    <w:rsid w:val="003334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34FB"/>
    <w:rPr>
      <w:rFonts w:eastAsiaTheme="minorEastAsia"/>
      <w:sz w:val="20"/>
      <w:szCs w:val="20"/>
      <w:lang w:eastAsia="en-CA"/>
    </w:rPr>
  </w:style>
  <w:style w:type="character" w:styleId="FootnoteReference">
    <w:name w:val="footnote reference"/>
    <w:basedOn w:val="DefaultParagraphFont"/>
    <w:uiPriority w:val="99"/>
    <w:semiHidden/>
    <w:unhideWhenUsed/>
    <w:rsid w:val="003334FB"/>
    <w:rPr>
      <w:vertAlign w:val="superscript"/>
    </w:rPr>
  </w:style>
  <w:style w:type="paragraph" w:styleId="BalloonText">
    <w:name w:val="Balloon Text"/>
    <w:basedOn w:val="Normal"/>
    <w:link w:val="BalloonTextChar"/>
    <w:uiPriority w:val="99"/>
    <w:semiHidden/>
    <w:unhideWhenUsed/>
    <w:rsid w:val="003F5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161"/>
    <w:rPr>
      <w:rFonts w:ascii="Tahoma" w:eastAsiaTheme="minorEastAsia" w:hAnsi="Tahoma" w:cs="Tahoma"/>
      <w:sz w:val="16"/>
      <w:szCs w:val="16"/>
      <w:lang w:eastAsia="en-CA"/>
    </w:rPr>
  </w:style>
  <w:style w:type="character" w:styleId="CommentReference">
    <w:name w:val="annotation reference"/>
    <w:basedOn w:val="DefaultParagraphFont"/>
    <w:uiPriority w:val="99"/>
    <w:semiHidden/>
    <w:unhideWhenUsed/>
    <w:rsid w:val="007A3859"/>
    <w:rPr>
      <w:sz w:val="16"/>
      <w:szCs w:val="16"/>
    </w:rPr>
  </w:style>
  <w:style w:type="paragraph" w:styleId="CommentText">
    <w:name w:val="annotation text"/>
    <w:basedOn w:val="Normal"/>
    <w:link w:val="CommentTextChar"/>
    <w:uiPriority w:val="99"/>
    <w:semiHidden/>
    <w:unhideWhenUsed/>
    <w:rsid w:val="007A3859"/>
    <w:pPr>
      <w:spacing w:line="240" w:lineRule="auto"/>
    </w:pPr>
    <w:rPr>
      <w:sz w:val="20"/>
      <w:szCs w:val="20"/>
    </w:rPr>
  </w:style>
  <w:style w:type="character" w:customStyle="1" w:styleId="CommentTextChar">
    <w:name w:val="Comment Text Char"/>
    <w:basedOn w:val="DefaultParagraphFont"/>
    <w:link w:val="CommentText"/>
    <w:uiPriority w:val="99"/>
    <w:semiHidden/>
    <w:rsid w:val="007A3859"/>
    <w:rPr>
      <w:rFonts w:eastAsiaTheme="minorEastAsia"/>
      <w:sz w:val="20"/>
      <w:szCs w:val="20"/>
      <w:lang w:eastAsia="en-CA"/>
    </w:rPr>
  </w:style>
  <w:style w:type="paragraph" w:styleId="CommentSubject">
    <w:name w:val="annotation subject"/>
    <w:basedOn w:val="CommentText"/>
    <w:next w:val="CommentText"/>
    <w:link w:val="CommentSubjectChar"/>
    <w:uiPriority w:val="99"/>
    <w:semiHidden/>
    <w:unhideWhenUsed/>
    <w:rsid w:val="007A3859"/>
    <w:rPr>
      <w:b/>
      <w:bCs/>
    </w:rPr>
  </w:style>
  <w:style w:type="character" w:customStyle="1" w:styleId="CommentSubjectChar">
    <w:name w:val="Comment Subject Char"/>
    <w:basedOn w:val="CommentTextChar"/>
    <w:link w:val="CommentSubject"/>
    <w:uiPriority w:val="99"/>
    <w:semiHidden/>
    <w:rsid w:val="007A3859"/>
    <w:rPr>
      <w:rFonts w:eastAsiaTheme="minorEastAsia"/>
      <w:b/>
      <w:bCs/>
      <w:sz w:val="20"/>
      <w:szCs w:val="20"/>
      <w:lang w:eastAsia="en-CA"/>
    </w:rPr>
  </w:style>
  <w:style w:type="character" w:customStyle="1" w:styleId="canliisectionwithsubsection1">
    <w:name w:val="canlii_section_with_subsection1"/>
    <w:basedOn w:val="DefaultParagraphFont"/>
    <w:rsid w:val="0054316B"/>
    <w:rPr>
      <w:strike w:val="0"/>
      <w:dstrike w:val="0"/>
      <w:color w:val="027ABB"/>
      <w:u w:val="none"/>
      <w:effect w:val="none"/>
      <w:shd w:val="clear" w:color="auto" w:fill="F3F3F3"/>
    </w:rPr>
  </w:style>
  <w:style w:type="character" w:customStyle="1" w:styleId="canliisubsection1">
    <w:name w:val="canlii_subsection1"/>
    <w:basedOn w:val="DefaultParagraphFont"/>
    <w:rsid w:val="0054316B"/>
    <w:rPr>
      <w:strike w:val="0"/>
      <w:dstrike w:val="0"/>
      <w:color w:val="027ABB"/>
      <w:u w:val="none"/>
      <w:effect w:val="none"/>
      <w:shd w:val="clear" w:color="auto" w:fill="F3F3F3"/>
    </w:rPr>
  </w:style>
  <w:style w:type="paragraph" w:customStyle="1" w:styleId="clause-e1">
    <w:name w:val="clause-e1"/>
    <w:basedOn w:val="Normal"/>
    <w:rsid w:val="0054316B"/>
    <w:pPr>
      <w:snapToGrid w:val="0"/>
      <w:spacing w:after="120" w:line="240" w:lineRule="auto"/>
      <w:ind w:left="1111" w:hanging="400"/>
    </w:pPr>
    <w:rPr>
      <w:rFonts w:ascii="Times New Roman" w:eastAsia="Times New Roman" w:hAnsi="Times New Roman" w:cs="Times New Roman"/>
      <w:sz w:val="26"/>
      <w:szCs w:val="26"/>
    </w:rPr>
  </w:style>
  <w:style w:type="paragraph" w:customStyle="1" w:styleId="section-e1">
    <w:name w:val="section-e1"/>
    <w:basedOn w:val="Normal"/>
    <w:rsid w:val="0054316B"/>
    <w:pPr>
      <w:snapToGrid w:val="0"/>
      <w:spacing w:after="120" w:line="240" w:lineRule="auto"/>
      <w:ind w:firstLine="600"/>
    </w:pPr>
    <w:rPr>
      <w:rFonts w:ascii="Times New Roman" w:eastAsia="Times New Roman" w:hAnsi="Times New Roman" w:cs="Times New Roman"/>
      <w:sz w:val="26"/>
      <w:szCs w:val="26"/>
    </w:rPr>
  </w:style>
  <w:style w:type="paragraph" w:customStyle="1" w:styleId="subsection-e1">
    <w:name w:val="subsection-e1"/>
    <w:basedOn w:val="Normal"/>
    <w:rsid w:val="0054316B"/>
    <w:pPr>
      <w:snapToGrid w:val="0"/>
      <w:spacing w:after="120" w:line="240" w:lineRule="auto"/>
      <w:ind w:firstLine="600"/>
    </w:pPr>
    <w:rPr>
      <w:rFonts w:ascii="Times New Roman" w:eastAsia="Times New Roman" w:hAnsi="Times New Roman" w:cs="Times New Roman"/>
      <w:sz w:val="26"/>
      <w:szCs w:val="26"/>
    </w:rPr>
  </w:style>
  <w:style w:type="paragraph" w:customStyle="1" w:styleId="headnote-e1">
    <w:name w:val="headnote-e1"/>
    <w:basedOn w:val="Normal"/>
    <w:rsid w:val="0054316B"/>
    <w:pPr>
      <w:keepNext/>
      <w:snapToGrid w:val="0"/>
      <w:spacing w:after="0" w:line="240" w:lineRule="auto"/>
    </w:pPr>
    <w:rPr>
      <w:rFonts w:ascii="Times New Roman" w:eastAsia="Times New Roman" w:hAnsi="Times New Roman" w:cs="Times New Roman"/>
      <w:b/>
      <w:bCs/>
      <w:sz w:val="26"/>
      <w:szCs w:val="26"/>
    </w:rPr>
  </w:style>
  <w:style w:type="paragraph" w:customStyle="1" w:styleId="Default">
    <w:name w:val="Default"/>
    <w:rsid w:val="00616FB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9DF"/>
    <w:rPr>
      <w:rFonts w:eastAsiaTheme="minorEastAsia"/>
      <w:lang w:eastAsia="en-CA"/>
    </w:rPr>
  </w:style>
  <w:style w:type="paragraph" w:styleId="Heading3">
    <w:name w:val="heading 3"/>
    <w:basedOn w:val="Normal"/>
    <w:next w:val="Normal"/>
    <w:link w:val="Heading3Char"/>
    <w:uiPriority w:val="9"/>
    <w:semiHidden/>
    <w:unhideWhenUsed/>
    <w:qFormat/>
    <w:rsid w:val="0045509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69DF"/>
    <w:pPr>
      <w:spacing w:after="0" w:line="240" w:lineRule="auto"/>
    </w:pPr>
    <w:rPr>
      <w:rFonts w:eastAsiaTheme="minorEastAsia"/>
      <w:lang w:eastAsia="en-CA"/>
    </w:rPr>
  </w:style>
  <w:style w:type="paragraph" w:customStyle="1" w:styleId="chapter-e">
    <w:name w:val="chapter-e"/>
    <w:rsid w:val="009669DF"/>
    <w:pPr>
      <w:keepNext/>
      <w:tabs>
        <w:tab w:val="left" w:pos="0"/>
      </w:tabs>
      <w:suppressAutoHyphens/>
      <w:spacing w:after="309" w:line="269" w:lineRule="atLeast"/>
      <w:jc w:val="center"/>
    </w:pPr>
    <w:rPr>
      <w:rFonts w:ascii="Times New Roman" w:eastAsia="Times New Roman" w:hAnsi="Times New Roman" w:cs="Times New Roman"/>
      <w:caps/>
      <w:snapToGrid w:val="0"/>
      <w:sz w:val="24"/>
      <w:szCs w:val="20"/>
      <w:lang w:val="en-GB"/>
    </w:rPr>
  </w:style>
  <w:style w:type="paragraph" w:customStyle="1" w:styleId="line-e">
    <w:name w:val="line-e"/>
    <w:rsid w:val="009669DF"/>
    <w:pPr>
      <w:tabs>
        <w:tab w:val="left" w:pos="0"/>
      </w:tabs>
      <w:spacing w:before="60" w:after="60" w:line="209" w:lineRule="exact"/>
      <w:jc w:val="center"/>
    </w:pPr>
    <w:rPr>
      <w:rFonts w:ascii="Times New Roman" w:eastAsia="Times New Roman" w:hAnsi="Times New Roman" w:cs="Times New Roman"/>
      <w:snapToGrid w:val="0"/>
      <w:sz w:val="20"/>
      <w:szCs w:val="20"/>
      <w:lang w:val="en-GB"/>
    </w:rPr>
  </w:style>
  <w:style w:type="paragraph" w:customStyle="1" w:styleId="shorttitle-e">
    <w:name w:val="shorttitle-e"/>
    <w:basedOn w:val="Normal"/>
    <w:rsid w:val="009669DF"/>
    <w:pPr>
      <w:keepNext/>
      <w:tabs>
        <w:tab w:val="left" w:pos="0"/>
      </w:tabs>
      <w:suppressAutoHyphens/>
      <w:spacing w:after="578" w:line="270" w:lineRule="exact"/>
      <w:jc w:val="center"/>
    </w:pPr>
    <w:rPr>
      <w:rFonts w:ascii="Times New Roman" w:eastAsia="Times New Roman" w:hAnsi="Times New Roman" w:cs="Times New Roman"/>
      <w:b/>
      <w:snapToGrid w:val="0"/>
      <w:sz w:val="24"/>
      <w:szCs w:val="20"/>
      <w:lang w:val="en-GB" w:eastAsia="en-US"/>
    </w:rPr>
  </w:style>
  <w:style w:type="paragraph" w:customStyle="1" w:styleId="comment-e">
    <w:name w:val="comment-e"/>
    <w:rsid w:val="009669DF"/>
    <w:pPr>
      <w:tabs>
        <w:tab w:val="left" w:pos="0"/>
        <w:tab w:val="left" w:pos="720"/>
        <w:tab w:val="left" w:pos="1440"/>
        <w:tab w:val="left" w:pos="2160"/>
      </w:tabs>
      <w:suppressAutoHyphens/>
      <w:spacing w:before="120" w:after="120" w:line="240" w:lineRule="auto"/>
    </w:pPr>
    <w:rPr>
      <w:rFonts w:ascii="Times New Roman" w:eastAsia="Times New Roman" w:hAnsi="Times New Roman" w:cs="Times New Roman"/>
      <w:snapToGrid w:val="0"/>
      <w:sz w:val="20"/>
      <w:szCs w:val="20"/>
      <w:lang w:val="en-GB"/>
    </w:rPr>
  </w:style>
  <w:style w:type="paragraph" w:customStyle="1" w:styleId="ConsolidationPeriod-e">
    <w:name w:val="ConsolidationPeriod-e"/>
    <w:rsid w:val="009669DF"/>
    <w:pPr>
      <w:widowControl w:val="0"/>
      <w:spacing w:before="90" w:after="0" w:line="190" w:lineRule="exact"/>
    </w:pPr>
    <w:rPr>
      <w:rFonts w:ascii="Times New Roman" w:eastAsia="Times New Roman" w:hAnsi="Times New Roman" w:cs="Times New Roman"/>
      <w:bCs/>
      <w:color w:val="FF0000"/>
      <w:sz w:val="18"/>
      <w:szCs w:val="20"/>
    </w:rPr>
  </w:style>
  <w:style w:type="paragraph" w:customStyle="1" w:styleId="Pnote-e">
    <w:name w:val="Pnote-e"/>
    <w:link w:val="Pnote-eChar"/>
    <w:rsid w:val="009669DF"/>
    <w:pPr>
      <w:shd w:val="pct15" w:color="auto" w:fill="FFFFFF"/>
      <w:tabs>
        <w:tab w:val="left" w:pos="0"/>
      </w:tabs>
      <w:spacing w:before="100" w:after="0" w:line="179" w:lineRule="exact"/>
      <w:jc w:val="both"/>
    </w:pPr>
    <w:rPr>
      <w:rFonts w:ascii="Times New Roman" w:eastAsia="Times New Roman" w:hAnsi="Times New Roman" w:cs="Times New Roman"/>
      <w:b/>
      <w:snapToGrid w:val="0"/>
      <w:sz w:val="16"/>
      <w:szCs w:val="20"/>
      <w:lang w:val="en-GB"/>
    </w:rPr>
  </w:style>
  <w:style w:type="paragraph" w:customStyle="1" w:styleId="section-e">
    <w:name w:val="section-e"/>
    <w:link w:val="section-eChar"/>
    <w:rsid w:val="009669DF"/>
    <w:pPr>
      <w:tabs>
        <w:tab w:val="left" w:pos="0"/>
        <w:tab w:val="left" w:pos="189"/>
      </w:tabs>
      <w:spacing w:before="100" w:after="0" w:line="209" w:lineRule="exact"/>
      <w:jc w:val="both"/>
    </w:pPr>
    <w:rPr>
      <w:rFonts w:ascii="Times New Roman" w:eastAsia="Times New Roman" w:hAnsi="Times New Roman" w:cs="Times New Roman"/>
      <w:snapToGrid w:val="0"/>
      <w:sz w:val="20"/>
      <w:szCs w:val="20"/>
      <w:lang w:val="en-GB"/>
    </w:rPr>
  </w:style>
  <w:style w:type="paragraph" w:customStyle="1" w:styleId="Yfirstdef-e">
    <w:name w:val="Yfirstdef-e"/>
    <w:basedOn w:val="Normal"/>
    <w:rsid w:val="009669DF"/>
    <w:pPr>
      <w:shd w:val="clear" w:color="auto" w:fill="D9D9D9"/>
      <w:tabs>
        <w:tab w:val="left" w:pos="0"/>
      </w:tabs>
      <w:spacing w:before="111" w:after="0" w:line="209" w:lineRule="exact"/>
      <w:ind w:left="189" w:hanging="189"/>
      <w:jc w:val="both"/>
    </w:pPr>
    <w:rPr>
      <w:rFonts w:ascii="Times New Roman" w:eastAsia="Times New Roman" w:hAnsi="Times New Roman" w:cs="Times New Roman"/>
      <w:snapToGrid w:val="0"/>
      <w:sz w:val="20"/>
      <w:szCs w:val="20"/>
      <w:lang w:val="en-GB" w:eastAsia="en-US"/>
    </w:rPr>
  </w:style>
  <w:style w:type="paragraph" w:customStyle="1" w:styleId="Ydefinition-e">
    <w:name w:val="Ydefinition-e"/>
    <w:basedOn w:val="Normal"/>
    <w:rsid w:val="009669DF"/>
    <w:pPr>
      <w:shd w:val="clear" w:color="auto" w:fill="D9D9D9"/>
      <w:tabs>
        <w:tab w:val="left" w:pos="0"/>
      </w:tabs>
      <w:spacing w:before="111" w:after="0" w:line="209" w:lineRule="exact"/>
      <w:ind w:left="189" w:hanging="189"/>
      <w:jc w:val="both"/>
    </w:pPr>
    <w:rPr>
      <w:rFonts w:ascii="Times New Roman" w:eastAsia="Times New Roman" w:hAnsi="Times New Roman" w:cs="Times New Roman"/>
      <w:snapToGrid w:val="0"/>
      <w:sz w:val="20"/>
      <w:szCs w:val="20"/>
      <w:lang w:val="en-GB" w:eastAsia="en-US"/>
    </w:rPr>
  </w:style>
  <w:style w:type="paragraph" w:customStyle="1" w:styleId="Ydefclause-e">
    <w:name w:val="Ydefclause-e"/>
    <w:basedOn w:val="Normal"/>
    <w:rsid w:val="009669DF"/>
    <w:pPr>
      <w:shd w:val="clear" w:color="auto" w:fill="D9D9D9"/>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eastAsia="en-US"/>
    </w:rPr>
  </w:style>
  <w:style w:type="paragraph" w:customStyle="1" w:styleId="Ysection-e">
    <w:name w:val="Ysection-e"/>
    <w:basedOn w:val="section-e"/>
    <w:rsid w:val="009669DF"/>
    <w:pPr>
      <w:shd w:val="clear" w:color="auto" w:fill="D9D9D9"/>
    </w:pPr>
  </w:style>
  <w:style w:type="paragraph" w:customStyle="1" w:styleId="Ysubsection-e">
    <w:name w:val="Ysubsection-e"/>
    <w:basedOn w:val="Normal"/>
    <w:rsid w:val="009669DF"/>
    <w:pPr>
      <w:shd w:val="clear" w:color="auto" w:fill="D9D9D9"/>
      <w:tabs>
        <w:tab w:val="left" w:pos="0"/>
        <w:tab w:val="left" w:pos="189"/>
      </w:tabs>
      <w:spacing w:before="100" w:after="0" w:line="209" w:lineRule="exact"/>
      <w:jc w:val="both"/>
    </w:pPr>
    <w:rPr>
      <w:rFonts w:ascii="Times New Roman" w:eastAsia="Times New Roman" w:hAnsi="Times New Roman" w:cs="Times New Roman"/>
      <w:snapToGrid w:val="0"/>
      <w:sz w:val="20"/>
      <w:szCs w:val="20"/>
      <w:lang w:val="en-GB" w:eastAsia="en-US"/>
    </w:rPr>
  </w:style>
  <w:style w:type="paragraph" w:customStyle="1" w:styleId="Yclause-e">
    <w:name w:val="Yclause-e"/>
    <w:basedOn w:val="Normal"/>
    <w:rsid w:val="009669DF"/>
    <w:pPr>
      <w:shd w:val="clear" w:color="auto" w:fill="D9D9D9"/>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eastAsia="en-US"/>
    </w:rPr>
  </w:style>
  <w:style w:type="paragraph" w:customStyle="1" w:styleId="Yparagraph-e">
    <w:name w:val="Yparagraph-e"/>
    <w:basedOn w:val="Normal"/>
    <w:rsid w:val="009669DF"/>
    <w:pPr>
      <w:shd w:val="clear" w:color="auto" w:fill="D9D9D9"/>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eastAsia="en-US"/>
    </w:rPr>
  </w:style>
  <w:style w:type="paragraph" w:customStyle="1" w:styleId="Ysubpara-e">
    <w:name w:val="Ysubpara-e"/>
    <w:basedOn w:val="Normal"/>
    <w:rsid w:val="009669DF"/>
    <w:pPr>
      <w:shd w:val="clear" w:color="auto" w:fill="D9D9D9"/>
      <w:tabs>
        <w:tab w:val="right" w:pos="837"/>
        <w:tab w:val="left" w:pos="956"/>
      </w:tabs>
      <w:spacing w:before="111" w:after="0" w:line="209" w:lineRule="exact"/>
      <w:ind w:left="955" w:hanging="955"/>
      <w:jc w:val="both"/>
    </w:pPr>
    <w:rPr>
      <w:rFonts w:ascii="Times New Roman" w:eastAsia="Times New Roman" w:hAnsi="Times New Roman" w:cs="Times New Roman"/>
      <w:snapToGrid w:val="0"/>
      <w:sz w:val="20"/>
      <w:szCs w:val="20"/>
      <w:lang w:val="en-GB" w:eastAsia="en-US"/>
    </w:rPr>
  </w:style>
  <w:style w:type="paragraph" w:customStyle="1" w:styleId="Standard-e">
    <w:name w:val="Standard-e"/>
    <w:basedOn w:val="section-e"/>
    <w:link w:val="Standard-eChar"/>
    <w:rsid w:val="009669DF"/>
  </w:style>
  <w:style w:type="paragraph" w:customStyle="1" w:styleId="Yheadnote-e">
    <w:name w:val="Yheadnote-e"/>
    <w:basedOn w:val="Normal"/>
    <w:rsid w:val="009669DF"/>
    <w:pPr>
      <w:keepLines/>
      <w:shd w:val="clear" w:color="auto" w:fill="D9D9D9"/>
      <w:tabs>
        <w:tab w:val="left" w:pos="0"/>
      </w:tabs>
      <w:suppressAutoHyphens/>
      <w:spacing w:before="120" w:after="0" w:line="180" w:lineRule="exact"/>
    </w:pPr>
    <w:rPr>
      <w:rFonts w:ascii="Times New Roman" w:eastAsia="Times New Roman" w:hAnsi="Times New Roman" w:cs="Times New Roman"/>
      <w:b/>
      <w:snapToGrid w:val="0"/>
      <w:sz w:val="16"/>
      <w:szCs w:val="20"/>
      <w:lang w:val="en-GB" w:eastAsia="en-US"/>
    </w:rPr>
  </w:style>
  <w:style w:type="character" w:customStyle="1" w:styleId="ovitalic">
    <w:name w:val="ovitalic"/>
    <w:rsid w:val="009669DF"/>
    <w:rPr>
      <w:i/>
    </w:rPr>
  </w:style>
  <w:style w:type="character" w:customStyle="1" w:styleId="ovsmallcap">
    <w:name w:val="ovsmallcap"/>
    <w:rsid w:val="009669DF"/>
    <w:rPr>
      <w:smallCaps/>
    </w:rPr>
  </w:style>
  <w:style w:type="character" w:customStyle="1" w:styleId="Standard-eChar">
    <w:name w:val="Standard-e Char"/>
    <w:link w:val="Standard-e"/>
    <w:rsid w:val="009669DF"/>
    <w:rPr>
      <w:rFonts w:ascii="Times New Roman" w:eastAsia="Times New Roman" w:hAnsi="Times New Roman" w:cs="Times New Roman"/>
      <w:snapToGrid w:val="0"/>
      <w:sz w:val="20"/>
      <w:szCs w:val="20"/>
      <w:lang w:val="en-GB"/>
    </w:rPr>
  </w:style>
  <w:style w:type="character" w:customStyle="1" w:styleId="section-eChar">
    <w:name w:val="section-e Char"/>
    <w:link w:val="section-e"/>
    <w:rsid w:val="009669DF"/>
    <w:rPr>
      <w:rFonts w:ascii="Times New Roman" w:eastAsia="Times New Roman" w:hAnsi="Times New Roman" w:cs="Times New Roman"/>
      <w:snapToGrid w:val="0"/>
      <w:sz w:val="20"/>
      <w:szCs w:val="20"/>
      <w:lang w:val="en-GB"/>
    </w:rPr>
  </w:style>
  <w:style w:type="character" w:customStyle="1" w:styleId="Pnote-eChar">
    <w:name w:val="Pnote-e Char"/>
    <w:link w:val="Pnote-e"/>
    <w:rsid w:val="009669DF"/>
    <w:rPr>
      <w:rFonts w:ascii="Times New Roman" w:eastAsia="Times New Roman" w:hAnsi="Times New Roman" w:cs="Times New Roman"/>
      <w:b/>
      <w:snapToGrid w:val="0"/>
      <w:sz w:val="16"/>
      <w:szCs w:val="20"/>
      <w:shd w:val="pct15" w:color="auto" w:fill="FFFFFF"/>
      <w:lang w:val="en-GB"/>
    </w:rPr>
  </w:style>
  <w:style w:type="character" w:styleId="Hyperlink">
    <w:name w:val="Hyperlink"/>
    <w:rsid w:val="009669DF"/>
    <w:rPr>
      <w:color w:val="auto"/>
      <w:u w:val="none"/>
    </w:rPr>
  </w:style>
  <w:style w:type="paragraph" w:customStyle="1" w:styleId="regnumber-e">
    <w:name w:val="regnumber-e"/>
    <w:rsid w:val="009669DF"/>
    <w:pPr>
      <w:keepNext/>
      <w:tabs>
        <w:tab w:val="left" w:pos="0"/>
        <w:tab w:val="right" w:pos="14400"/>
      </w:tabs>
      <w:spacing w:after="140" w:line="224" w:lineRule="exact"/>
      <w:jc w:val="center"/>
    </w:pPr>
    <w:rPr>
      <w:rFonts w:ascii="Times New Roman" w:eastAsia="Times New Roman" w:hAnsi="Times New Roman" w:cs="Times New Roman"/>
      <w:b/>
      <w:caps/>
      <w:snapToGrid w:val="0"/>
      <w:sz w:val="23"/>
      <w:szCs w:val="20"/>
      <w:lang w:val="en-GB"/>
    </w:rPr>
  </w:style>
  <w:style w:type="paragraph" w:customStyle="1" w:styleId="regtitle-e">
    <w:name w:val="regtitle-e"/>
    <w:rsid w:val="009669DF"/>
    <w:pPr>
      <w:keepNext/>
      <w:tabs>
        <w:tab w:val="left" w:pos="0"/>
        <w:tab w:val="right" w:pos="14400"/>
      </w:tabs>
      <w:suppressAutoHyphens/>
      <w:spacing w:after="139" w:line="224" w:lineRule="exact"/>
      <w:jc w:val="center"/>
    </w:pPr>
    <w:rPr>
      <w:rFonts w:ascii="Times New Roman" w:eastAsia="Times New Roman" w:hAnsi="Times New Roman" w:cs="Times New Roman"/>
      <w:b/>
      <w:caps/>
      <w:snapToGrid w:val="0"/>
      <w:sz w:val="23"/>
      <w:szCs w:val="20"/>
      <w:lang w:val="en-GB"/>
    </w:rPr>
  </w:style>
  <w:style w:type="paragraph" w:customStyle="1" w:styleId="version-e">
    <w:name w:val="version-e"/>
    <w:rsid w:val="009669DF"/>
    <w:pPr>
      <w:tabs>
        <w:tab w:val="left" w:pos="0"/>
      </w:tabs>
      <w:spacing w:before="139" w:after="0" w:line="190" w:lineRule="exact"/>
    </w:pPr>
    <w:rPr>
      <w:rFonts w:ascii="Times New Roman" w:eastAsia="Times New Roman" w:hAnsi="Times New Roman" w:cs="Times New Roman"/>
      <w:b/>
      <w:i/>
      <w:snapToGrid w:val="0"/>
      <w:sz w:val="20"/>
      <w:szCs w:val="20"/>
      <w:lang w:val="en-GB"/>
    </w:rPr>
  </w:style>
  <w:style w:type="paragraph" w:styleId="ListParagraph">
    <w:name w:val="List Paragraph"/>
    <w:basedOn w:val="Normal"/>
    <w:uiPriority w:val="34"/>
    <w:qFormat/>
    <w:rsid w:val="002D089F"/>
    <w:pPr>
      <w:ind w:left="720"/>
      <w:contextualSpacing/>
    </w:pPr>
  </w:style>
  <w:style w:type="table" w:styleId="TableGrid">
    <w:name w:val="Table Grid"/>
    <w:basedOn w:val="TableNormal"/>
    <w:uiPriority w:val="59"/>
    <w:rsid w:val="00F33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9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964"/>
    <w:rPr>
      <w:rFonts w:eastAsiaTheme="minorEastAsia"/>
      <w:lang w:eastAsia="en-CA"/>
    </w:rPr>
  </w:style>
  <w:style w:type="paragraph" w:styleId="Footer">
    <w:name w:val="footer"/>
    <w:basedOn w:val="Normal"/>
    <w:link w:val="FooterChar"/>
    <w:uiPriority w:val="99"/>
    <w:unhideWhenUsed/>
    <w:rsid w:val="00C329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964"/>
    <w:rPr>
      <w:rFonts w:eastAsiaTheme="minorEastAsia"/>
      <w:lang w:eastAsia="en-CA"/>
    </w:rPr>
  </w:style>
  <w:style w:type="character" w:customStyle="1" w:styleId="Heading3Char">
    <w:name w:val="Heading 3 Char"/>
    <w:basedOn w:val="DefaultParagraphFont"/>
    <w:link w:val="Heading3"/>
    <w:uiPriority w:val="9"/>
    <w:semiHidden/>
    <w:rsid w:val="0045509C"/>
    <w:rPr>
      <w:rFonts w:asciiTheme="majorHAnsi" w:eastAsiaTheme="majorEastAsia" w:hAnsiTheme="majorHAnsi" w:cstheme="majorBidi"/>
      <w:b/>
      <w:bCs/>
      <w:color w:val="4F81BD" w:themeColor="accent1"/>
      <w:lang w:eastAsia="en-CA"/>
    </w:rPr>
  </w:style>
  <w:style w:type="paragraph" w:styleId="FootnoteText">
    <w:name w:val="footnote text"/>
    <w:basedOn w:val="Normal"/>
    <w:link w:val="FootnoteTextChar"/>
    <w:uiPriority w:val="99"/>
    <w:semiHidden/>
    <w:unhideWhenUsed/>
    <w:rsid w:val="003334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34FB"/>
    <w:rPr>
      <w:rFonts w:eastAsiaTheme="minorEastAsia"/>
      <w:sz w:val="20"/>
      <w:szCs w:val="20"/>
      <w:lang w:eastAsia="en-CA"/>
    </w:rPr>
  </w:style>
  <w:style w:type="character" w:styleId="FootnoteReference">
    <w:name w:val="footnote reference"/>
    <w:basedOn w:val="DefaultParagraphFont"/>
    <w:uiPriority w:val="99"/>
    <w:semiHidden/>
    <w:unhideWhenUsed/>
    <w:rsid w:val="003334FB"/>
    <w:rPr>
      <w:vertAlign w:val="superscript"/>
    </w:rPr>
  </w:style>
  <w:style w:type="paragraph" w:styleId="BalloonText">
    <w:name w:val="Balloon Text"/>
    <w:basedOn w:val="Normal"/>
    <w:link w:val="BalloonTextChar"/>
    <w:uiPriority w:val="99"/>
    <w:semiHidden/>
    <w:unhideWhenUsed/>
    <w:rsid w:val="003F51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161"/>
    <w:rPr>
      <w:rFonts w:ascii="Tahoma" w:eastAsiaTheme="minorEastAsia" w:hAnsi="Tahoma" w:cs="Tahoma"/>
      <w:sz w:val="16"/>
      <w:szCs w:val="16"/>
      <w:lang w:eastAsia="en-CA"/>
    </w:rPr>
  </w:style>
  <w:style w:type="character" w:styleId="CommentReference">
    <w:name w:val="annotation reference"/>
    <w:basedOn w:val="DefaultParagraphFont"/>
    <w:uiPriority w:val="99"/>
    <w:semiHidden/>
    <w:unhideWhenUsed/>
    <w:rsid w:val="007A3859"/>
    <w:rPr>
      <w:sz w:val="16"/>
      <w:szCs w:val="16"/>
    </w:rPr>
  </w:style>
  <w:style w:type="paragraph" w:styleId="CommentText">
    <w:name w:val="annotation text"/>
    <w:basedOn w:val="Normal"/>
    <w:link w:val="CommentTextChar"/>
    <w:uiPriority w:val="99"/>
    <w:semiHidden/>
    <w:unhideWhenUsed/>
    <w:rsid w:val="007A3859"/>
    <w:pPr>
      <w:spacing w:line="240" w:lineRule="auto"/>
    </w:pPr>
    <w:rPr>
      <w:sz w:val="20"/>
      <w:szCs w:val="20"/>
    </w:rPr>
  </w:style>
  <w:style w:type="character" w:customStyle="1" w:styleId="CommentTextChar">
    <w:name w:val="Comment Text Char"/>
    <w:basedOn w:val="DefaultParagraphFont"/>
    <w:link w:val="CommentText"/>
    <w:uiPriority w:val="99"/>
    <w:semiHidden/>
    <w:rsid w:val="007A3859"/>
    <w:rPr>
      <w:rFonts w:eastAsiaTheme="minorEastAsia"/>
      <w:sz w:val="20"/>
      <w:szCs w:val="20"/>
      <w:lang w:eastAsia="en-CA"/>
    </w:rPr>
  </w:style>
  <w:style w:type="paragraph" w:styleId="CommentSubject">
    <w:name w:val="annotation subject"/>
    <w:basedOn w:val="CommentText"/>
    <w:next w:val="CommentText"/>
    <w:link w:val="CommentSubjectChar"/>
    <w:uiPriority w:val="99"/>
    <w:semiHidden/>
    <w:unhideWhenUsed/>
    <w:rsid w:val="007A3859"/>
    <w:rPr>
      <w:b/>
      <w:bCs/>
    </w:rPr>
  </w:style>
  <w:style w:type="character" w:customStyle="1" w:styleId="CommentSubjectChar">
    <w:name w:val="Comment Subject Char"/>
    <w:basedOn w:val="CommentTextChar"/>
    <w:link w:val="CommentSubject"/>
    <w:uiPriority w:val="99"/>
    <w:semiHidden/>
    <w:rsid w:val="007A3859"/>
    <w:rPr>
      <w:rFonts w:eastAsiaTheme="minorEastAsia"/>
      <w:b/>
      <w:bCs/>
      <w:sz w:val="20"/>
      <w:szCs w:val="20"/>
      <w:lang w:eastAsia="en-CA"/>
    </w:rPr>
  </w:style>
  <w:style w:type="character" w:customStyle="1" w:styleId="canliisectionwithsubsection1">
    <w:name w:val="canlii_section_with_subsection1"/>
    <w:basedOn w:val="DefaultParagraphFont"/>
    <w:rsid w:val="0054316B"/>
    <w:rPr>
      <w:strike w:val="0"/>
      <w:dstrike w:val="0"/>
      <w:color w:val="027ABB"/>
      <w:u w:val="none"/>
      <w:effect w:val="none"/>
      <w:shd w:val="clear" w:color="auto" w:fill="F3F3F3"/>
    </w:rPr>
  </w:style>
  <w:style w:type="character" w:customStyle="1" w:styleId="canliisubsection1">
    <w:name w:val="canlii_subsection1"/>
    <w:basedOn w:val="DefaultParagraphFont"/>
    <w:rsid w:val="0054316B"/>
    <w:rPr>
      <w:strike w:val="0"/>
      <w:dstrike w:val="0"/>
      <w:color w:val="027ABB"/>
      <w:u w:val="none"/>
      <w:effect w:val="none"/>
      <w:shd w:val="clear" w:color="auto" w:fill="F3F3F3"/>
    </w:rPr>
  </w:style>
  <w:style w:type="paragraph" w:customStyle="1" w:styleId="clause-e1">
    <w:name w:val="clause-e1"/>
    <w:basedOn w:val="Normal"/>
    <w:rsid w:val="0054316B"/>
    <w:pPr>
      <w:snapToGrid w:val="0"/>
      <w:spacing w:after="120" w:line="240" w:lineRule="auto"/>
      <w:ind w:left="1111" w:hanging="400"/>
    </w:pPr>
    <w:rPr>
      <w:rFonts w:ascii="Times New Roman" w:eastAsia="Times New Roman" w:hAnsi="Times New Roman" w:cs="Times New Roman"/>
      <w:sz w:val="26"/>
      <w:szCs w:val="26"/>
    </w:rPr>
  </w:style>
  <w:style w:type="paragraph" w:customStyle="1" w:styleId="section-e1">
    <w:name w:val="section-e1"/>
    <w:basedOn w:val="Normal"/>
    <w:rsid w:val="0054316B"/>
    <w:pPr>
      <w:snapToGrid w:val="0"/>
      <w:spacing w:after="120" w:line="240" w:lineRule="auto"/>
      <w:ind w:firstLine="600"/>
    </w:pPr>
    <w:rPr>
      <w:rFonts w:ascii="Times New Roman" w:eastAsia="Times New Roman" w:hAnsi="Times New Roman" w:cs="Times New Roman"/>
      <w:sz w:val="26"/>
      <w:szCs w:val="26"/>
    </w:rPr>
  </w:style>
  <w:style w:type="paragraph" w:customStyle="1" w:styleId="subsection-e1">
    <w:name w:val="subsection-e1"/>
    <w:basedOn w:val="Normal"/>
    <w:rsid w:val="0054316B"/>
    <w:pPr>
      <w:snapToGrid w:val="0"/>
      <w:spacing w:after="120" w:line="240" w:lineRule="auto"/>
      <w:ind w:firstLine="600"/>
    </w:pPr>
    <w:rPr>
      <w:rFonts w:ascii="Times New Roman" w:eastAsia="Times New Roman" w:hAnsi="Times New Roman" w:cs="Times New Roman"/>
      <w:sz w:val="26"/>
      <w:szCs w:val="26"/>
    </w:rPr>
  </w:style>
  <w:style w:type="paragraph" w:customStyle="1" w:styleId="headnote-e1">
    <w:name w:val="headnote-e1"/>
    <w:basedOn w:val="Normal"/>
    <w:rsid w:val="0054316B"/>
    <w:pPr>
      <w:keepNext/>
      <w:snapToGrid w:val="0"/>
      <w:spacing w:after="0" w:line="240" w:lineRule="auto"/>
    </w:pPr>
    <w:rPr>
      <w:rFonts w:ascii="Times New Roman" w:eastAsia="Times New Roman" w:hAnsi="Times New Roman" w:cs="Times New Roman"/>
      <w:b/>
      <w:bCs/>
      <w:sz w:val="26"/>
      <w:szCs w:val="26"/>
    </w:rPr>
  </w:style>
  <w:style w:type="paragraph" w:customStyle="1" w:styleId="Default">
    <w:name w:val="Default"/>
    <w:rsid w:val="00616FB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853318">
      <w:bodyDiv w:val="1"/>
      <w:marLeft w:val="0"/>
      <w:marRight w:val="0"/>
      <w:marTop w:val="0"/>
      <w:marBottom w:val="0"/>
      <w:divBdr>
        <w:top w:val="none" w:sz="0" w:space="0" w:color="auto"/>
        <w:left w:val="none" w:sz="0" w:space="0" w:color="auto"/>
        <w:bottom w:val="none" w:sz="0" w:space="0" w:color="auto"/>
        <w:right w:val="none" w:sz="0" w:space="0" w:color="auto"/>
      </w:divBdr>
    </w:div>
    <w:div w:id="437221025">
      <w:bodyDiv w:val="1"/>
      <w:marLeft w:val="0"/>
      <w:marRight w:val="0"/>
      <w:marTop w:val="0"/>
      <w:marBottom w:val="0"/>
      <w:divBdr>
        <w:top w:val="none" w:sz="0" w:space="0" w:color="auto"/>
        <w:left w:val="none" w:sz="0" w:space="0" w:color="auto"/>
        <w:bottom w:val="none" w:sz="0" w:space="0" w:color="auto"/>
        <w:right w:val="none" w:sz="0" w:space="0" w:color="auto"/>
      </w:divBdr>
      <w:divsChild>
        <w:div w:id="866480664">
          <w:marLeft w:val="0"/>
          <w:marRight w:val="0"/>
          <w:marTop w:val="0"/>
          <w:marBottom w:val="0"/>
          <w:divBdr>
            <w:top w:val="none" w:sz="0" w:space="0" w:color="auto"/>
            <w:left w:val="none" w:sz="0" w:space="0" w:color="auto"/>
            <w:bottom w:val="none" w:sz="0" w:space="0" w:color="auto"/>
            <w:right w:val="none" w:sz="0" w:space="0" w:color="auto"/>
          </w:divBdr>
          <w:divsChild>
            <w:div w:id="1480221264">
              <w:marLeft w:val="0"/>
              <w:marRight w:val="0"/>
              <w:marTop w:val="0"/>
              <w:marBottom w:val="0"/>
              <w:divBdr>
                <w:top w:val="none" w:sz="0" w:space="0" w:color="auto"/>
                <w:left w:val="none" w:sz="0" w:space="0" w:color="auto"/>
                <w:bottom w:val="none" w:sz="0" w:space="0" w:color="auto"/>
                <w:right w:val="none" w:sz="0" w:space="0" w:color="auto"/>
              </w:divBdr>
              <w:divsChild>
                <w:div w:id="631012493">
                  <w:marLeft w:val="0"/>
                  <w:marRight w:val="0"/>
                  <w:marTop w:val="0"/>
                  <w:marBottom w:val="0"/>
                  <w:divBdr>
                    <w:top w:val="none" w:sz="0" w:space="0" w:color="auto"/>
                    <w:left w:val="none" w:sz="0" w:space="0" w:color="auto"/>
                    <w:bottom w:val="none" w:sz="0" w:space="0" w:color="auto"/>
                    <w:right w:val="none" w:sz="0" w:space="0" w:color="auto"/>
                  </w:divBdr>
                  <w:divsChild>
                    <w:div w:id="9712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09636">
      <w:bodyDiv w:val="1"/>
      <w:marLeft w:val="0"/>
      <w:marRight w:val="0"/>
      <w:marTop w:val="0"/>
      <w:marBottom w:val="0"/>
      <w:divBdr>
        <w:top w:val="none" w:sz="0" w:space="0" w:color="auto"/>
        <w:left w:val="none" w:sz="0" w:space="0" w:color="auto"/>
        <w:bottom w:val="none" w:sz="0" w:space="0" w:color="auto"/>
        <w:right w:val="none" w:sz="0" w:space="0" w:color="auto"/>
      </w:divBdr>
    </w:div>
    <w:div w:id="646514541">
      <w:bodyDiv w:val="1"/>
      <w:marLeft w:val="0"/>
      <w:marRight w:val="0"/>
      <w:marTop w:val="0"/>
      <w:marBottom w:val="0"/>
      <w:divBdr>
        <w:top w:val="none" w:sz="0" w:space="0" w:color="auto"/>
        <w:left w:val="none" w:sz="0" w:space="0" w:color="auto"/>
        <w:bottom w:val="none" w:sz="0" w:space="0" w:color="auto"/>
        <w:right w:val="none" w:sz="0" w:space="0" w:color="auto"/>
      </w:divBdr>
    </w:div>
    <w:div w:id="1251696477">
      <w:bodyDiv w:val="1"/>
      <w:marLeft w:val="0"/>
      <w:marRight w:val="0"/>
      <w:marTop w:val="0"/>
      <w:marBottom w:val="0"/>
      <w:divBdr>
        <w:top w:val="none" w:sz="0" w:space="0" w:color="auto"/>
        <w:left w:val="none" w:sz="0" w:space="0" w:color="auto"/>
        <w:bottom w:val="none" w:sz="0" w:space="0" w:color="auto"/>
        <w:right w:val="none" w:sz="0" w:space="0" w:color="auto"/>
      </w:divBdr>
    </w:div>
    <w:div w:id="1486706861">
      <w:bodyDiv w:val="1"/>
      <w:marLeft w:val="0"/>
      <w:marRight w:val="0"/>
      <w:marTop w:val="0"/>
      <w:marBottom w:val="0"/>
      <w:divBdr>
        <w:top w:val="none" w:sz="0" w:space="0" w:color="auto"/>
        <w:left w:val="none" w:sz="0" w:space="0" w:color="auto"/>
        <w:bottom w:val="none" w:sz="0" w:space="0" w:color="auto"/>
        <w:right w:val="none" w:sz="0" w:space="0" w:color="auto"/>
      </w:divBdr>
    </w:div>
    <w:div w:id="1642686032">
      <w:bodyDiv w:val="1"/>
      <w:marLeft w:val="0"/>
      <w:marRight w:val="0"/>
      <w:marTop w:val="0"/>
      <w:marBottom w:val="0"/>
      <w:divBdr>
        <w:top w:val="none" w:sz="0" w:space="0" w:color="auto"/>
        <w:left w:val="none" w:sz="0" w:space="0" w:color="auto"/>
        <w:bottom w:val="none" w:sz="0" w:space="0" w:color="auto"/>
        <w:right w:val="none" w:sz="0" w:space="0" w:color="auto"/>
      </w:divBdr>
    </w:div>
    <w:div w:id="1679233481">
      <w:bodyDiv w:val="1"/>
      <w:marLeft w:val="0"/>
      <w:marRight w:val="0"/>
      <w:marTop w:val="0"/>
      <w:marBottom w:val="0"/>
      <w:divBdr>
        <w:top w:val="none" w:sz="0" w:space="0" w:color="auto"/>
        <w:left w:val="none" w:sz="0" w:space="0" w:color="auto"/>
        <w:bottom w:val="none" w:sz="0" w:space="0" w:color="auto"/>
        <w:right w:val="none" w:sz="0" w:space="0" w:color="auto"/>
      </w:divBdr>
    </w:div>
    <w:div w:id="200404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B1DA7A406E5B4483F6E2661962F74C" ma:contentTypeVersion="1" ma:contentTypeDescription="Create a new document." ma:contentTypeScope="" ma:versionID="6e5a4b7797612b449d02feea4fcdff9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D31D6-D2A2-4604-B070-4B72EE7B9E89}"/>
</file>

<file path=customXml/itemProps2.xml><?xml version="1.0" encoding="utf-8"?>
<ds:datastoreItem xmlns:ds="http://schemas.openxmlformats.org/officeDocument/2006/customXml" ds:itemID="{C12816DA-D085-4996-A3D6-5198897A0DF8}"/>
</file>

<file path=customXml/itemProps3.xml><?xml version="1.0" encoding="utf-8"?>
<ds:datastoreItem xmlns:ds="http://schemas.openxmlformats.org/officeDocument/2006/customXml" ds:itemID="{0ABE02DD-9B70-412D-8948-9E35A3579B18}"/>
</file>

<file path=docProps/app.xml><?xml version="1.0" encoding="utf-8"?>
<Properties xmlns="http://schemas.openxmlformats.org/officeDocument/2006/extended-properties" xmlns:vt="http://schemas.openxmlformats.org/officeDocument/2006/docPropsVTypes">
  <Template>Normal</Template>
  <TotalTime>0</TotalTime>
  <Pages>4</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Kamaraj, Gokul (ENERGY/MEDEI/MRI)</dc:creator>
  <cp:lastModifiedBy>Calwell, Carolyn (ENERGY/MEDEI/MRI)</cp:lastModifiedBy>
  <cp:revision>2</cp:revision>
  <cp:lastPrinted>2015-06-16T13:30:00Z</cp:lastPrinted>
  <dcterms:created xsi:type="dcterms:W3CDTF">2017-07-06T14:51:00Z</dcterms:created>
  <dcterms:modified xsi:type="dcterms:W3CDTF">2017-07-06T14:51:00Z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0x01010067B1DA7A406E5B4483F6E2661962F74C</vt:lpwstr>
  </property>
</Properties>
</file>