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886" w:rsidRDefault="005B374A" w:rsidP="00CE3810">
      <w:pPr>
        <w:pStyle w:val="StandardL1"/>
        <w:rPr>
          <w:color w:val="000000"/>
          <w:u w:val="single"/>
          <w:lang w:val="en-CA"/>
        </w:rPr>
      </w:pPr>
      <w:r>
        <w:rPr>
          <w:color w:val="000000"/>
          <w:u w:val="single"/>
          <w:lang w:val="en-CA"/>
        </w:rPr>
        <w:t>PRIVILEDGED AND CONFIDENTIAL</w:t>
      </w:r>
    </w:p>
    <w:p w:rsidR="00CE3810" w:rsidRDefault="005B374A" w:rsidP="00CE3810">
      <w:pPr>
        <w:pStyle w:val="StandardL1"/>
        <w:rPr>
          <w:color w:val="000000"/>
          <w:lang w:val="en-CA"/>
        </w:rPr>
      </w:pPr>
      <w:r>
        <w:rPr>
          <w:color w:val="000000"/>
          <w:lang w:val="en-CA"/>
        </w:rPr>
        <w:t xml:space="preserve">Some preliminary </w:t>
      </w:r>
      <w:r w:rsidRPr="00CE3810">
        <w:rPr>
          <w:i/>
          <w:color w:val="000000"/>
          <w:lang w:val="en-CA"/>
        </w:rPr>
        <w:t>responses</w:t>
      </w:r>
      <w:r>
        <w:rPr>
          <w:color w:val="000000"/>
          <w:lang w:val="en-CA"/>
        </w:rPr>
        <w:t xml:space="preserve"> to Tory’s July 5</w:t>
      </w:r>
      <w:r w:rsidRPr="001C4CA6">
        <w:rPr>
          <w:color w:val="000000"/>
          <w:vertAlign w:val="superscript"/>
          <w:lang w:val="en-CA"/>
        </w:rPr>
        <w:t>th</w:t>
      </w:r>
      <w:r>
        <w:rPr>
          <w:color w:val="000000"/>
          <w:lang w:val="en-CA"/>
        </w:rPr>
        <w:t xml:space="preserve"> comments, for internal discussion purposes:</w:t>
      </w:r>
    </w:p>
    <w:p w:rsidR="00CE3810" w:rsidRDefault="005B374A" w:rsidP="00CE3810">
      <w:pPr>
        <w:pStyle w:val="StandardL1"/>
        <w:rPr>
          <w:color w:val="000000"/>
          <w:lang w:val="en-CA"/>
        </w:rPr>
      </w:pPr>
      <w:r>
        <w:rPr>
          <w:color w:val="000000"/>
          <w:lang w:val="en-CA"/>
        </w:rPr>
        <w:t>1.</w:t>
      </w:r>
      <w:r>
        <w:rPr>
          <w:color w:val="000000"/>
          <w:sz w:val="14"/>
          <w:szCs w:val="14"/>
          <w:lang w:val="en-CA"/>
        </w:rPr>
        <w:t xml:space="preserve">                  </w:t>
      </w:r>
      <w:r>
        <w:rPr>
          <w:color w:val="000000"/>
          <w:lang w:val="en-CA"/>
        </w:rPr>
        <w:t>The Servicing Guarantee:</w:t>
      </w:r>
    </w:p>
    <w:p w:rsidR="00CE3810" w:rsidRDefault="005B374A" w:rsidP="00CE3810">
      <w:pPr>
        <w:pStyle w:val="StandardL2"/>
        <w:rPr>
          <w:color w:val="000000"/>
          <w:lang w:val="en-CA"/>
        </w:rPr>
      </w:pPr>
      <w:r>
        <w:rPr>
          <w:color w:val="000000"/>
          <w:lang w:val="en-CA"/>
        </w:rPr>
        <w:t>(a)</w:t>
      </w:r>
      <w:r>
        <w:rPr>
          <w:color w:val="000000"/>
          <w:sz w:val="14"/>
          <w:szCs w:val="14"/>
          <w:lang w:val="en-CA"/>
        </w:rPr>
        <w:t xml:space="preserve">               </w:t>
      </w:r>
      <w:r>
        <w:rPr>
          <w:color w:val="000000"/>
          <w:lang w:val="en-CA"/>
        </w:rPr>
        <w:t xml:space="preserve">It is written in favour of only the financing entity.  However, in the MTSA, we are asking for covenants directly in favour of Indenture Trustee.  The Indenture Trustee/specified creditors should have the direct benefit of the guarantee rather than relying on an indirect security interest in the servicing guarantee.  </w:t>
      </w:r>
    </w:p>
    <w:p w:rsidR="00CE3810" w:rsidRPr="00CE3810" w:rsidRDefault="005B374A" w:rsidP="00CE3810">
      <w:pPr>
        <w:pStyle w:val="StandardL2"/>
        <w:ind w:left="720" w:firstLine="0"/>
        <w:rPr>
          <w:i/>
          <w:color w:val="000000"/>
          <w:lang w:val="en-CA"/>
        </w:rPr>
      </w:pPr>
      <w:r w:rsidRPr="00CE3810">
        <w:rPr>
          <w:i/>
          <w:color w:val="000000"/>
          <w:lang w:val="en-CA"/>
        </w:rPr>
        <w:t>The Province’s guarantee obligations relate to servicing the asset acquired by the financing entity.  The financing entity will in turn grant security over its entitlement to enforce the Province’s obligations.  This approach respects and tracks the discrete steps (transfer/financing), consistent with the securitization framework.  It is intended to offer the same comfort to the ultimate investors, by linking the claims to specified losses incurred by the financing entity opposite investors</w:t>
      </w:r>
      <w:r>
        <w:rPr>
          <w:i/>
          <w:color w:val="000000"/>
          <w:lang w:val="en-CA"/>
        </w:rPr>
        <w:t xml:space="preserve"> to the extent the losses arise because of a failure to bill, collect and remit clean energy adjustments</w:t>
      </w:r>
      <w:r w:rsidRPr="00CE3810">
        <w:rPr>
          <w:i/>
          <w:color w:val="000000"/>
          <w:lang w:val="en-CA"/>
        </w:rPr>
        <w:t>.</w:t>
      </w:r>
      <w:r>
        <w:rPr>
          <w:i/>
          <w:color w:val="000000"/>
          <w:lang w:val="en-CA"/>
        </w:rPr>
        <w:t xml:space="preserve">  </w:t>
      </w:r>
      <w:r w:rsidRPr="004E7886">
        <w:rPr>
          <w:b/>
          <w:color w:val="000000"/>
          <w:lang w:val="en-CA"/>
        </w:rPr>
        <w:t xml:space="preserve">[Note:  </w:t>
      </w:r>
      <w:r w:rsidR="00683A7B">
        <w:rPr>
          <w:b/>
          <w:color w:val="000000"/>
          <w:lang w:val="en-CA"/>
        </w:rPr>
        <w:t>The Province</w:t>
      </w:r>
      <w:bookmarkStart w:id="0" w:name="_GoBack"/>
      <w:bookmarkEnd w:id="0"/>
      <w:r w:rsidRPr="004E7886">
        <w:rPr>
          <w:b/>
          <w:color w:val="000000"/>
          <w:lang w:val="en-CA"/>
        </w:rPr>
        <w:t xml:space="preserve"> has not seen the MTSA or any of the other </w:t>
      </w:r>
      <w:r>
        <w:rPr>
          <w:b/>
          <w:color w:val="000000"/>
          <w:lang w:val="en-CA"/>
        </w:rPr>
        <w:t xml:space="preserve">transaction </w:t>
      </w:r>
      <w:r w:rsidRPr="004E7886">
        <w:rPr>
          <w:b/>
          <w:color w:val="000000"/>
          <w:lang w:val="en-CA"/>
        </w:rPr>
        <w:t xml:space="preserve">documents </w:t>
      </w:r>
      <w:proofErr w:type="spellStart"/>
      <w:r w:rsidRPr="004E7886">
        <w:rPr>
          <w:b/>
          <w:color w:val="000000"/>
          <w:lang w:val="en-CA"/>
        </w:rPr>
        <w:t>Torys</w:t>
      </w:r>
      <w:proofErr w:type="spellEnd"/>
      <w:r w:rsidRPr="004E7886">
        <w:rPr>
          <w:b/>
          <w:color w:val="000000"/>
          <w:lang w:val="en-CA"/>
        </w:rPr>
        <w:t xml:space="preserve"> has been working on with OPG, so </w:t>
      </w:r>
      <w:r>
        <w:rPr>
          <w:b/>
          <w:color w:val="000000"/>
          <w:lang w:val="en-CA"/>
        </w:rPr>
        <w:t xml:space="preserve">we </w:t>
      </w:r>
      <w:r w:rsidRPr="004E7886">
        <w:rPr>
          <w:b/>
          <w:color w:val="000000"/>
          <w:lang w:val="en-CA"/>
        </w:rPr>
        <w:t xml:space="preserve">cannot comment on their </w:t>
      </w:r>
      <w:r>
        <w:rPr>
          <w:b/>
          <w:color w:val="000000"/>
          <w:lang w:val="en-CA"/>
        </w:rPr>
        <w:t xml:space="preserve">specific </w:t>
      </w:r>
      <w:r w:rsidRPr="004E7886">
        <w:rPr>
          <w:b/>
          <w:color w:val="000000"/>
          <w:lang w:val="en-CA"/>
        </w:rPr>
        <w:t>terms</w:t>
      </w:r>
      <w:r>
        <w:rPr>
          <w:b/>
          <w:color w:val="000000"/>
          <w:lang w:val="en-CA"/>
        </w:rPr>
        <w:t>.</w:t>
      </w:r>
      <w:r w:rsidRPr="004E7886">
        <w:rPr>
          <w:b/>
          <w:color w:val="000000"/>
          <w:lang w:val="en-CA"/>
        </w:rPr>
        <w:t>]</w:t>
      </w:r>
    </w:p>
    <w:p w:rsidR="00CE3810" w:rsidRDefault="005B374A" w:rsidP="00CE3810">
      <w:pPr>
        <w:pStyle w:val="StandardL2"/>
        <w:rPr>
          <w:color w:val="000000"/>
          <w:lang w:val="en-CA"/>
        </w:rPr>
      </w:pPr>
      <w:r>
        <w:rPr>
          <w:color w:val="000000"/>
          <w:lang w:val="en-CA"/>
        </w:rPr>
        <w:t>(b)</w:t>
      </w:r>
      <w:r>
        <w:rPr>
          <w:color w:val="000000"/>
          <w:sz w:val="14"/>
          <w:szCs w:val="14"/>
          <w:lang w:val="en-CA"/>
        </w:rPr>
        <w:t xml:space="preserve">               </w:t>
      </w:r>
      <w:r>
        <w:rPr>
          <w:color w:val="000000"/>
          <w:lang w:val="en-CA"/>
        </w:rPr>
        <w:t>It should be clarified that the servicing obligations of the electricity vendors are covered. </w:t>
      </w:r>
    </w:p>
    <w:p w:rsidR="00CE3810" w:rsidRDefault="005B374A" w:rsidP="002B2CE9">
      <w:pPr>
        <w:pStyle w:val="StandardL2"/>
        <w:ind w:left="720" w:firstLine="0"/>
        <w:rPr>
          <w:color w:val="000000"/>
          <w:lang w:val="en-CA"/>
        </w:rPr>
      </w:pPr>
      <w:r>
        <w:rPr>
          <w:i/>
          <w:color w:val="000000"/>
          <w:lang w:val="en-CA"/>
        </w:rPr>
        <w:t xml:space="preserve">The intention is that the servicing obligations will cover failures by electricity vendors of </w:t>
      </w:r>
      <w:r w:rsidRPr="002B2CE9">
        <w:rPr>
          <w:i/>
          <w:color w:val="000000"/>
          <w:lang w:val="en-CA"/>
        </w:rPr>
        <w:t>their OFHPA obligations.</w:t>
      </w:r>
      <w:r>
        <w:rPr>
          <w:i/>
          <w:color w:val="000000"/>
          <w:lang w:val="en-CA"/>
        </w:rPr>
        <w:t xml:space="preserve"> We envision that the servicing agreement between IESO and a financing entity will obligate IESO to enforce the obligations of electricity vendors under the OFHPA.  To the extent that IESO fails to do so, the Province will become liable.  As a practical matter, the Province does not have </w:t>
      </w:r>
      <w:proofErr w:type="spellStart"/>
      <w:r>
        <w:rPr>
          <w:i/>
          <w:color w:val="000000"/>
          <w:lang w:val="en-CA"/>
        </w:rPr>
        <w:t>privity</w:t>
      </w:r>
      <w:proofErr w:type="spellEnd"/>
      <w:r>
        <w:rPr>
          <w:i/>
          <w:color w:val="000000"/>
          <w:lang w:val="en-CA"/>
        </w:rPr>
        <w:t xml:space="preserve"> with many of the electricity vendors and so cannot specifically compel their performance.  The Province would be subrogated to the financing entity’s rights against IESO, which in this circumstance may be written to include a right in favour of the Province to enforce IESO’s rights against defaulting electricity vendors.</w:t>
      </w:r>
      <w:r w:rsidRPr="002B2CE9">
        <w:rPr>
          <w:color w:val="000000"/>
          <w:lang w:val="en-CA"/>
        </w:rPr>
        <w:t xml:space="preserve"> </w:t>
      </w:r>
    </w:p>
    <w:p w:rsidR="00366596" w:rsidRDefault="005B374A" w:rsidP="00CE3810">
      <w:pPr>
        <w:pStyle w:val="StandardL2"/>
        <w:rPr>
          <w:color w:val="000000"/>
          <w:lang w:val="en-CA"/>
        </w:rPr>
      </w:pPr>
      <w:r>
        <w:rPr>
          <w:color w:val="000000"/>
          <w:lang w:val="en-CA"/>
        </w:rPr>
        <w:t>(c)</w:t>
      </w:r>
      <w:r>
        <w:rPr>
          <w:color w:val="000000"/>
          <w:sz w:val="14"/>
          <w:szCs w:val="14"/>
          <w:lang w:val="en-CA"/>
        </w:rPr>
        <w:t xml:space="preserve">                </w:t>
      </w:r>
      <w:r>
        <w:rPr>
          <w:color w:val="000000"/>
          <w:lang w:val="en-CA"/>
        </w:rPr>
        <w:t>If the guarantee is unenforceable, we should fall back to an indemnity, not a “functionally equivalent direct covenant” which is an uncertain concept. </w:t>
      </w:r>
    </w:p>
    <w:p w:rsidR="00CE3810" w:rsidRPr="00366596" w:rsidRDefault="005B374A" w:rsidP="00366596">
      <w:pPr>
        <w:pStyle w:val="StandardL2"/>
        <w:ind w:left="720" w:firstLine="0"/>
        <w:rPr>
          <w:i/>
          <w:color w:val="000000"/>
          <w:lang w:val="en-CA"/>
        </w:rPr>
      </w:pPr>
      <w:r w:rsidRPr="00366596">
        <w:rPr>
          <w:i/>
          <w:color w:val="000000"/>
          <w:lang w:val="en-CA"/>
        </w:rPr>
        <w:t xml:space="preserve"> The term “indemnity” can be used to describe the direct covenant.</w:t>
      </w:r>
    </w:p>
    <w:p w:rsidR="00366596" w:rsidRDefault="005B374A" w:rsidP="00CE3810">
      <w:pPr>
        <w:pStyle w:val="StandardL2"/>
        <w:rPr>
          <w:color w:val="000000"/>
          <w:lang w:val="en-CA"/>
        </w:rPr>
      </w:pPr>
      <w:r>
        <w:rPr>
          <w:color w:val="000000"/>
          <w:lang w:val="en-CA"/>
        </w:rPr>
        <w:t>(d)</w:t>
      </w:r>
      <w:r>
        <w:rPr>
          <w:color w:val="000000"/>
          <w:sz w:val="14"/>
          <w:szCs w:val="14"/>
          <w:lang w:val="en-CA"/>
        </w:rPr>
        <w:t xml:space="preserve">               </w:t>
      </w:r>
      <w:r>
        <w:rPr>
          <w:color w:val="000000"/>
          <w:lang w:val="en-CA"/>
        </w:rPr>
        <w:t>We don’t want an exclusion for economic loss.  That may cover whatever losses the specified creditors do suffer. </w:t>
      </w:r>
    </w:p>
    <w:p w:rsidR="00CE3810" w:rsidRPr="00ED5118" w:rsidRDefault="005B374A" w:rsidP="00ED5118">
      <w:pPr>
        <w:pStyle w:val="StandardL2"/>
        <w:ind w:left="720" w:firstLine="0"/>
        <w:rPr>
          <w:i/>
          <w:color w:val="000000"/>
          <w:lang w:val="en-CA"/>
        </w:rPr>
      </w:pPr>
      <w:r>
        <w:rPr>
          <w:i/>
          <w:color w:val="000000"/>
          <w:lang w:val="en-CA"/>
        </w:rPr>
        <w:t xml:space="preserve">The intention is to narrowly define “loss” to cover only the direct consequence of a failure to bill, collect and remit clean energy adjustments and flow related cash through to OPG, as the FSM.  The Province does not want responsibility for investors claiming, for example, that a payment delay resulted in a loss of economic opportunity on a subjective basis by individual specified creditors – although it is expected that there would be an additional amount stipulated to compensate investors for any late payment under the indenture and the Province would intend to be liable to cover that stipulated late amount if caused by an IESO/electricity vendor failure to bill, collect or remit cash flows.  </w:t>
      </w:r>
    </w:p>
    <w:p w:rsidR="00CE3810" w:rsidRDefault="005B374A" w:rsidP="00CE3810">
      <w:pPr>
        <w:pStyle w:val="StandardL1"/>
        <w:rPr>
          <w:color w:val="000000"/>
          <w:lang w:val="en-CA"/>
        </w:rPr>
      </w:pPr>
      <w:r>
        <w:rPr>
          <w:color w:val="000000"/>
          <w:lang w:val="en-CA"/>
        </w:rPr>
        <w:lastRenderedPageBreak/>
        <w:t>2.</w:t>
      </w:r>
      <w:r>
        <w:rPr>
          <w:color w:val="000000"/>
          <w:sz w:val="14"/>
          <w:szCs w:val="14"/>
          <w:lang w:val="en-CA"/>
        </w:rPr>
        <w:t xml:space="preserve">                  </w:t>
      </w:r>
      <w:r>
        <w:rPr>
          <w:color w:val="000000"/>
          <w:lang w:val="en-CA"/>
        </w:rPr>
        <w:t>Change of Law.</w:t>
      </w:r>
    </w:p>
    <w:p w:rsidR="00CE3810" w:rsidRDefault="005B374A" w:rsidP="00CE3810">
      <w:pPr>
        <w:pStyle w:val="StandardL2"/>
        <w:rPr>
          <w:color w:val="000000"/>
          <w:lang w:val="en-CA"/>
        </w:rPr>
      </w:pPr>
      <w:r>
        <w:rPr>
          <w:color w:val="000000"/>
          <w:lang w:val="en-CA"/>
        </w:rPr>
        <w:t>(a)</w:t>
      </w:r>
      <w:r>
        <w:rPr>
          <w:color w:val="000000"/>
          <w:sz w:val="14"/>
          <w:szCs w:val="14"/>
          <w:lang w:val="en-CA"/>
        </w:rPr>
        <w:t xml:space="preserve">               </w:t>
      </w:r>
      <w:r>
        <w:rPr>
          <w:color w:val="000000"/>
          <w:lang w:val="en-CA"/>
        </w:rPr>
        <w:t xml:space="preserve">This should be written as a guarantee not an indemnity.  </w:t>
      </w:r>
    </w:p>
    <w:p w:rsidR="0006751C" w:rsidRPr="0006751C" w:rsidRDefault="005B374A" w:rsidP="0006751C">
      <w:pPr>
        <w:pStyle w:val="StandardL2"/>
        <w:ind w:left="720" w:firstLine="0"/>
        <w:rPr>
          <w:i/>
          <w:color w:val="000000"/>
          <w:lang w:val="en-CA"/>
        </w:rPr>
      </w:pPr>
      <w:r>
        <w:rPr>
          <w:i/>
          <w:color w:val="000000"/>
          <w:lang w:val="en-CA"/>
        </w:rPr>
        <w:t xml:space="preserve">2 of the 3 indemnified events (i.e., A and B) relate to inconsistent acts undertaken by the Province.  Accordingly, it seemed more appropriate to describe this in terms of a negative covenant by the Province and a corresponding indemnity.  For an ultra vires circumstance (i.e., C), a direct indemnity covenant from the Province in favour of the financing entity also seems to make sense.  It is unclear how this covenant could be properly recast as a guarantee by the Province (i.e., a guarantee of a third party’s obligation suggests a third party obligation in addition to the obligation of the Province). </w:t>
      </w:r>
    </w:p>
    <w:p w:rsidR="00CE3810" w:rsidRDefault="005B374A" w:rsidP="00CE3810">
      <w:pPr>
        <w:pStyle w:val="StandardL2"/>
        <w:rPr>
          <w:color w:val="000000"/>
          <w:lang w:val="en-CA"/>
        </w:rPr>
      </w:pPr>
      <w:r>
        <w:rPr>
          <w:color w:val="000000"/>
          <w:lang w:val="en-CA"/>
        </w:rPr>
        <w:t>(b)</w:t>
      </w:r>
      <w:r>
        <w:rPr>
          <w:color w:val="000000"/>
          <w:sz w:val="14"/>
          <w:szCs w:val="14"/>
          <w:lang w:val="en-CA"/>
        </w:rPr>
        <w:t xml:space="preserve">               </w:t>
      </w:r>
      <w:r>
        <w:rPr>
          <w:color w:val="000000"/>
          <w:lang w:val="en-CA"/>
        </w:rPr>
        <w:t>It should be directly in favour of the Indenture Trustee/specified creditors and it should cover all the “finance amount” and not just funding obligations.     </w:t>
      </w:r>
    </w:p>
    <w:p w:rsidR="0006751C" w:rsidRDefault="005B374A" w:rsidP="0006751C">
      <w:pPr>
        <w:pStyle w:val="StandardL2"/>
        <w:ind w:left="720" w:firstLine="0"/>
        <w:rPr>
          <w:i/>
          <w:color w:val="000000"/>
          <w:lang w:val="en-CA"/>
        </w:rPr>
      </w:pPr>
      <w:r>
        <w:rPr>
          <w:i/>
          <w:color w:val="000000"/>
          <w:lang w:val="en-CA"/>
        </w:rPr>
        <w:t>With regard to the “directly” comment, see 1(a) above.  Again, the</w:t>
      </w:r>
      <w:r w:rsidRPr="00CE3810">
        <w:rPr>
          <w:i/>
          <w:color w:val="000000"/>
          <w:lang w:val="en-CA"/>
        </w:rPr>
        <w:t xml:space="preserve"> approach </w:t>
      </w:r>
      <w:r>
        <w:rPr>
          <w:i/>
          <w:color w:val="000000"/>
          <w:lang w:val="en-CA"/>
        </w:rPr>
        <w:t xml:space="preserve">is intended to </w:t>
      </w:r>
      <w:r w:rsidRPr="00CE3810">
        <w:rPr>
          <w:i/>
          <w:color w:val="000000"/>
          <w:lang w:val="en-CA"/>
        </w:rPr>
        <w:t>respect and track the discrete steps (transfer/financing), consistent with the securitization framework.</w:t>
      </w:r>
    </w:p>
    <w:p w:rsidR="008D35F1" w:rsidRDefault="005B374A" w:rsidP="0006751C">
      <w:pPr>
        <w:pStyle w:val="StandardL2"/>
        <w:ind w:left="720" w:firstLine="0"/>
        <w:rPr>
          <w:i/>
          <w:color w:val="000000"/>
          <w:lang w:val="en-CA"/>
        </w:rPr>
      </w:pPr>
      <w:r>
        <w:rPr>
          <w:i/>
          <w:color w:val="000000"/>
          <w:lang w:val="en-CA"/>
        </w:rPr>
        <w:t xml:space="preserve">With regard to the intended scope of the indemnity, it is intended to cover costs, losses (narrowed, as described above) and expenses reasonably incurred by a financing entity (including to its specified creditors) and resulting from the indemnified event.  It is not intended to cover financing entity expenses that do not arise under funding obligations or any unpaid tax obligations of a financing entity.  </w:t>
      </w:r>
    </w:p>
    <w:p w:rsidR="00CE3810" w:rsidRDefault="005B374A" w:rsidP="00CE3810">
      <w:pPr>
        <w:pStyle w:val="StandardL2"/>
        <w:rPr>
          <w:color w:val="000000"/>
          <w:lang w:val="en-CA"/>
        </w:rPr>
      </w:pPr>
      <w:r>
        <w:rPr>
          <w:color w:val="000000"/>
          <w:lang w:val="en-CA"/>
        </w:rPr>
        <w:t>(c)</w:t>
      </w:r>
      <w:r>
        <w:rPr>
          <w:color w:val="000000"/>
          <w:sz w:val="14"/>
          <w:szCs w:val="14"/>
          <w:lang w:val="en-CA"/>
        </w:rPr>
        <w:t xml:space="preserve">                </w:t>
      </w:r>
      <w:r>
        <w:rPr>
          <w:color w:val="000000"/>
          <w:lang w:val="en-CA"/>
        </w:rPr>
        <w:t xml:space="preserve">We do not want the guarantee to be provided by another entity which is in turn guaranteed by Ontario.  It should come directly from Ontario. </w:t>
      </w:r>
    </w:p>
    <w:p w:rsidR="00E959C9" w:rsidRPr="00E959C9" w:rsidRDefault="005B374A" w:rsidP="00E959C9">
      <w:pPr>
        <w:pStyle w:val="StandardL2"/>
        <w:ind w:left="720" w:firstLine="0"/>
        <w:rPr>
          <w:i/>
          <w:color w:val="000000"/>
          <w:lang w:val="en-CA"/>
        </w:rPr>
      </w:pPr>
      <w:r>
        <w:rPr>
          <w:i/>
          <w:color w:val="000000"/>
          <w:lang w:val="en-CA"/>
        </w:rPr>
        <w:t>For the initial presentation to the rating agencies, the Province would like to retain the possibility of providing needed assurances through a fully-guaranteed, controlled entity.  This flexibility is not intended to detract from the strength of the Province’s covenant – rather, it is meant to provide the opportunity to structure an optimal accounting and governance structure.</w:t>
      </w:r>
    </w:p>
    <w:p w:rsidR="00CE3810" w:rsidRDefault="005B374A" w:rsidP="00CE3810">
      <w:pPr>
        <w:pStyle w:val="StandardL2"/>
        <w:rPr>
          <w:color w:val="000000"/>
          <w:lang w:val="en-CA"/>
        </w:rPr>
      </w:pPr>
      <w:r>
        <w:rPr>
          <w:color w:val="000000"/>
          <w:lang w:val="en-CA"/>
        </w:rPr>
        <w:t>(d)</w:t>
      </w:r>
      <w:r>
        <w:rPr>
          <w:color w:val="000000"/>
          <w:sz w:val="14"/>
          <w:szCs w:val="14"/>
          <w:lang w:val="en-CA"/>
        </w:rPr>
        <w:t xml:space="preserve">               </w:t>
      </w:r>
      <w:r>
        <w:rPr>
          <w:color w:val="000000"/>
          <w:lang w:val="en-CA"/>
        </w:rPr>
        <w:t xml:space="preserve">There should be no “materiality” threshold for a claim.  If obligations are not paid in full, then there should be a claim. </w:t>
      </w:r>
    </w:p>
    <w:p w:rsidR="00341EDA" w:rsidRPr="00341EDA" w:rsidRDefault="005B374A" w:rsidP="00341EDA">
      <w:pPr>
        <w:pStyle w:val="StandardL2"/>
        <w:ind w:left="720" w:firstLine="0"/>
        <w:rPr>
          <w:i/>
          <w:color w:val="000000"/>
          <w:lang w:val="en-CA"/>
        </w:rPr>
      </w:pPr>
      <w:r>
        <w:rPr>
          <w:i/>
          <w:color w:val="000000"/>
          <w:lang w:val="en-CA"/>
        </w:rPr>
        <w:t xml:space="preserve">“Materially” was added to ensure that de </w:t>
      </w:r>
      <w:proofErr w:type="spellStart"/>
      <w:r>
        <w:rPr>
          <w:i/>
          <w:color w:val="000000"/>
          <w:lang w:val="en-CA"/>
        </w:rPr>
        <w:t>minimus</w:t>
      </w:r>
      <w:proofErr w:type="spellEnd"/>
      <w:r>
        <w:rPr>
          <w:i/>
          <w:color w:val="000000"/>
          <w:lang w:val="en-CA"/>
        </w:rPr>
        <w:t xml:space="preserve"> or ‘foot fault’ scenarios do not give rise to indemnity claims.  For example, if there is a small change in the mechanics of the Act or the Regulation, which could in some hypothetical circumstance change the way the underlying cash flows operate and their timing, the Province would like to have a buffer that properly dissuades opportunistic claims based on those hypothetical circumstances.</w:t>
      </w:r>
    </w:p>
    <w:p w:rsidR="00CE3810" w:rsidRDefault="005B374A" w:rsidP="00CE3810">
      <w:pPr>
        <w:pStyle w:val="StandardL2"/>
        <w:rPr>
          <w:color w:val="000000"/>
          <w:lang w:val="en-CA"/>
        </w:rPr>
      </w:pPr>
      <w:r>
        <w:rPr>
          <w:color w:val="000000"/>
          <w:lang w:val="en-CA"/>
        </w:rPr>
        <w:t>(e)</w:t>
      </w:r>
      <w:r>
        <w:rPr>
          <w:color w:val="000000"/>
          <w:sz w:val="14"/>
          <w:szCs w:val="14"/>
          <w:lang w:val="en-CA"/>
        </w:rPr>
        <w:t xml:space="preserve">               </w:t>
      </w:r>
      <w:r>
        <w:rPr>
          <w:color w:val="000000"/>
          <w:lang w:val="en-CA"/>
        </w:rPr>
        <w:t>The choice to assume or accelerate should be at the option of the holders, not the guarantor.  </w:t>
      </w:r>
    </w:p>
    <w:p w:rsidR="00684EB4" w:rsidRDefault="005B374A" w:rsidP="00684EB4">
      <w:pPr>
        <w:pStyle w:val="StandardL2"/>
        <w:ind w:left="720" w:firstLine="0"/>
        <w:rPr>
          <w:i/>
          <w:color w:val="000000"/>
          <w:lang w:val="en-CA"/>
        </w:rPr>
      </w:pPr>
      <w:r>
        <w:rPr>
          <w:i/>
          <w:color w:val="000000"/>
          <w:lang w:val="en-CA"/>
        </w:rPr>
        <w:t xml:space="preserve">The Province wishes to have the ability to crystalize and address indemnity claims by stepping in on the underlying obligations or paying them out if that makes sense.  Otherwise, the investors (through the financing entity and the indenture trustee) will have </w:t>
      </w:r>
      <w:r>
        <w:rPr>
          <w:i/>
          <w:color w:val="000000"/>
          <w:lang w:val="en-CA"/>
        </w:rPr>
        <w:lastRenderedPageBreak/>
        <w:t>recourse to the Province for the applicable costs, expenses and losses resulting from the occurrence of the indemnified event.</w:t>
      </w:r>
    </w:p>
    <w:p w:rsidR="00684EB4" w:rsidRPr="00684EB4" w:rsidRDefault="005B374A" w:rsidP="00684EB4">
      <w:pPr>
        <w:pStyle w:val="StandardL2"/>
        <w:ind w:left="720" w:firstLine="0"/>
        <w:rPr>
          <w:i/>
          <w:color w:val="000000"/>
          <w:lang w:val="en-CA"/>
        </w:rPr>
      </w:pPr>
      <w:r>
        <w:rPr>
          <w:i/>
          <w:color w:val="000000"/>
          <w:lang w:val="en-CA"/>
        </w:rPr>
        <w:t>The Province is not prepared to obligate itself to a mandatory step-in or repurchase scenario, particularly given that the indemnified events may arise in less than ‘all or nothing’ scenarios and so Province payments to the financing entity, sufficient to compensate for applicable costs, expenses and losses, should be a sufficient remedy in the circumstances.</w:t>
      </w:r>
    </w:p>
    <w:p w:rsidR="00684EB4" w:rsidRDefault="005B374A" w:rsidP="00CE3810">
      <w:pPr>
        <w:pStyle w:val="StandardL2"/>
        <w:rPr>
          <w:color w:val="000000"/>
          <w:lang w:val="en-CA"/>
        </w:rPr>
      </w:pPr>
      <w:r>
        <w:rPr>
          <w:color w:val="000000"/>
          <w:lang w:val="en-CA"/>
        </w:rPr>
        <w:t>(f)</w:t>
      </w:r>
      <w:r>
        <w:rPr>
          <w:color w:val="000000"/>
          <w:sz w:val="14"/>
          <w:szCs w:val="14"/>
          <w:lang w:val="en-CA"/>
        </w:rPr>
        <w:t xml:space="preserve">                 </w:t>
      </w:r>
      <w:r>
        <w:rPr>
          <w:color w:val="000000"/>
          <w:lang w:val="en-CA"/>
        </w:rPr>
        <w:t>If accelerated, then the 1% premium should be payable.  This is a voluntary termination by the Province. </w:t>
      </w:r>
    </w:p>
    <w:p w:rsidR="00CE3810" w:rsidRPr="00684EB4" w:rsidRDefault="005B374A" w:rsidP="00684EB4">
      <w:pPr>
        <w:pStyle w:val="StandardL2"/>
        <w:ind w:left="720" w:firstLine="0"/>
        <w:rPr>
          <w:i/>
          <w:color w:val="000000"/>
          <w:lang w:val="en-CA"/>
        </w:rPr>
      </w:pPr>
      <w:r>
        <w:rPr>
          <w:i/>
          <w:color w:val="000000"/>
          <w:lang w:val="en-CA"/>
        </w:rPr>
        <w:t xml:space="preserve">The Province is not prepared to commit to an up-front premium in a repayment scenario.  The Province may consider alternative repurchase terms in connection with its sign-off of individual funding obligations to which the indemnity may relate at the time those obligations are incurred. </w:t>
      </w:r>
    </w:p>
    <w:p w:rsidR="00CE3810" w:rsidRDefault="005B374A" w:rsidP="00CE3810">
      <w:pPr>
        <w:pStyle w:val="StandardL1"/>
        <w:rPr>
          <w:color w:val="000000"/>
          <w:lang w:val="en-CA"/>
        </w:rPr>
      </w:pPr>
      <w:r>
        <w:rPr>
          <w:color w:val="000000"/>
          <w:lang w:val="en-CA"/>
        </w:rPr>
        <w:t>3.</w:t>
      </w:r>
      <w:r>
        <w:rPr>
          <w:color w:val="000000"/>
          <w:sz w:val="14"/>
          <w:szCs w:val="14"/>
          <w:lang w:val="en-CA"/>
        </w:rPr>
        <w:t xml:space="preserve">                   </w:t>
      </w:r>
      <w:r>
        <w:rPr>
          <w:color w:val="000000"/>
          <w:lang w:val="en-CA"/>
        </w:rPr>
        <w:t>Undertaking Regarding Mismatches (market disruption)</w:t>
      </w:r>
    </w:p>
    <w:p w:rsidR="003B620D" w:rsidRDefault="005B374A" w:rsidP="00CE3810">
      <w:pPr>
        <w:pStyle w:val="StandardL2"/>
        <w:rPr>
          <w:color w:val="000000"/>
          <w:lang w:val="en-CA"/>
        </w:rPr>
      </w:pPr>
      <w:r>
        <w:rPr>
          <w:color w:val="000000"/>
          <w:lang w:val="en-CA"/>
        </w:rPr>
        <w:t>(a)</w:t>
      </w:r>
      <w:r>
        <w:rPr>
          <w:color w:val="000000"/>
          <w:sz w:val="14"/>
          <w:szCs w:val="14"/>
          <w:lang w:val="en-CA"/>
        </w:rPr>
        <w:t xml:space="preserve">                </w:t>
      </w:r>
      <w:r>
        <w:rPr>
          <w:color w:val="000000"/>
          <w:lang w:val="en-CA"/>
        </w:rPr>
        <w:t>At best this structure defers the discussion of protection for a market disruption.  At worst, it is impractical that take-out financing needs to be arranged in advance of each warehouse financing.  We should rely on a definition of market disruption. </w:t>
      </w:r>
    </w:p>
    <w:p w:rsidR="00C00E3D" w:rsidRDefault="005B374A" w:rsidP="003B620D">
      <w:pPr>
        <w:pStyle w:val="StandardL2"/>
        <w:ind w:left="720" w:firstLine="0"/>
        <w:rPr>
          <w:i/>
          <w:color w:val="000000"/>
          <w:lang w:val="en-CA"/>
        </w:rPr>
      </w:pPr>
      <w:r>
        <w:rPr>
          <w:i/>
          <w:color w:val="000000"/>
          <w:lang w:val="en-CA"/>
        </w:rPr>
        <w:t>The intention is to consider any support for funding mismatches at the time individual funding obligations are incurred.  The scope of the described circumstances was intended to be broad, in order to convey to the rating agencies at this early stage that the Province understands the potential for a funding mismatch (particularly in the first 4 years), and that such circumstances will be considered and would be addressed at the time a transaction is entered into.  The Province would prefer not to deal with detailed language to encompass this liquidity concept at this stage. It is anticipated that the rating agencies will analyze the specific terms of a rated issuance of securities and so will be aware of the specific terms of any undertaking by the Province at the relevant time.</w:t>
      </w:r>
    </w:p>
    <w:p w:rsidR="00CE3810" w:rsidRPr="003B620D" w:rsidRDefault="005B374A" w:rsidP="003B620D">
      <w:pPr>
        <w:pStyle w:val="StandardL2"/>
        <w:ind w:left="720" w:firstLine="0"/>
        <w:rPr>
          <w:i/>
          <w:color w:val="000000"/>
          <w:lang w:val="en-CA"/>
        </w:rPr>
      </w:pPr>
      <w:r>
        <w:rPr>
          <w:i/>
          <w:color w:val="000000"/>
          <w:lang w:val="en-CA"/>
        </w:rPr>
        <w:t xml:space="preserve">While the Province will welcome limitations such as conditions based on “market disruptions”, it is premature to try to describe such limitations without reference to the terms (e.g., maturity and amortization terms) of the underlying instruments to be issued by a financing entity. </w:t>
      </w:r>
    </w:p>
    <w:p w:rsidR="00CE3810" w:rsidRDefault="005B374A" w:rsidP="00CE3810">
      <w:pPr>
        <w:pStyle w:val="StandardL2"/>
        <w:ind w:left="0" w:firstLine="0"/>
        <w:rPr>
          <w:color w:val="000000"/>
          <w:lang w:val="en-CA"/>
        </w:rPr>
      </w:pPr>
      <w:r>
        <w:rPr>
          <w:color w:val="000000"/>
          <w:lang w:val="en-CA"/>
        </w:rPr>
        <w:t>4.            Approvals.</w:t>
      </w:r>
    </w:p>
    <w:p w:rsidR="00CE3810" w:rsidRDefault="005B374A" w:rsidP="00CE3810">
      <w:pPr>
        <w:pStyle w:val="StandardL2"/>
        <w:rPr>
          <w:color w:val="000000"/>
          <w:lang w:val="en-CA"/>
        </w:rPr>
      </w:pPr>
      <w:r>
        <w:rPr>
          <w:color w:val="000000"/>
          <w:lang w:val="en-CA"/>
        </w:rPr>
        <w:t>(a)          Province to clarify what is contemplated under the heading “Approval Requirement”. Is Province proposing to approve any obligation incurred by the Financing Entity?</w:t>
      </w:r>
    </w:p>
    <w:p w:rsidR="003B620D" w:rsidRPr="003B620D" w:rsidRDefault="005B374A" w:rsidP="003B620D">
      <w:pPr>
        <w:pStyle w:val="StandardL2"/>
        <w:ind w:left="720" w:firstLine="0"/>
        <w:rPr>
          <w:i/>
          <w:color w:val="000000"/>
          <w:lang w:val="en-CA"/>
        </w:rPr>
      </w:pPr>
      <w:r>
        <w:rPr>
          <w:i/>
          <w:color w:val="000000"/>
          <w:lang w:val="en-CA"/>
        </w:rPr>
        <w:t xml:space="preserve">To the extent the Province’s obligations will depend on or vary with the specific terms and conditions of the underlying funding obligations, the protection and assurances contemplated in the term sheet will be conditional on the Province being comfortable with the scope of those terms and conditions. The Province appreciates that the marketability of a particular offering will require timely input from the Province and so it is </w:t>
      </w:r>
      <w:r>
        <w:rPr>
          <w:i/>
          <w:color w:val="000000"/>
          <w:lang w:val="en-CA"/>
        </w:rPr>
        <w:lastRenderedPageBreak/>
        <w:t>anticipated that pre-vetting and/or format driven criteria will be considered in order to provide as much certainty to OPG as is reasonable given the scope of permitted assurances and protection powers and authorities contemplated under the OFHPA.</w:t>
      </w:r>
    </w:p>
    <w:p w:rsidR="00CE3810" w:rsidRDefault="005B374A" w:rsidP="00CE3810">
      <w:pPr>
        <w:pStyle w:val="StandardL2"/>
        <w:ind w:left="0" w:firstLine="0"/>
        <w:rPr>
          <w:color w:val="000000"/>
          <w:lang w:val="en-CA"/>
        </w:rPr>
      </w:pPr>
      <w:r>
        <w:rPr>
          <w:color w:val="000000"/>
          <w:lang w:val="en-CA"/>
        </w:rPr>
        <w:t xml:space="preserve">                (b)          Approval under Section 28 of the </w:t>
      </w:r>
      <w:r>
        <w:rPr>
          <w:i/>
          <w:iCs/>
          <w:color w:val="000000"/>
          <w:lang w:val="en-CA"/>
        </w:rPr>
        <w:t xml:space="preserve">Financial Administration Act </w:t>
      </w:r>
      <w:r>
        <w:rPr>
          <w:color w:val="000000"/>
          <w:lang w:val="en-CA"/>
        </w:rPr>
        <w:t>to be attained (in case the OFHPA is declared void in its entirety).       </w:t>
      </w:r>
    </w:p>
    <w:p w:rsidR="000615C9" w:rsidRPr="002D37F6" w:rsidRDefault="005B374A" w:rsidP="002D37F6">
      <w:pPr>
        <w:pStyle w:val="StandardL2"/>
        <w:ind w:left="720" w:firstLine="0"/>
        <w:rPr>
          <w:i/>
        </w:rPr>
      </w:pPr>
      <w:r>
        <w:rPr>
          <w:i/>
        </w:rPr>
        <w:t xml:space="preserve">Understood. </w:t>
      </w:r>
    </w:p>
    <w:sectPr w:rsidR="000615C9" w:rsidRPr="002D37F6" w:rsidSect="006F14FA">
      <w:headerReference w:type="default" r:id="rId7"/>
      <w:footerReference w:type="even" r:id="rId8"/>
      <w:footerReference w:type="default" r:id="rId9"/>
      <w:footerReference w:type="first" r:id="rId1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F8C" w:rsidRDefault="00702F8C">
      <w:pPr>
        <w:spacing w:after="0"/>
      </w:pPr>
      <w:r>
        <w:separator/>
      </w:r>
    </w:p>
  </w:endnote>
  <w:endnote w:type="continuationSeparator" w:id="0">
    <w:p w:rsidR="00702F8C" w:rsidRDefault="00702F8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B2C" w:rsidRDefault="005B374A" w:rsidP="00612B2C">
    <w:pPr>
      <w:pStyle w:val="BlakesDocID"/>
    </w:pPr>
    <w:fldSimple w:instr=" DOCPROPERTY DOCXDOCID DMS=HummingbirdDM5 Format=&lt;&lt;NUM&gt;&gt;.&lt;&lt;VER&gt;&gt; PRESERVELOCATION \* MERGEFORMAT ">
      <w:r>
        <w:t>12904517.1</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B2C" w:rsidRDefault="005B374A" w:rsidP="00612B2C">
    <w:pPr>
      <w:pStyle w:val="BlakesDocID"/>
    </w:pPr>
    <w:fldSimple w:instr=" DOCPROPERTY DOCXDOCID DMS=HummingbirdDM5 Format=&lt;&lt;NUM&gt;&gt;.&lt;&lt;VER&gt;&gt; PRESERVELOCATION \* MERGEFORMAT ">
      <w:r>
        <w:t>12904517.1</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B2C" w:rsidRDefault="005B374A" w:rsidP="00612B2C">
    <w:pPr>
      <w:pStyle w:val="BlakesDocID"/>
    </w:pPr>
    <w:fldSimple w:instr=" DOCPROPERTY DOCXDOCID DMS=HummingbirdDM5 Format=&lt;&lt;NUM&gt;&gt;.&lt;&lt;VER&gt;&gt; PRESERVELOCATION \* MERGEFORMAT ">
      <w:r>
        <w:t>12904517.1</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F8C" w:rsidRDefault="00702F8C">
      <w:pPr>
        <w:spacing w:after="0"/>
      </w:pPr>
      <w:r>
        <w:separator/>
      </w:r>
    </w:p>
  </w:footnote>
  <w:footnote w:type="continuationSeparator" w:id="0">
    <w:p w:rsidR="00702F8C" w:rsidRDefault="00702F8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7886" w:rsidRPr="004E7886" w:rsidRDefault="005B374A" w:rsidP="004E7886">
    <w:pPr>
      <w:pStyle w:val="StandardL1"/>
      <w:jc w:val="right"/>
      <w:rPr>
        <w:color w:val="000000"/>
        <w:lang w:val="en-CA"/>
      </w:rPr>
    </w:pPr>
    <w:r>
      <w:rPr>
        <w:color w:val="000000"/>
        <w:u w:val="single"/>
        <w:lang w:val="en-CA"/>
      </w:rPr>
      <w:t>Draft</w:t>
    </w:r>
    <w:r w:rsidRPr="004E7886">
      <w:rPr>
        <w:color w:val="000000"/>
        <w:lang w:val="en-CA"/>
      </w:rPr>
      <w:t>: July 6, 2017</w:t>
    </w:r>
  </w:p>
  <w:p w:rsidR="00612B2C" w:rsidRDefault="00702F8C" w:rsidP="004E7886">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E869748"/>
    <w:lvl w:ilvl="0">
      <w:start w:val="1"/>
      <w:numFmt w:val="decimal"/>
      <w:lvlText w:val="%1."/>
      <w:lvlJc w:val="left"/>
      <w:pPr>
        <w:tabs>
          <w:tab w:val="num" w:pos="1800"/>
        </w:tabs>
        <w:ind w:left="1800" w:hanging="360"/>
      </w:pPr>
    </w:lvl>
  </w:abstractNum>
  <w:abstractNum w:abstractNumId="1">
    <w:nsid w:val="FFFFFF7D"/>
    <w:multiLevelType w:val="singleLevel"/>
    <w:tmpl w:val="C3A05438"/>
    <w:lvl w:ilvl="0">
      <w:start w:val="1"/>
      <w:numFmt w:val="decimal"/>
      <w:lvlText w:val="%1."/>
      <w:lvlJc w:val="left"/>
      <w:pPr>
        <w:tabs>
          <w:tab w:val="num" w:pos="1440"/>
        </w:tabs>
        <w:ind w:left="1440" w:hanging="360"/>
      </w:pPr>
    </w:lvl>
  </w:abstractNum>
  <w:abstractNum w:abstractNumId="2">
    <w:nsid w:val="FFFFFF7E"/>
    <w:multiLevelType w:val="singleLevel"/>
    <w:tmpl w:val="C128BF92"/>
    <w:lvl w:ilvl="0">
      <w:start w:val="1"/>
      <w:numFmt w:val="decimal"/>
      <w:lvlText w:val="%1."/>
      <w:lvlJc w:val="left"/>
      <w:pPr>
        <w:tabs>
          <w:tab w:val="num" w:pos="1080"/>
        </w:tabs>
        <w:ind w:left="1080" w:hanging="360"/>
      </w:pPr>
    </w:lvl>
  </w:abstractNum>
  <w:abstractNum w:abstractNumId="3">
    <w:nsid w:val="FFFFFF7F"/>
    <w:multiLevelType w:val="singleLevel"/>
    <w:tmpl w:val="993C167A"/>
    <w:lvl w:ilvl="0">
      <w:start w:val="1"/>
      <w:numFmt w:val="decimal"/>
      <w:lvlText w:val="%1."/>
      <w:lvlJc w:val="left"/>
      <w:pPr>
        <w:tabs>
          <w:tab w:val="num" w:pos="720"/>
        </w:tabs>
        <w:ind w:left="720" w:hanging="360"/>
      </w:pPr>
    </w:lvl>
  </w:abstractNum>
  <w:abstractNum w:abstractNumId="4">
    <w:nsid w:val="FFFFFF80"/>
    <w:multiLevelType w:val="singleLevel"/>
    <w:tmpl w:val="D3A040C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BDE9E6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578B33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74CD26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53A976E"/>
    <w:lvl w:ilvl="0">
      <w:start w:val="1"/>
      <w:numFmt w:val="decimal"/>
      <w:lvlText w:val="%1."/>
      <w:lvlJc w:val="left"/>
      <w:pPr>
        <w:tabs>
          <w:tab w:val="num" w:pos="360"/>
        </w:tabs>
        <w:ind w:left="360" w:hanging="360"/>
      </w:pPr>
    </w:lvl>
  </w:abstractNum>
  <w:abstractNum w:abstractNumId="9">
    <w:nsid w:val="FFFFFF89"/>
    <w:multiLevelType w:val="singleLevel"/>
    <w:tmpl w:val="E6F02CB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7CC"/>
    <w:rsid w:val="005B374A"/>
    <w:rsid w:val="00683A7B"/>
    <w:rsid w:val="00702F8C"/>
    <w:rsid w:val="00CD4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40"/>
        <w:jc w:val="both"/>
      </w:pPr>
    </w:pPrDefault>
  </w:docDefaults>
  <w:latentStyles w:defLockedState="0" w:defUIPriority="99" w:defSemiHidden="0" w:defUnhideWhenUsed="0" w:defQFormat="0" w:count="371">
    <w:lsdException w:name="Normal" w:uiPriority="98" w:qFormat="1"/>
    <w:lsdException w:name="heading 1" w:uiPriority="1" w:qFormat="1"/>
    <w:lsdException w:name="heading 2" w:uiPriority="1" w:qFormat="1"/>
    <w:lsdException w:name="heading 3" w:uiPriority="1" w:qFormat="1"/>
    <w:lsdException w:name="heading 4" w:uiPriority="34" w:qFormat="1"/>
    <w:lsdException w:name="heading 5" w:uiPriority="34" w:qFormat="1"/>
    <w:lsdException w:name="heading 6" w:uiPriority="34" w:qFormat="1"/>
    <w:lsdException w:name="heading 7" w:uiPriority="34" w:unhideWhenUsed="1" w:qFormat="1"/>
    <w:lsdException w:name="heading 8" w:uiPriority="34" w:unhideWhenUsed="1" w:qFormat="1"/>
    <w:lsdException w:name="heading 9" w:uiPriority="3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uiPriority="3"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1"/>
    <w:lsdException w:name="Salutation" w:semiHidden="1" w:unhideWhenUsed="1"/>
    <w:lsdException w:name="Date" w:semiHidden="1"/>
    <w:lsdException w:name="Body Text First Indent" w:uiPriority="3" w:qFormat="1"/>
    <w:lsdException w:name="Body Text First Indent 2" w:uiPriority="4" w:unhideWhenUsed="1" w:qFormat="1"/>
    <w:lsdException w:name="Note Heading" w:semiHidden="1" w:unhideWhenUsed="1"/>
    <w:lsdException w:name="Body Text 2" w:uiPriority="2" w:unhideWhenUsed="1" w:qFormat="1"/>
    <w:lsdException w:name="Body Text 3" w:uiPriority="8" w:unhideWhenUsed="1" w:qFormat="1"/>
    <w:lsdException w:name="Body Text Indent 2" w:uiPriority="4" w:unhideWhenUsed="1" w:qFormat="1"/>
    <w:lsdException w:name="Body Text Indent 3" w:uiPriority="8" w:unhideWhenUsed="1" w:qFormat="1"/>
    <w:lsdException w:name="Block Text" w:semiHidden="1" w:unhideWhenUsed="1"/>
    <w:lsdException w:name="Hyperlink" w:semiHidden="1" w:unhideWhenUsed="1"/>
    <w:lsdException w:name="FollowedHyperlink" w:semiHidden="1" w:unhideWhenUsed="1"/>
    <w:lsdException w:name="Strong" w:uiPriority="52"/>
    <w:lsdException w:name="Emphasis" w:uiPriority="5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59"/>
    <w:lsdException w:name="Intense Quote" w:uiPriority="6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lsdException w:name="Intense Emphasis" w:uiPriority="51"/>
    <w:lsdException w:name="Subtle Reference" w:uiPriority="61"/>
    <w:lsdException w:name="Intense Reference" w:uiPriority="62"/>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8"/>
    <w:qFormat/>
    <w:rsid w:val="00C01ADD"/>
    <w:rPr>
      <w:lang w:val="en-CA"/>
    </w:rPr>
  </w:style>
  <w:style w:type="paragraph" w:styleId="Heading1">
    <w:name w:val="heading 1"/>
    <w:basedOn w:val="Normal"/>
    <w:next w:val="Normal"/>
    <w:link w:val="Heading1Char"/>
    <w:uiPriority w:val="1"/>
    <w:qFormat/>
    <w:rsid w:val="00950EED"/>
    <w:pPr>
      <w:keepNext/>
      <w:keepLines/>
      <w:jc w:val="center"/>
      <w:outlineLvl w:val="0"/>
    </w:pPr>
    <w:rPr>
      <w:rFonts w:asciiTheme="majorHAnsi" w:eastAsiaTheme="majorEastAsia" w:hAnsiTheme="majorHAnsi" w:cstheme="majorBidi"/>
      <w:b/>
      <w:bCs/>
      <w:caps/>
      <w:szCs w:val="28"/>
    </w:rPr>
  </w:style>
  <w:style w:type="paragraph" w:styleId="Heading2">
    <w:name w:val="heading 2"/>
    <w:basedOn w:val="Normal"/>
    <w:next w:val="Normal"/>
    <w:link w:val="Heading2Char"/>
    <w:uiPriority w:val="1"/>
    <w:qFormat/>
    <w:rsid w:val="00FD217D"/>
    <w:pPr>
      <w:keepNext/>
      <w:keepLines/>
      <w:outlineLvl w:val="1"/>
    </w:pPr>
    <w:rPr>
      <w:rFonts w:asciiTheme="majorHAnsi" w:eastAsiaTheme="majorEastAsia" w:hAnsiTheme="majorHAnsi" w:cstheme="majorBidi"/>
      <w:b/>
      <w:bCs/>
      <w:i/>
      <w:szCs w:val="26"/>
    </w:rPr>
  </w:style>
  <w:style w:type="paragraph" w:styleId="Heading3">
    <w:name w:val="heading 3"/>
    <w:basedOn w:val="Normal"/>
    <w:next w:val="Normal"/>
    <w:link w:val="Heading3Char"/>
    <w:uiPriority w:val="1"/>
    <w:qFormat/>
    <w:rsid w:val="00FD217D"/>
    <w:pPr>
      <w:keepLines/>
      <w:outlineLvl w:val="2"/>
    </w:pPr>
    <w:rPr>
      <w:rFonts w:asciiTheme="majorHAnsi" w:eastAsiaTheme="majorEastAsia" w:hAnsiTheme="majorHAnsi" w:cstheme="majorBidi"/>
      <w:bCs/>
      <w:i/>
    </w:rPr>
  </w:style>
  <w:style w:type="paragraph" w:styleId="Heading4">
    <w:name w:val="heading 4"/>
    <w:basedOn w:val="Normal"/>
    <w:next w:val="Normal"/>
    <w:link w:val="Heading4Char"/>
    <w:uiPriority w:val="34"/>
    <w:semiHidden/>
    <w:qFormat/>
    <w:rsid w:val="0062474D"/>
    <w:pPr>
      <w:keepLines/>
      <w:outlineLvl w:val="3"/>
    </w:pPr>
    <w:rPr>
      <w:rFonts w:asciiTheme="majorHAnsi" w:eastAsiaTheme="majorEastAsia" w:hAnsiTheme="majorHAnsi" w:cstheme="majorBidi"/>
      <w:bCs/>
      <w:iCs/>
      <w:color w:val="0F0F0F" w:themeColor="text1"/>
    </w:rPr>
  </w:style>
  <w:style w:type="paragraph" w:styleId="Heading5">
    <w:name w:val="heading 5"/>
    <w:basedOn w:val="Normal"/>
    <w:next w:val="Normal"/>
    <w:link w:val="Heading5Char"/>
    <w:uiPriority w:val="34"/>
    <w:semiHidden/>
    <w:qFormat/>
    <w:rsid w:val="0062474D"/>
    <w:pPr>
      <w:keepLines/>
      <w:outlineLvl w:val="4"/>
    </w:pPr>
    <w:rPr>
      <w:rFonts w:asciiTheme="majorHAnsi" w:eastAsiaTheme="majorEastAsia" w:hAnsiTheme="majorHAnsi" w:cstheme="majorBidi"/>
      <w:color w:val="0F0F0F" w:themeColor="text1"/>
    </w:rPr>
  </w:style>
  <w:style w:type="paragraph" w:styleId="Heading6">
    <w:name w:val="heading 6"/>
    <w:basedOn w:val="Normal"/>
    <w:next w:val="Normal"/>
    <w:link w:val="Heading6Char"/>
    <w:uiPriority w:val="34"/>
    <w:semiHidden/>
    <w:qFormat/>
    <w:rsid w:val="0062474D"/>
    <w:pPr>
      <w:keepLines/>
      <w:outlineLvl w:val="5"/>
    </w:pPr>
    <w:rPr>
      <w:rFonts w:asciiTheme="majorHAnsi" w:eastAsiaTheme="majorEastAsia" w:hAnsiTheme="majorHAnsi" w:cstheme="majorBidi"/>
      <w:i/>
      <w:iCs/>
      <w:color w:val="0F0F0F" w:themeColor="text1"/>
    </w:rPr>
  </w:style>
  <w:style w:type="paragraph" w:styleId="Heading7">
    <w:name w:val="heading 7"/>
    <w:basedOn w:val="Normal"/>
    <w:next w:val="Normal"/>
    <w:link w:val="Heading7Char"/>
    <w:uiPriority w:val="34"/>
    <w:semiHidden/>
    <w:qFormat/>
    <w:rsid w:val="0062474D"/>
    <w:pPr>
      <w:keepLines/>
      <w:outlineLvl w:val="6"/>
    </w:pPr>
    <w:rPr>
      <w:rFonts w:asciiTheme="majorHAnsi" w:eastAsiaTheme="majorEastAsia" w:hAnsiTheme="majorHAnsi" w:cstheme="majorBidi"/>
      <w:i/>
      <w:iCs/>
      <w:color w:val="0F0F0F" w:themeColor="text1"/>
    </w:rPr>
  </w:style>
  <w:style w:type="paragraph" w:styleId="Heading8">
    <w:name w:val="heading 8"/>
    <w:basedOn w:val="Normal"/>
    <w:next w:val="Normal"/>
    <w:link w:val="Heading8Char"/>
    <w:uiPriority w:val="34"/>
    <w:semiHidden/>
    <w:qFormat/>
    <w:rsid w:val="0062474D"/>
    <w:pPr>
      <w:keepNext/>
      <w:keepLines/>
      <w:outlineLvl w:val="7"/>
    </w:pPr>
    <w:rPr>
      <w:rFonts w:asciiTheme="majorHAnsi" w:eastAsiaTheme="majorEastAsia" w:hAnsiTheme="majorHAnsi" w:cstheme="majorBidi"/>
      <w:color w:val="4B4B4B" w:themeColor="text1" w:themeTint="BF"/>
      <w:sz w:val="20"/>
      <w:szCs w:val="20"/>
    </w:rPr>
  </w:style>
  <w:style w:type="paragraph" w:styleId="Heading9">
    <w:name w:val="heading 9"/>
    <w:basedOn w:val="Normal"/>
    <w:next w:val="Normal"/>
    <w:link w:val="Heading9Char"/>
    <w:uiPriority w:val="34"/>
    <w:semiHidden/>
    <w:qFormat/>
    <w:rsid w:val="0062474D"/>
    <w:pPr>
      <w:keepLines/>
      <w:outlineLvl w:val="8"/>
    </w:pPr>
    <w:rPr>
      <w:rFonts w:asciiTheme="majorHAnsi" w:eastAsiaTheme="majorEastAsia" w:hAnsiTheme="majorHAnsi" w:cstheme="majorBidi"/>
      <w:i/>
      <w:iCs/>
      <w:color w:val="0F0F0F" w:themeColor="tex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kesDocID">
    <w:name w:val="Blakes DocID"/>
    <w:basedOn w:val="Normal"/>
    <w:uiPriority w:val="99"/>
    <w:semiHidden/>
    <w:rsid w:val="00C01ADD"/>
    <w:rPr>
      <w:noProof/>
      <w:sz w:val="16"/>
    </w:rPr>
  </w:style>
  <w:style w:type="paragraph" w:styleId="Header">
    <w:name w:val="header"/>
    <w:basedOn w:val="Normal"/>
    <w:link w:val="HeaderChar"/>
    <w:uiPriority w:val="99"/>
    <w:semiHidden/>
    <w:rsid w:val="0062474D"/>
    <w:pPr>
      <w:tabs>
        <w:tab w:val="center" w:pos="4680"/>
        <w:tab w:val="right" w:pos="9360"/>
      </w:tabs>
    </w:pPr>
  </w:style>
  <w:style w:type="character" w:customStyle="1" w:styleId="HeaderChar">
    <w:name w:val="Header Char"/>
    <w:basedOn w:val="DefaultParagraphFont"/>
    <w:link w:val="Header"/>
    <w:uiPriority w:val="99"/>
    <w:semiHidden/>
    <w:rsid w:val="0062474D"/>
    <w:rPr>
      <w:szCs w:val="21"/>
      <w:lang w:val="en-CA"/>
    </w:rPr>
  </w:style>
  <w:style w:type="paragraph" w:styleId="Footer">
    <w:name w:val="footer"/>
    <w:basedOn w:val="Normal"/>
    <w:link w:val="FooterChar"/>
    <w:uiPriority w:val="99"/>
    <w:semiHidden/>
    <w:rsid w:val="0062474D"/>
    <w:pPr>
      <w:tabs>
        <w:tab w:val="center" w:pos="4680"/>
        <w:tab w:val="right" w:pos="9360"/>
      </w:tabs>
    </w:pPr>
  </w:style>
  <w:style w:type="character" w:customStyle="1" w:styleId="FooterChar">
    <w:name w:val="Footer Char"/>
    <w:basedOn w:val="DefaultParagraphFont"/>
    <w:link w:val="Footer"/>
    <w:uiPriority w:val="99"/>
    <w:semiHidden/>
    <w:rsid w:val="0062474D"/>
    <w:rPr>
      <w:szCs w:val="21"/>
      <w:lang w:val="en-CA"/>
    </w:rPr>
  </w:style>
  <w:style w:type="table" w:styleId="TableGrid">
    <w:name w:val="Table Grid"/>
    <w:basedOn w:val="TableNormal"/>
    <w:uiPriority w:val="59"/>
    <w:rsid w:val="00950EED"/>
    <w:pPr>
      <w:jc w:val="left"/>
    </w:pPr>
    <w:rPr>
      <w:szCs w:val="21"/>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544333"/>
  </w:style>
  <w:style w:type="character" w:customStyle="1" w:styleId="BodyTextChar">
    <w:name w:val="Body Text Char"/>
    <w:basedOn w:val="DefaultParagraphFont"/>
    <w:link w:val="BodyText"/>
    <w:rsid w:val="00544333"/>
    <w:rPr>
      <w:lang w:val="en-CA"/>
    </w:rPr>
  </w:style>
  <w:style w:type="paragraph" w:styleId="NoSpacing">
    <w:name w:val="No Spacing"/>
    <w:uiPriority w:val="1"/>
    <w:qFormat/>
    <w:rsid w:val="00FD217D"/>
    <w:pPr>
      <w:spacing w:after="0"/>
    </w:pPr>
    <w:rPr>
      <w:szCs w:val="21"/>
    </w:rPr>
  </w:style>
  <w:style w:type="paragraph" w:styleId="ListParagraph">
    <w:name w:val="List Paragraph"/>
    <w:basedOn w:val="Normal"/>
    <w:uiPriority w:val="99"/>
    <w:semiHidden/>
    <w:rsid w:val="0062474D"/>
    <w:pPr>
      <w:ind w:left="720"/>
      <w:contextualSpacing/>
    </w:pPr>
  </w:style>
  <w:style w:type="paragraph" w:styleId="BodyText2">
    <w:name w:val="Body Text 2"/>
    <w:aliases w:val="(Double)"/>
    <w:basedOn w:val="BodyText"/>
    <w:link w:val="BodyText2Char"/>
    <w:uiPriority w:val="2"/>
    <w:qFormat/>
    <w:rsid w:val="00950EED"/>
    <w:pPr>
      <w:spacing w:after="480" w:line="480" w:lineRule="auto"/>
      <w:contextualSpacing/>
    </w:pPr>
  </w:style>
  <w:style w:type="character" w:customStyle="1" w:styleId="BodyText2Char">
    <w:name w:val="Body Text 2 Char"/>
    <w:aliases w:val="(Double) Char"/>
    <w:basedOn w:val="DefaultParagraphFont"/>
    <w:link w:val="BodyText2"/>
    <w:uiPriority w:val="2"/>
    <w:rsid w:val="00950EED"/>
  </w:style>
  <w:style w:type="paragraph" w:styleId="Closing">
    <w:name w:val="Closing"/>
    <w:basedOn w:val="Normal"/>
    <w:link w:val="ClosingChar"/>
    <w:uiPriority w:val="99"/>
    <w:semiHidden/>
    <w:unhideWhenUsed/>
    <w:rsid w:val="0062474D"/>
    <w:pPr>
      <w:ind w:left="4320"/>
    </w:pPr>
  </w:style>
  <w:style w:type="character" w:customStyle="1" w:styleId="ClosingChar">
    <w:name w:val="Closing Char"/>
    <w:basedOn w:val="DefaultParagraphFont"/>
    <w:link w:val="Closing"/>
    <w:uiPriority w:val="99"/>
    <w:semiHidden/>
    <w:rsid w:val="0062474D"/>
    <w:rPr>
      <w:szCs w:val="21"/>
      <w:lang w:val="en-CA"/>
    </w:rPr>
  </w:style>
  <w:style w:type="paragraph" w:styleId="BodyText3">
    <w:name w:val="Body Text 3"/>
    <w:aliases w:val="(Font Change)"/>
    <w:basedOn w:val="BodyText"/>
    <w:link w:val="BodyText3Char"/>
    <w:uiPriority w:val="8"/>
    <w:qFormat/>
    <w:rsid w:val="00475DEA"/>
    <w:rPr>
      <w:szCs w:val="16"/>
    </w:rPr>
  </w:style>
  <w:style w:type="character" w:customStyle="1" w:styleId="BodyText3Char">
    <w:name w:val="Body Text 3 Char"/>
    <w:aliases w:val="(Font Change) Char"/>
    <w:basedOn w:val="DefaultParagraphFont"/>
    <w:link w:val="BodyText3"/>
    <w:uiPriority w:val="8"/>
    <w:rsid w:val="00475DEA"/>
    <w:rPr>
      <w:rFonts w:asciiTheme="minorHAnsi" w:hAnsiTheme="minorHAnsi"/>
      <w:szCs w:val="16"/>
    </w:rPr>
  </w:style>
  <w:style w:type="paragraph" w:styleId="BodyTextFirstIndent">
    <w:name w:val="Body Text First Indent"/>
    <w:aliases w:val="(.5&quot;)"/>
    <w:basedOn w:val="BodyText"/>
    <w:link w:val="BodyTextFirstIndentChar"/>
    <w:uiPriority w:val="3"/>
    <w:qFormat/>
    <w:rsid w:val="00FD217D"/>
    <w:pPr>
      <w:ind w:firstLine="720"/>
    </w:pPr>
  </w:style>
  <w:style w:type="character" w:customStyle="1" w:styleId="BodyTextFirstIndentChar">
    <w:name w:val="Body Text First Indent Char"/>
    <w:aliases w:val="(.5&quot;) Char"/>
    <w:basedOn w:val="BodyTextChar"/>
    <w:link w:val="BodyTextFirstIndent"/>
    <w:uiPriority w:val="3"/>
    <w:rsid w:val="00FD217D"/>
    <w:rPr>
      <w:rFonts w:asciiTheme="minorHAnsi" w:hAnsiTheme="minorHAnsi"/>
      <w:lang w:val="en-CA"/>
    </w:rPr>
  </w:style>
  <w:style w:type="paragraph" w:styleId="BodyTextIndent">
    <w:name w:val="Body Text Indent"/>
    <w:aliases w:val="(.5&quot;Left)"/>
    <w:basedOn w:val="BodyText"/>
    <w:link w:val="BodyTextIndentChar"/>
    <w:uiPriority w:val="3"/>
    <w:qFormat/>
    <w:rsid w:val="00950EED"/>
    <w:pPr>
      <w:ind w:left="720"/>
    </w:pPr>
  </w:style>
  <w:style w:type="character" w:customStyle="1" w:styleId="BodyTextIndentChar">
    <w:name w:val="Body Text Indent Char"/>
    <w:aliases w:val="(.5&quot;Left) Char"/>
    <w:basedOn w:val="DefaultParagraphFont"/>
    <w:link w:val="BodyTextIndent"/>
    <w:uiPriority w:val="3"/>
    <w:rsid w:val="00950EED"/>
  </w:style>
  <w:style w:type="paragraph" w:styleId="BodyTextFirstIndent2">
    <w:name w:val="Body Text First Indent 2"/>
    <w:aliases w:val="(1&quot;)"/>
    <w:basedOn w:val="BodyText"/>
    <w:link w:val="BodyTextFirstIndent2Char"/>
    <w:uiPriority w:val="4"/>
    <w:qFormat/>
    <w:rsid w:val="00950EED"/>
    <w:pPr>
      <w:ind w:firstLine="1440"/>
    </w:pPr>
  </w:style>
  <w:style w:type="character" w:customStyle="1" w:styleId="BodyTextFirstIndent2Char">
    <w:name w:val="Body Text First Indent 2 Char"/>
    <w:aliases w:val="(1&quot;) Char"/>
    <w:basedOn w:val="DefaultParagraphFont"/>
    <w:link w:val="BodyTextFirstIndent2"/>
    <w:uiPriority w:val="4"/>
    <w:rsid w:val="00950EED"/>
  </w:style>
  <w:style w:type="paragraph" w:styleId="BodyTextIndent2">
    <w:name w:val="Body Text Indent 2"/>
    <w:aliases w:val="(1&quot;Left)"/>
    <w:basedOn w:val="BodyText"/>
    <w:link w:val="BodyTextIndent2Char"/>
    <w:uiPriority w:val="4"/>
    <w:qFormat/>
    <w:rsid w:val="00950EED"/>
    <w:pPr>
      <w:ind w:left="1440"/>
    </w:pPr>
  </w:style>
  <w:style w:type="character" w:customStyle="1" w:styleId="BodyTextIndent2Char">
    <w:name w:val="Body Text Indent 2 Char"/>
    <w:aliases w:val="(1&quot;Left) Char"/>
    <w:basedOn w:val="DefaultParagraphFont"/>
    <w:link w:val="BodyTextIndent2"/>
    <w:uiPriority w:val="4"/>
    <w:rsid w:val="00950EED"/>
  </w:style>
  <w:style w:type="paragraph" w:styleId="BodyTextIndent3">
    <w:name w:val="Body Text Indent 3"/>
    <w:aliases w:val="(.5&quot;Left,Double)"/>
    <w:basedOn w:val="BodyText"/>
    <w:link w:val="BodyTextIndent3Char"/>
    <w:uiPriority w:val="8"/>
    <w:qFormat/>
    <w:rsid w:val="00950EED"/>
    <w:pPr>
      <w:spacing w:after="480" w:line="480" w:lineRule="auto"/>
      <w:ind w:left="720"/>
      <w:contextualSpacing/>
    </w:pPr>
    <w:rPr>
      <w:szCs w:val="16"/>
    </w:rPr>
  </w:style>
  <w:style w:type="character" w:customStyle="1" w:styleId="BodyTextIndent3Char">
    <w:name w:val="Body Text Indent 3 Char"/>
    <w:aliases w:val="(.5&quot;Left Char,Double) Char"/>
    <w:basedOn w:val="DefaultParagraphFont"/>
    <w:link w:val="BodyTextIndent3"/>
    <w:uiPriority w:val="8"/>
    <w:rsid w:val="00950EED"/>
    <w:rPr>
      <w:szCs w:val="16"/>
    </w:rPr>
  </w:style>
  <w:style w:type="character" w:customStyle="1" w:styleId="Heading1Char">
    <w:name w:val="Heading 1 Char"/>
    <w:basedOn w:val="DefaultParagraphFont"/>
    <w:link w:val="Heading1"/>
    <w:uiPriority w:val="1"/>
    <w:rsid w:val="00950EED"/>
    <w:rPr>
      <w:rFonts w:asciiTheme="majorHAnsi" w:eastAsiaTheme="majorEastAsia" w:hAnsiTheme="majorHAnsi" w:cstheme="majorBidi"/>
      <w:b/>
      <w:bCs/>
      <w:caps/>
      <w:szCs w:val="28"/>
    </w:rPr>
  </w:style>
  <w:style w:type="character" w:customStyle="1" w:styleId="Heading2Char">
    <w:name w:val="Heading 2 Char"/>
    <w:basedOn w:val="DefaultParagraphFont"/>
    <w:link w:val="Heading2"/>
    <w:uiPriority w:val="1"/>
    <w:rsid w:val="00FD217D"/>
    <w:rPr>
      <w:rFonts w:asciiTheme="majorHAnsi" w:eastAsiaTheme="majorEastAsia" w:hAnsiTheme="majorHAnsi" w:cstheme="majorBidi"/>
      <w:b/>
      <w:bCs/>
      <w:i/>
      <w:szCs w:val="26"/>
    </w:rPr>
  </w:style>
  <w:style w:type="character" w:customStyle="1" w:styleId="Heading3Char">
    <w:name w:val="Heading 3 Char"/>
    <w:basedOn w:val="DefaultParagraphFont"/>
    <w:link w:val="Heading3"/>
    <w:uiPriority w:val="1"/>
    <w:rsid w:val="00FD217D"/>
    <w:rPr>
      <w:rFonts w:asciiTheme="majorHAnsi" w:eastAsiaTheme="majorEastAsia" w:hAnsiTheme="majorHAnsi" w:cstheme="majorBidi"/>
      <w:bCs/>
      <w:i/>
    </w:rPr>
  </w:style>
  <w:style w:type="character" w:customStyle="1" w:styleId="Heading4Char">
    <w:name w:val="Heading 4 Char"/>
    <w:basedOn w:val="DefaultParagraphFont"/>
    <w:link w:val="Heading4"/>
    <w:uiPriority w:val="34"/>
    <w:semiHidden/>
    <w:rsid w:val="0062474D"/>
    <w:rPr>
      <w:rFonts w:asciiTheme="majorHAnsi" w:eastAsiaTheme="majorEastAsia" w:hAnsiTheme="majorHAnsi" w:cstheme="majorBidi"/>
      <w:bCs/>
      <w:iCs/>
      <w:color w:val="0F0F0F" w:themeColor="text1"/>
      <w:szCs w:val="21"/>
      <w:lang w:val="en-CA"/>
    </w:rPr>
  </w:style>
  <w:style w:type="character" w:customStyle="1" w:styleId="Heading5Char">
    <w:name w:val="Heading 5 Char"/>
    <w:basedOn w:val="DefaultParagraphFont"/>
    <w:link w:val="Heading5"/>
    <w:uiPriority w:val="34"/>
    <w:semiHidden/>
    <w:rsid w:val="0062474D"/>
    <w:rPr>
      <w:rFonts w:asciiTheme="majorHAnsi" w:eastAsiaTheme="majorEastAsia" w:hAnsiTheme="majorHAnsi" w:cstheme="majorBidi"/>
      <w:color w:val="0F0F0F" w:themeColor="text1"/>
      <w:szCs w:val="21"/>
      <w:lang w:val="en-CA"/>
    </w:rPr>
  </w:style>
  <w:style w:type="character" w:customStyle="1" w:styleId="Heading6Char">
    <w:name w:val="Heading 6 Char"/>
    <w:basedOn w:val="DefaultParagraphFont"/>
    <w:link w:val="Heading6"/>
    <w:uiPriority w:val="34"/>
    <w:semiHidden/>
    <w:rsid w:val="0062474D"/>
    <w:rPr>
      <w:rFonts w:asciiTheme="majorHAnsi" w:eastAsiaTheme="majorEastAsia" w:hAnsiTheme="majorHAnsi" w:cstheme="majorBidi"/>
      <w:i/>
      <w:iCs/>
      <w:color w:val="0F0F0F" w:themeColor="text1"/>
      <w:szCs w:val="21"/>
      <w:lang w:val="en-CA"/>
    </w:rPr>
  </w:style>
  <w:style w:type="character" w:customStyle="1" w:styleId="Heading7Char">
    <w:name w:val="Heading 7 Char"/>
    <w:basedOn w:val="DefaultParagraphFont"/>
    <w:link w:val="Heading7"/>
    <w:uiPriority w:val="34"/>
    <w:semiHidden/>
    <w:rsid w:val="0062474D"/>
    <w:rPr>
      <w:rFonts w:asciiTheme="majorHAnsi" w:eastAsiaTheme="majorEastAsia" w:hAnsiTheme="majorHAnsi" w:cstheme="majorBidi"/>
      <w:i/>
      <w:iCs/>
      <w:color w:val="0F0F0F" w:themeColor="text1"/>
      <w:szCs w:val="21"/>
      <w:lang w:val="en-CA"/>
    </w:rPr>
  </w:style>
  <w:style w:type="character" w:customStyle="1" w:styleId="Heading9Char">
    <w:name w:val="Heading 9 Char"/>
    <w:basedOn w:val="DefaultParagraphFont"/>
    <w:link w:val="Heading9"/>
    <w:uiPriority w:val="34"/>
    <w:semiHidden/>
    <w:rsid w:val="0062474D"/>
    <w:rPr>
      <w:rFonts w:asciiTheme="majorHAnsi" w:eastAsiaTheme="majorEastAsia" w:hAnsiTheme="majorHAnsi" w:cstheme="majorBidi"/>
      <w:i/>
      <w:iCs/>
      <w:color w:val="0F0F0F" w:themeColor="text1"/>
      <w:szCs w:val="20"/>
      <w:lang w:val="en-CA"/>
    </w:rPr>
  </w:style>
  <w:style w:type="character" w:customStyle="1" w:styleId="Heading8Char">
    <w:name w:val="Heading 8 Char"/>
    <w:basedOn w:val="DefaultParagraphFont"/>
    <w:link w:val="Heading8"/>
    <w:uiPriority w:val="34"/>
    <w:semiHidden/>
    <w:rsid w:val="0062474D"/>
    <w:rPr>
      <w:rFonts w:asciiTheme="majorHAnsi" w:eastAsiaTheme="majorEastAsia" w:hAnsiTheme="majorHAnsi" w:cstheme="majorBidi"/>
      <w:color w:val="4B4B4B" w:themeColor="text1" w:themeTint="BF"/>
      <w:sz w:val="20"/>
      <w:szCs w:val="20"/>
      <w:lang w:val="en-CA"/>
    </w:rPr>
  </w:style>
  <w:style w:type="paragraph" w:styleId="Title">
    <w:name w:val="Title"/>
    <w:basedOn w:val="Normal"/>
    <w:next w:val="Normal"/>
    <w:link w:val="TitleChar"/>
    <w:uiPriority w:val="40"/>
    <w:qFormat/>
    <w:rsid w:val="00664C98"/>
    <w:pPr>
      <w:pBdr>
        <w:bottom w:val="single" w:sz="8" w:space="4" w:color="5F6163" w:themeColor="text2" w:themeShade="BF"/>
      </w:pBdr>
      <w:contextualSpacing/>
    </w:pPr>
    <w:rPr>
      <w:rFonts w:asciiTheme="majorHAnsi" w:eastAsiaTheme="majorEastAsia" w:hAnsiTheme="majorHAnsi" w:cstheme="majorBidi"/>
      <w:color w:val="5F6163" w:themeColor="text2" w:themeShade="BF"/>
      <w:spacing w:val="5"/>
      <w:kern w:val="28"/>
      <w:sz w:val="52"/>
      <w:szCs w:val="52"/>
    </w:rPr>
  </w:style>
  <w:style w:type="character" w:customStyle="1" w:styleId="TitleChar">
    <w:name w:val="Title Char"/>
    <w:basedOn w:val="DefaultParagraphFont"/>
    <w:link w:val="Title"/>
    <w:uiPriority w:val="40"/>
    <w:rsid w:val="00664C98"/>
    <w:rPr>
      <w:rFonts w:asciiTheme="majorHAnsi" w:eastAsiaTheme="majorEastAsia" w:hAnsiTheme="majorHAnsi" w:cstheme="majorBidi"/>
      <w:color w:val="5F6163" w:themeColor="text2" w:themeShade="BF"/>
      <w:spacing w:val="5"/>
      <w:kern w:val="28"/>
      <w:sz w:val="52"/>
      <w:szCs w:val="52"/>
      <w:lang w:val="en-CA"/>
    </w:rPr>
  </w:style>
  <w:style w:type="paragraph" w:styleId="Caption">
    <w:name w:val="caption"/>
    <w:basedOn w:val="Normal"/>
    <w:next w:val="Normal"/>
    <w:uiPriority w:val="35"/>
    <w:semiHidden/>
    <w:unhideWhenUsed/>
    <w:qFormat/>
    <w:rsid w:val="0062474D"/>
    <w:pPr>
      <w:jc w:val="center"/>
    </w:pPr>
    <w:rPr>
      <w:b/>
      <w:bCs/>
      <w:sz w:val="18"/>
      <w:szCs w:val="18"/>
    </w:rPr>
  </w:style>
  <w:style w:type="paragraph" w:styleId="FootnoteText">
    <w:name w:val="footnote text"/>
    <w:basedOn w:val="Normal"/>
    <w:link w:val="FootnoteTextChar"/>
    <w:uiPriority w:val="99"/>
    <w:semiHidden/>
    <w:rsid w:val="00EC6AFB"/>
    <w:pPr>
      <w:spacing w:after="60"/>
    </w:pPr>
    <w:rPr>
      <w:sz w:val="20"/>
      <w:szCs w:val="20"/>
    </w:rPr>
  </w:style>
  <w:style w:type="character" w:customStyle="1" w:styleId="FootnoteTextChar">
    <w:name w:val="Footnote Text Char"/>
    <w:basedOn w:val="DefaultParagraphFont"/>
    <w:link w:val="FootnoteText"/>
    <w:uiPriority w:val="99"/>
    <w:semiHidden/>
    <w:rsid w:val="00EC6AFB"/>
    <w:rPr>
      <w:sz w:val="20"/>
      <w:szCs w:val="20"/>
      <w:lang w:val="en-CA"/>
    </w:rPr>
  </w:style>
  <w:style w:type="character" w:styleId="BookTitle">
    <w:name w:val="Book Title"/>
    <w:basedOn w:val="DefaultParagraphFont"/>
    <w:uiPriority w:val="99"/>
    <w:semiHidden/>
    <w:qFormat/>
    <w:rsid w:val="0062474D"/>
    <w:rPr>
      <w:b/>
      <w:bCs/>
      <w:smallCaps/>
      <w:spacing w:val="5"/>
    </w:rPr>
  </w:style>
  <w:style w:type="paragraph" w:styleId="TOCHeading">
    <w:name w:val="TOC Heading"/>
    <w:basedOn w:val="Heading1"/>
    <w:next w:val="Normal"/>
    <w:uiPriority w:val="39"/>
    <w:semiHidden/>
    <w:unhideWhenUsed/>
    <w:qFormat/>
    <w:rsid w:val="00664C98"/>
    <w:pPr>
      <w:spacing w:before="480" w:after="0"/>
      <w:outlineLvl w:val="9"/>
    </w:pPr>
  </w:style>
  <w:style w:type="paragraph" w:styleId="BalloonText">
    <w:name w:val="Balloon Text"/>
    <w:basedOn w:val="Normal"/>
    <w:link w:val="BalloonTextChar"/>
    <w:uiPriority w:val="99"/>
    <w:semiHidden/>
    <w:rsid w:val="005F7C3C"/>
    <w:pPr>
      <w:spacing w:after="0"/>
    </w:pPr>
    <w:rPr>
      <w:rFonts w:ascii="Tahoma" w:hAnsi="Tahoma" w:cs="Tahoma"/>
      <w:sz w:val="16"/>
      <w:szCs w:val="16"/>
    </w:rPr>
  </w:style>
  <w:style w:type="paragraph" w:styleId="BlockText">
    <w:name w:val="Block Text"/>
    <w:basedOn w:val="Normal"/>
    <w:uiPriority w:val="99"/>
    <w:unhideWhenUsed/>
    <w:rsid w:val="00FD217D"/>
    <w:pPr>
      <w:ind w:left="1440" w:right="1440"/>
    </w:pPr>
    <w:rPr>
      <w:rFonts w:eastAsiaTheme="minorEastAsia"/>
      <w:i/>
      <w:iCs/>
    </w:rPr>
  </w:style>
  <w:style w:type="paragraph" w:styleId="Subtitle">
    <w:name w:val="Subtitle"/>
    <w:basedOn w:val="Normal"/>
    <w:next w:val="Normal"/>
    <w:link w:val="SubtitleChar"/>
    <w:uiPriority w:val="41"/>
    <w:semiHidden/>
    <w:rsid w:val="00475DEA"/>
    <w:pPr>
      <w:numPr>
        <w:ilvl w:val="1"/>
      </w:numPr>
    </w:pPr>
    <w:rPr>
      <w:rFonts w:asciiTheme="majorHAnsi" w:eastAsiaTheme="majorEastAsia" w:hAnsiTheme="majorHAnsi" w:cstheme="majorBidi"/>
      <w:i/>
      <w:iCs/>
      <w:szCs w:val="24"/>
    </w:rPr>
  </w:style>
  <w:style w:type="character" w:customStyle="1" w:styleId="SubtitleChar">
    <w:name w:val="Subtitle Char"/>
    <w:basedOn w:val="DefaultParagraphFont"/>
    <w:link w:val="Subtitle"/>
    <w:uiPriority w:val="41"/>
    <w:semiHidden/>
    <w:rsid w:val="00475DEA"/>
    <w:rPr>
      <w:rFonts w:asciiTheme="majorHAnsi" w:eastAsiaTheme="majorEastAsia" w:hAnsiTheme="majorHAnsi" w:cstheme="majorBidi"/>
      <w:i/>
      <w:iCs/>
      <w:szCs w:val="24"/>
    </w:rPr>
  </w:style>
  <w:style w:type="character" w:styleId="IntenseEmphasis">
    <w:name w:val="Intense Emphasis"/>
    <w:basedOn w:val="DefaultParagraphFont"/>
    <w:uiPriority w:val="51"/>
    <w:semiHidden/>
    <w:rsid w:val="00475DEA"/>
    <w:rPr>
      <w:b/>
      <w:bCs/>
      <w:i/>
      <w:iCs/>
      <w:color w:val="auto"/>
    </w:rPr>
  </w:style>
  <w:style w:type="character" w:customStyle="1" w:styleId="BalloonTextChar">
    <w:name w:val="Balloon Text Char"/>
    <w:basedOn w:val="DefaultParagraphFont"/>
    <w:link w:val="BalloonText"/>
    <w:uiPriority w:val="99"/>
    <w:semiHidden/>
    <w:rsid w:val="005F7C3C"/>
    <w:rPr>
      <w:rFonts w:ascii="Tahoma" w:hAnsi="Tahoma" w:cs="Tahoma"/>
      <w:sz w:val="16"/>
      <w:szCs w:val="16"/>
    </w:rPr>
  </w:style>
  <w:style w:type="paragraph" w:styleId="EndnoteText">
    <w:name w:val="endnote text"/>
    <w:basedOn w:val="Normal"/>
    <w:link w:val="EndnoteTextChar"/>
    <w:uiPriority w:val="99"/>
    <w:semiHidden/>
    <w:rsid w:val="00664C98"/>
    <w:pPr>
      <w:spacing w:after="0"/>
    </w:pPr>
    <w:rPr>
      <w:sz w:val="20"/>
      <w:szCs w:val="20"/>
    </w:rPr>
  </w:style>
  <w:style w:type="paragraph" w:styleId="IntenseQuote">
    <w:name w:val="Intense Quote"/>
    <w:basedOn w:val="Normal"/>
    <w:next w:val="Normal"/>
    <w:link w:val="IntenseQuoteChar"/>
    <w:uiPriority w:val="60"/>
    <w:semiHidden/>
    <w:rsid w:val="00664C98"/>
    <w:pPr>
      <w:pBdr>
        <w:bottom w:val="single" w:sz="4" w:space="4" w:color="5F6163" w:themeColor="text2" w:themeShade="BF"/>
      </w:pBdr>
      <w:spacing w:before="240"/>
      <w:ind w:left="936" w:right="936"/>
    </w:pPr>
    <w:rPr>
      <w:b/>
      <w:bCs/>
      <w:i/>
      <w:iCs/>
    </w:rPr>
  </w:style>
  <w:style w:type="character" w:customStyle="1" w:styleId="IntenseQuoteChar">
    <w:name w:val="Intense Quote Char"/>
    <w:basedOn w:val="DefaultParagraphFont"/>
    <w:link w:val="IntenseQuote"/>
    <w:uiPriority w:val="60"/>
    <w:semiHidden/>
    <w:rsid w:val="00664C98"/>
    <w:rPr>
      <w:b/>
      <w:bCs/>
      <w:i/>
      <w:iCs/>
      <w:lang w:val="en-CA"/>
    </w:rPr>
  </w:style>
  <w:style w:type="character" w:customStyle="1" w:styleId="EndnoteTextChar">
    <w:name w:val="Endnote Text Char"/>
    <w:basedOn w:val="DefaultParagraphFont"/>
    <w:link w:val="EndnoteText"/>
    <w:uiPriority w:val="99"/>
    <w:semiHidden/>
    <w:rsid w:val="00664C98"/>
    <w:rPr>
      <w:sz w:val="20"/>
      <w:szCs w:val="20"/>
      <w:lang w:val="en-CA"/>
    </w:rPr>
  </w:style>
  <w:style w:type="character" w:styleId="EndnoteReference">
    <w:name w:val="endnote reference"/>
    <w:basedOn w:val="DefaultParagraphFont"/>
    <w:uiPriority w:val="99"/>
    <w:semiHidden/>
    <w:rsid w:val="00664C98"/>
    <w:rPr>
      <w:vertAlign w:val="superscript"/>
    </w:rPr>
  </w:style>
  <w:style w:type="character" w:styleId="FootnoteReference">
    <w:name w:val="footnote reference"/>
    <w:basedOn w:val="DefaultParagraphFont"/>
    <w:uiPriority w:val="99"/>
    <w:semiHidden/>
    <w:rsid w:val="00EC6AFB"/>
    <w:rPr>
      <w:vertAlign w:val="superscript"/>
    </w:rPr>
  </w:style>
  <w:style w:type="character" w:customStyle="1" w:styleId="StandardL1Char">
    <w:name w:val="Standard_L1 Char"/>
    <w:basedOn w:val="DefaultParagraphFont"/>
    <w:link w:val="StandardL1"/>
    <w:locked/>
    <w:rsid w:val="00CE3810"/>
  </w:style>
  <w:style w:type="paragraph" w:customStyle="1" w:styleId="StandardL1">
    <w:name w:val="Standard_L1"/>
    <w:basedOn w:val="Normal"/>
    <w:link w:val="StandardL1Char"/>
    <w:rsid w:val="00CE3810"/>
    <w:pPr>
      <w:ind w:left="720" w:hanging="720"/>
    </w:pPr>
    <w:rPr>
      <w:lang w:val="en-US"/>
    </w:rPr>
  </w:style>
  <w:style w:type="character" w:customStyle="1" w:styleId="StandardL2Char">
    <w:name w:val="Standard_L2 Char"/>
    <w:basedOn w:val="DefaultParagraphFont"/>
    <w:link w:val="StandardL2"/>
    <w:locked/>
    <w:rsid w:val="00CE3810"/>
  </w:style>
  <w:style w:type="paragraph" w:customStyle="1" w:styleId="StandardL2">
    <w:name w:val="Standard_L2"/>
    <w:basedOn w:val="Normal"/>
    <w:link w:val="StandardL2Char"/>
    <w:rsid w:val="00CE3810"/>
    <w:pPr>
      <w:ind w:left="1440" w:hanging="72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Blakes">
  <a:themeElements>
    <a:clrScheme name="Blakes">
      <a:dk1>
        <a:srgbClr val="0F0F0F"/>
      </a:dk1>
      <a:lt1>
        <a:sysClr val="window" lastClr="FFFFFF"/>
      </a:lt1>
      <a:dk2>
        <a:srgbClr val="808285"/>
      </a:dk2>
      <a:lt2>
        <a:srgbClr val="FFFFFF"/>
      </a:lt2>
      <a:accent1>
        <a:srgbClr val="E31836"/>
      </a:accent1>
      <a:accent2>
        <a:srgbClr val="808285"/>
      </a:accent2>
      <a:accent3>
        <a:srgbClr val="D1D3D4"/>
      </a:accent3>
      <a:accent4>
        <a:srgbClr val="4E67C8"/>
      </a:accent4>
      <a:accent5>
        <a:srgbClr val="A7EA52"/>
      </a:accent5>
      <a:accent6>
        <a:srgbClr val="FF8021"/>
      </a:accent6>
      <a:hlink>
        <a:srgbClr val="0000FF"/>
      </a:hlink>
      <a:folHlink>
        <a:srgbClr val="800080"/>
      </a:folHlink>
    </a:clrScheme>
    <a:fontScheme name="Blak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1432</Words>
  <Characters>8165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1900-01-01T04:00:00Z</cp:lastPrinted>
  <dcterms:created xsi:type="dcterms:W3CDTF">2017-07-06T14:07:00Z</dcterms:created>
  <dcterms:modified xsi:type="dcterms:W3CDTF">2017-07-06T20:40:00Z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12904517.1</vt:lpwstr>
  </property>
  <property fmtid="{D5CDD505-2E9C-101B-9397-08002B2CF9AE}" pid="3" name="DocXFormat">
    <vt:lpwstr>Blakes DocID</vt:lpwstr>
  </property>
  <property fmtid="{D5CDD505-2E9C-101B-9397-08002B2CF9AE}" pid="4" name="DocXLocation">
    <vt:lpwstr>Every Page</vt:lpwstr>
  </property>
</Properties>
</file>