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CAD" w:rsidRDefault="001E1CAD" w:rsidP="001E1CAD">
      <w:pPr>
        <w:spacing w:line="240" w:lineRule="auto"/>
        <w:rPr>
          <w:rFonts w:ascii="Tahoma" w:eastAsia="Times New Roman" w:hAnsi="Tahoma" w:cs="Tahoma"/>
          <w:sz w:val="20"/>
          <w:szCs w:val="20"/>
          <w:lang w:val="en-US"/>
        </w:rPr>
      </w:pPr>
      <w:bookmarkStart w:id="0" w:name="_MailOriginal"/>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Terry Gabriele [mailto:Terry.Gabriele@powerauthority.on.ca]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October-31-13 9:20 AM</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Fonts w:ascii="Tahoma" w:eastAsia="Times New Roman" w:hAnsi="Tahoma" w:cs="Tahoma"/>
          <w:sz w:val="20"/>
          <w:szCs w:val="20"/>
          <w:lang w:val="en-US"/>
        </w:rPr>
        <w:t xml:space="preserve"> Chan, David (ENERGY</w:t>
      </w:r>
      <w:proofErr w:type="gramStart"/>
      <w:r>
        <w:rPr>
          <w:rFonts w:ascii="Tahoma" w:eastAsia="Times New Roman" w:hAnsi="Tahoma" w:cs="Tahoma"/>
          <w:sz w:val="20"/>
          <w:szCs w:val="20"/>
          <w:lang w:val="en-US"/>
        </w:rPr>
        <w:t>)</w:t>
      </w:r>
      <w:proofErr w:type="gramEnd"/>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KPMG Position on Delayed Recovery of Conservation Expenditures </w:t>
      </w:r>
    </w:p>
    <w:p w:rsidR="001E1CAD" w:rsidRDefault="001E1CAD" w:rsidP="001E1CAD">
      <w:pPr>
        <w:spacing w:line="240" w:lineRule="auto"/>
        <w:rPr>
          <w:rFonts w:ascii="Arial" w:hAnsi="Arial" w:cs="Arial"/>
          <w:color w:val="1F497D"/>
          <w:sz w:val="24"/>
          <w:szCs w:val="24"/>
        </w:rPr>
      </w:pPr>
      <w:r>
        <w:rPr>
          <w:rFonts w:ascii="Arial" w:hAnsi="Arial" w:cs="Arial"/>
          <w:color w:val="1F497D"/>
          <w:sz w:val="24"/>
          <w:szCs w:val="24"/>
        </w:rPr>
        <w:t>David,</w:t>
      </w:r>
    </w:p>
    <w:p w:rsidR="001E1CAD" w:rsidRDefault="001E1CAD" w:rsidP="001E1CAD">
      <w:pPr>
        <w:spacing w:line="240" w:lineRule="auto"/>
        <w:rPr>
          <w:rFonts w:ascii="Arial" w:hAnsi="Arial" w:cs="Arial"/>
          <w:color w:val="1F497D"/>
          <w:sz w:val="24"/>
          <w:szCs w:val="24"/>
        </w:rPr>
      </w:pPr>
      <w:r>
        <w:rPr>
          <w:rFonts w:ascii="Arial" w:hAnsi="Arial" w:cs="Arial"/>
          <w:color w:val="1F497D"/>
          <w:sz w:val="24"/>
          <w:szCs w:val="24"/>
        </w:rPr>
        <w:t xml:space="preserve">With qualification, KPMG’s position is stated below. </w:t>
      </w:r>
    </w:p>
    <w:p w:rsidR="001E1CAD" w:rsidRDefault="001E1CAD" w:rsidP="001E1CAD">
      <w:pPr>
        <w:spacing w:line="240" w:lineRule="auto"/>
        <w:rPr>
          <w:rFonts w:ascii="Arial" w:hAnsi="Arial" w:cs="Arial"/>
          <w:color w:val="1F497D"/>
          <w:sz w:val="24"/>
          <w:szCs w:val="24"/>
        </w:rPr>
      </w:pPr>
    </w:p>
    <w:p w:rsidR="001E1CAD" w:rsidRDefault="001E1CAD" w:rsidP="001E1CAD">
      <w:pPr>
        <w:spacing w:line="240" w:lineRule="auto"/>
        <w:rPr>
          <w:rFonts w:ascii="Arial" w:hAnsi="Arial" w:cs="Arial"/>
          <w:color w:val="1F497D"/>
          <w:lang w:val="en-US"/>
        </w:rPr>
      </w:pPr>
      <w:r>
        <w:rPr>
          <w:rFonts w:ascii="Arial" w:hAnsi="Arial" w:cs="Arial"/>
          <w:color w:val="1F497D"/>
          <w:lang w:val="en-US"/>
        </w:rPr>
        <w:t>Terry Gabriele</w:t>
      </w:r>
    </w:p>
    <w:p w:rsidR="001E1CAD" w:rsidRDefault="001E1CAD" w:rsidP="001E1CAD">
      <w:pPr>
        <w:spacing w:line="240" w:lineRule="auto"/>
        <w:rPr>
          <w:rFonts w:ascii="Arial" w:hAnsi="Arial" w:cs="Arial"/>
          <w:color w:val="1F497D"/>
          <w:lang w:val="en-US"/>
        </w:rPr>
      </w:pPr>
      <w:r>
        <w:rPr>
          <w:rFonts w:ascii="Arial" w:hAnsi="Arial" w:cs="Arial"/>
          <w:color w:val="1F497D"/>
          <w:lang w:val="en-US"/>
        </w:rPr>
        <w:t>Director, Finance</w:t>
      </w:r>
    </w:p>
    <w:p w:rsidR="001E1CAD" w:rsidRDefault="001E1CAD" w:rsidP="001E1CAD">
      <w:pPr>
        <w:spacing w:line="240" w:lineRule="auto"/>
        <w:rPr>
          <w:rFonts w:ascii="Arial" w:hAnsi="Arial" w:cs="Arial"/>
          <w:color w:val="1F497D"/>
          <w:lang w:val="en-US"/>
        </w:rPr>
      </w:pPr>
      <w:r>
        <w:rPr>
          <w:rFonts w:ascii="Arial" w:hAnsi="Arial" w:cs="Arial"/>
          <w:color w:val="1F497D"/>
          <w:lang w:val="en-US"/>
        </w:rPr>
        <w:t>Ontario Power Authority</w:t>
      </w:r>
    </w:p>
    <w:p w:rsidR="001E1CAD" w:rsidRDefault="001E1CAD" w:rsidP="001E1CAD">
      <w:pPr>
        <w:spacing w:line="240" w:lineRule="auto"/>
        <w:rPr>
          <w:rFonts w:ascii="Arial" w:hAnsi="Arial" w:cs="Arial"/>
          <w:color w:val="1F497D"/>
          <w:lang w:val="en-US"/>
        </w:rPr>
      </w:pPr>
      <w:r>
        <w:rPr>
          <w:rFonts w:ascii="Arial" w:hAnsi="Arial" w:cs="Arial"/>
          <w:color w:val="1F497D"/>
          <w:lang w:val="en-US"/>
        </w:rPr>
        <w:t>416 969 6006</w:t>
      </w:r>
    </w:p>
    <w:p w:rsidR="001E1CAD" w:rsidRDefault="001E1CAD" w:rsidP="001E1CAD">
      <w:pPr>
        <w:spacing w:line="240" w:lineRule="auto"/>
        <w:rPr>
          <w:color w:val="000000" w:themeColor="dark2"/>
        </w:rPr>
      </w:pPr>
      <w:r>
        <w:rPr>
          <w:color w:val="000000" w:themeColor="dark2"/>
        </w:rPr>
        <w:t>____________________________________________________________</w:t>
      </w:r>
    </w:p>
    <w:p w:rsidR="001E1CAD" w:rsidRDefault="001E1CAD" w:rsidP="001E1CAD">
      <w:pPr>
        <w:spacing w:line="240" w:lineRule="auto"/>
        <w:outlineLvl w:val="0"/>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Travers, Kevin M [</w:t>
      </w:r>
      <w:hyperlink r:id="rId8" w:history="1">
        <w:r>
          <w:rPr>
            <w:rStyle w:val="Hyperlink"/>
            <w:rFonts w:ascii="Tahoma" w:hAnsi="Tahoma" w:cs="Tahoma"/>
            <w:sz w:val="20"/>
            <w:szCs w:val="20"/>
            <w:lang w:val="en-US"/>
          </w:rPr>
          <w:t>mailto:ktravers@kpmg.ca</w:t>
        </w:r>
      </w:hyperlink>
      <w:r>
        <w:rPr>
          <w:rFonts w:ascii="Tahoma" w:hAnsi="Tahoma" w:cs="Tahoma"/>
          <w:sz w:val="20"/>
          <w:szCs w:val="20"/>
          <w:lang w:val="en-US"/>
        </w:rPr>
        <w:t xml:space="preserve">]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Wednesday, October 30, 2013 2:50 PM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Terry Gabriele</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w:t>
      </w:r>
    </w:p>
    <w:p w:rsidR="001E1CAD" w:rsidRDefault="001E1CAD" w:rsidP="001E1CAD">
      <w:pPr>
        <w:spacing w:line="240" w:lineRule="auto"/>
        <w:rPr>
          <w:lang w:val="en-US"/>
        </w:rPr>
      </w:pPr>
      <w:r>
        <w:rPr>
          <w:lang w:val="en-US"/>
        </w:rPr>
        <w:t>Hi Terry</w:t>
      </w:r>
    </w:p>
    <w:p w:rsidR="001E1CAD" w:rsidRDefault="001E1CAD" w:rsidP="001E1CAD">
      <w:pPr>
        <w:spacing w:line="240" w:lineRule="auto"/>
        <w:rPr>
          <w:lang w:val="en-US"/>
        </w:rPr>
      </w:pPr>
      <w:r>
        <w:rPr>
          <w:lang w:val="en-US"/>
        </w:rPr>
        <w:t>As per our conversation yesterday, the following summarizes our thoughts based on the discussions that we have had regarding potential changes to the funding of the Conservation Program administered by the Ontario Power Authority.</w:t>
      </w:r>
    </w:p>
    <w:p w:rsidR="001E1CAD" w:rsidRDefault="001E1CAD" w:rsidP="001E1CAD">
      <w:pPr>
        <w:spacing w:line="240" w:lineRule="auto"/>
        <w:rPr>
          <w:lang w:val="en-US"/>
        </w:rPr>
      </w:pPr>
      <w:r>
        <w:rPr>
          <w:lang w:val="en-US"/>
        </w:rPr>
        <w:t xml:space="preserve">The following comments are based entirely on the facts and circumstances as presented by </w:t>
      </w:r>
      <w:proofErr w:type="gramStart"/>
      <w:r>
        <w:rPr>
          <w:lang w:val="en-US"/>
        </w:rPr>
        <w:t>yourself</w:t>
      </w:r>
      <w:proofErr w:type="gramEnd"/>
      <w:r>
        <w:rPr>
          <w:lang w:val="en-US"/>
        </w:rPr>
        <w:t xml:space="preserve"> during these discussions.</w:t>
      </w:r>
    </w:p>
    <w:p w:rsidR="001E1CAD" w:rsidRDefault="001E1CAD" w:rsidP="001E1CAD">
      <w:pPr>
        <w:spacing w:line="240" w:lineRule="auto"/>
        <w:rPr>
          <w:lang w:val="en-US"/>
        </w:rPr>
      </w:pPr>
      <w:r>
        <w:rPr>
          <w:lang w:val="en-US"/>
        </w:rPr>
        <w:t>The current accounting for the costs incurred by the Ontario Power Authority (“OPA”) results in an effective “offset” of any statement of operations impact of the program since the OPA acts entirely as an agent of the Province of Ontario in these transactions, incurring costs and being reimbursed the following month by the IESO through the Global Adjustment Mechanism (“GAM”).  The timing of the reimbursement, which is guaranteed by legislation, is generally one month following the incurring of the expenditure, hence there has usually been a receivable (a financial asset) presented on the balance sheet of the OPA related to the previous month expenditures.  The collection of this amount has never been at issue and as noted above, is guaranteed through legislation.</w:t>
      </w:r>
    </w:p>
    <w:p w:rsidR="001E1CAD" w:rsidRDefault="001E1CAD" w:rsidP="001E1CAD">
      <w:pPr>
        <w:spacing w:line="240" w:lineRule="auto"/>
        <w:rPr>
          <w:lang w:val="en-US"/>
        </w:rPr>
      </w:pPr>
      <w:r>
        <w:rPr>
          <w:lang w:val="en-US"/>
        </w:rPr>
        <w:t xml:space="preserve">The proposed changes to the program would see the costs “financed” through a loan (say, from the Ontario Energy Finance Corporation “OEFC”).  This would obviously result in a credit to long term payable (paid over the term of the financing arrangement which is TBD but could be based on the expected duration of the useful life of the object of the conservation expenditure).    The repayment of the loan would be financed through the GAM similar to the current system although would be smoothed out to reflect the loan repayment schedule.  </w:t>
      </w:r>
    </w:p>
    <w:p w:rsidR="001E1CAD" w:rsidRDefault="001E1CAD" w:rsidP="001E1CAD">
      <w:pPr>
        <w:spacing w:line="240" w:lineRule="auto"/>
        <w:rPr>
          <w:lang w:val="en-US"/>
        </w:rPr>
      </w:pPr>
      <w:r>
        <w:rPr>
          <w:lang w:val="en-US"/>
        </w:rPr>
        <w:t xml:space="preserve">The expected accounting for the amount receivable would be similar to the current system, i.e. a financial asset recorded to reflect the future recovery of these costs when incurred, except that </w:t>
      </w:r>
      <w:r>
        <w:rPr>
          <w:lang w:val="en-US"/>
        </w:rPr>
        <w:lastRenderedPageBreak/>
        <w:t xml:space="preserve">the amount would be drawn down at the same rate as the related financing.  This result, however, might not be achieved if the interest component of the financing is not recovered through the same process, i.e. if the interest cost on the financing was the responsibility of the OPA and the rationale for this is that at that point, there is doubt as to whether the OPA is continuing to act as an agent of the Province of Ontario.  If such doubt were to be considered pervasive, it is possible that an accounting treatment whereby </w:t>
      </w:r>
      <w:proofErr w:type="gramStart"/>
      <w:r>
        <w:rPr>
          <w:lang w:val="en-US"/>
        </w:rPr>
        <w:t>each conservation</w:t>
      </w:r>
      <w:proofErr w:type="gramEnd"/>
      <w:r>
        <w:rPr>
          <w:lang w:val="en-US"/>
        </w:rPr>
        <w:t xml:space="preserve"> related expenditure was expensed by the OPA (with no balance sheet treatment) and the related recovery would be shown as revenue WHEN received.</w:t>
      </w:r>
    </w:p>
    <w:p w:rsidR="001E1CAD" w:rsidRDefault="001E1CAD" w:rsidP="001E1CAD">
      <w:pPr>
        <w:spacing w:line="240" w:lineRule="auto"/>
        <w:rPr>
          <w:lang w:val="en-US"/>
        </w:rPr>
      </w:pPr>
      <w:r>
        <w:rPr>
          <w:lang w:val="en-US"/>
        </w:rPr>
        <w:t>I would be happy to discuss the above comments to ensure clarity in our understanding should you wish.  If there are any further developments related to the proposed changes, please keep us apprised.</w:t>
      </w:r>
    </w:p>
    <w:p w:rsidR="001E1CAD" w:rsidRDefault="001E1CAD" w:rsidP="001E1CAD">
      <w:pPr>
        <w:spacing w:line="240" w:lineRule="auto"/>
        <w:rPr>
          <w:lang w:val="en-US"/>
        </w:rPr>
      </w:pPr>
      <w:r>
        <w:rPr>
          <w:lang w:val="en-US"/>
        </w:rPr>
        <w:t>Best regards,</w:t>
      </w:r>
    </w:p>
    <w:p w:rsidR="001E1CAD" w:rsidRDefault="001E1CAD" w:rsidP="001E1CAD">
      <w:pPr>
        <w:spacing w:line="240" w:lineRule="auto"/>
        <w:rPr>
          <w:lang w:val="en-US"/>
        </w:rPr>
      </w:pPr>
      <w:r>
        <w:rPr>
          <w:lang w:val="en-US"/>
        </w:rPr>
        <w:t>Kevin</w:t>
      </w:r>
    </w:p>
    <w:p w:rsidR="001E1CAD" w:rsidRDefault="001E1CAD" w:rsidP="001E1CAD">
      <w:pPr>
        <w:spacing w:line="240" w:lineRule="auto"/>
        <w:rPr>
          <w:rFonts w:ascii="Arial" w:hAnsi="Arial" w:cs="Arial"/>
          <w:b/>
          <w:bCs/>
          <w:sz w:val="20"/>
          <w:szCs w:val="20"/>
          <w:lang w:val="en-US"/>
        </w:rPr>
      </w:pPr>
      <w:r>
        <w:rPr>
          <w:rFonts w:ascii="Arial" w:hAnsi="Arial" w:cs="Arial"/>
          <w:b/>
          <w:bCs/>
          <w:sz w:val="20"/>
          <w:szCs w:val="20"/>
          <w:lang w:val="en-US"/>
        </w:rPr>
        <w:t>Kevin M. Travers, CPA, CA, BBA</w:t>
      </w:r>
    </w:p>
    <w:p w:rsidR="001E1CAD" w:rsidRDefault="001E1CAD" w:rsidP="001E1CAD">
      <w:pPr>
        <w:spacing w:line="240" w:lineRule="auto"/>
        <w:rPr>
          <w:rFonts w:ascii="Arial" w:hAnsi="Arial" w:cs="Arial"/>
          <w:b/>
          <w:bCs/>
          <w:sz w:val="20"/>
          <w:szCs w:val="20"/>
          <w:lang w:val="en-US"/>
        </w:rPr>
      </w:pPr>
    </w:p>
    <w:p w:rsidR="001E1CAD" w:rsidRDefault="001E1CAD" w:rsidP="001E1CAD">
      <w:pPr>
        <w:spacing w:line="240" w:lineRule="auto"/>
        <w:rPr>
          <w:rFonts w:ascii="Arial" w:hAnsi="Arial" w:cs="Arial"/>
          <w:sz w:val="18"/>
          <w:szCs w:val="18"/>
          <w:lang w:val="en-US"/>
        </w:rPr>
      </w:pPr>
      <w:r>
        <w:rPr>
          <w:rFonts w:ascii="Arial" w:hAnsi="Arial" w:cs="Arial"/>
          <w:sz w:val="18"/>
          <w:szCs w:val="18"/>
          <w:lang w:val="en-US"/>
        </w:rPr>
        <w:t>Partner, Audit</w:t>
      </w:r>
    </w:p>
    <w:p w:rsidR="001E1CAD" w:rsidRDefault="001E1CAD" w:rsidP="001E1CAD">
      <w:pPr>
        <w:spacing w:line="240" w:lineRule="auto"/>
        <w:rPr>
          <w:rFonts w:ascii="Arial" w:hAnsi="Arial" w:cs="Arial"/>
          <w:sz w:val="18"/>
          <w:szCs w:val="18"/>
          <w:lang w:val="en-US"/>
        </w:rPr>
      </w:pPr>
      <w:r>
        <w:rPr>
          <w:rFonts w:ascii="Arial" w:hAnsi="Arial" w:cs="Arial"/>
          <w:sz w:val="18"/>
          <w:szCs w:val="18"/>
          <w:lang w:val="en-US"/>
        </w:rPr>
        <w:t>KPMG LLP</w:t>
      </w:r>
    </w:p>
    <w:p w:rsidR="001E1CAD" w:rsidRDefault="001E1CAD" w:rsidP="001E1CAD">
      <w:pPr>
        <w:spacing w:line="240" w:lineRule="auto"/>
        <w:rPr>
          <w:rFonts w:ascii="Arial" w:hAnsi="Arial" w:cs="Arial"/>
          <w:sz w:val="18"/>
          <w:szCs w:val="18"/>
          <w:lang w:val="en-US"/>
        </w:rPr>
      </w:pPr>
    </w:p>
    <w:p w:rsidR="001E1CAD" w:rsidRDefault="001E1CAD" w:rsidP="001E1CAD">
      <w:pPr>
        <w:spacing w:line="240" w:lineRule="auto"/>
        <w:rPr>
          <w:rFonts w:ascii="Arial" w:hAnsi="Arial" w:cs="Arial"/>
          <w:sz w:val="18"/>
          <w:szCs w:val="18"/>
          <w:lang w:val="en-US"/>
        </w:rPr>
      </w:pPr>
      <w:r>
        <w:rPr>
          <w:rFonts w:ascii="Arial" w:hAnsi="Arial" w:cs="Arial"/>
          <w:sz w:val="18"/>
          <w:szCs w:val="18"/>
          <w:lang w:val="en-US"/>
        </w:rPr>
        <w:t xml:space="preserve">4100 </w:t>
      </w:r>
      <w:proofErr w:type="spellStart"/>
      <w:r>
        <w:rPr>
          <w:rFonts w:ascii="Arial" w:hAnsi="Arial" w:cs="Arial"/>
          <w:sz w:val="18"/>
          <w:szCs w:val="18"/>
          <w:lang w:val="en-US"/>
        </w:rPr>
        <w:t>Yonge</w:t>
      </w:r>
      <w:proofErr w:type="spellEnd"/>
      <w:r>
        <w:rPr>
          <w:rFonts w:ascii="Arial" w:hAnsi="Arial" w:cs="Arial"/>
          <w:sz w:val="18"/>
          <w:szCs w:val="18"/>
          <w:lang w:val="en-US"/>
        </w:rPr>
        <w:t xml:space="preserve"> St, Suite 200</w:t>
      </w:r>
    </w:p>
    <w:p w:rsidR="001E1CAD" w:rsidRDefault="001E1CAD" w:rsidP="001E1CAD">
      <w:pPr>
        <w:spacing w:line="240" w:lineRule="auto"/>
        <w:rPr>
          <w:rFonts w:ascii="Arial" w:hAnsi="Arial" w:cs="Arial"/>
          <w:sz w:val="18"/>
          <w:szCs w:val="18"/>
          <w:lang w:val="en-US"/>
        </w:rPr>
      </w:pPr>
      <w:r>
        <w:rPr>
          <w:rFonts w:ascii="Arial" w:hAnsi="Arial" w:cs="Arial"/>
          <w:sz w:val="18"/>
          <w:szCs w:val="18"/>
          <w:lang w:val="en-US"/>
        </w:rPr>
        <w:t>Toronto, ON M2P 2H3</w:t>
      </w:r>
    </w:p>
    <w:p w:rsidR="001E1CAD" w:rsidRPr="00FB6F5E" w:rsidRDefault="001E1CAD" w:rsidP="001E1CAD">
      <w:pPr>
        <w:spacing w:line="240" w:lineRule="auto"/>
        <w:rPr>
          <w:rFonts w:ascii="Arial" w:hAnsi="Arial" w:cs="Arial"/>
          <w:sz w:val="18"/>
          <w:szCs w:val="18"/>
        </w:rPr>
      </w:pPr>
      <w:r w:rsidRPr="00FB6F5E">
        <w:rPr>
          <w:rFonts w:ascii="Arial" w:hAnsi="Arial" w:cs="Arial"/>
          <w:sz w:val="18"/>
          <w:szCs w:val="18"/>
        </w:rPr>
        <w:t>T 416 228 7004</w:t>
      </w:r>
    </w:p>
    <w:p w:rsidR="001E1CAD" w:rsidRPr="00FB6F5E" w:rsidRDefault="001E1CAD" w:rsidP="001E1CAD">
      <w:pPr>
        <w:spacing w:line="240" w:lineRule="auto"/>
        <w:rPr>
          <w:rFonts w:ascii="Arial" w:hAnsi="Arial" w:cs="Arial"/>
          <w:sz w:val="18"/>
          <w:szCs w:val="18"/>
        </w:rPr>
      </w:pPr>
      <w:r w:rsidRPr="00FB6F5E">
        <w:rPr>
          <w:rFonts w:ascii="Arial" w:hAnsi="Arial" w:cs="Arial"/>
          <w:sz w:val="18"/>
          <w:szCs w:val="18"/>
        </w:rPr>
        <w:t>M 416 452 5106</w:t>
      </w:r>
    </w:p>
    <w:p w:rsidR="001E1CAD" w:rsidRPr="00FB6F5E" w:rsidRDefault="001E1CAD" w:rsidP="001E1CAD">
      <w:pPr>
        <w:spacing w:line="240" w:lineRule="auto"/>
        <w:rPr>
          <w:rFonts w:ascii="Arial" w:hAnsi="Arial" w:cs="Arial"/>
          <w:sz w:val="18"/>
          <w:szCs w:val="18"/>
        </w:rPr>
      </w:pPr>
      <w:r w:rsidRPr="00FB6F5E">
        <w:rPr>
          <w:rFonts w:ascii="Arial" w:hAnsi="Arial" w:cs="Arial"/>
          <w:sz w:val="18"/>
          <w:szCs w:val="18"/>
        </w:rPr>
        <w:t>F 416 224 4671</w:t>
      </w:r>
    </w:p>
    <w:p w:rsidR="001E1CAD" w:rsidRPr="00FB6F5E" w:rsidRDefault="001E1CAD" w:rsidP="001E1CAD">
      <w:pPr>
        <w:spacing w:line="240" w:lineRule="auto"/>
        <w:rPr>
          <w:rFonts w:ascii="Arial" w:hAnsi="Arial" w:cs="Arial"/>
          <w:sz w:val="18"/>
          <w:szCs w:val="18"/>
        </w:rPr>
      </w:pPr>
      <w:hyperlink r:id="rId9" w:history="1">
        <w:r w:rsidRPr="00FB6F5E">
          <w:rPr>
            <w:rStyle w:val="Hyperlink"/>
            <w:rFonts w:ascii="Arial" w:hAnsi="Arial" w:cs="Arial"/>
            <w:sz w:val="18"/>
            <w:szCs w:val="18"/>
          </w:rPr>
          <w:t>ktravers@kpmg.ca</w:t>
        </w:r>
      </w:hyperlink>
    </w:p>
    <w:p w:rsidR="001E1CAD" w:rsidRPr="00FB6F5E" w:rsidRDefault="001E1CAD" w:rsidP="001E1CAD">
      <w:pPr>
        <w:spacing w:line="240" w:lineRule="auto"/>
        <w:rPr>
          <w:rFonts w:ascii="Times New Roman" w:hAnsi="Times New Roman" w:cs="Times New Roman"/>
          <w:sz w:val="16"/>
          <w:szCs w:val="16"/>
          <w:lang w:val="en-US"/>
        </w:rPr>
      </w:pPr>
      <w:r w:rsidRPr="00FB6F5E">
        <w:rPr>
          <w:rFonts w:ascii="Times New Roman" w:hAnsi="Times New Roman" w:cs="Times New Roman"/>
          <w:sz w:val="16"/>
          <w:szCs w:val="16"/>
          <w:lang w:val="en-US"/>
        </w:rPr>
        <w:t>************************************************************************</w:t>
      </w:r>
      <w:r w:rsidRPr="00FB6F5E">
        <w:rPr>
          <w:rFonts w:ascii="Times New Roman" w:hAnsi="Times New Roman" w:cs="Times New Roman"/>
          <w:sz w:val="16"/>
          <w:szCs w:val="16"/>
          <w:lang w:val="en-US"/>
        </w:rPr>
        <w:br/>
        <w:t>Any tax advice herein is based on the facts provided to us and on current tax law including judicial and administrative interpretation. Tax law is subject to continual change, at times on a retroactive basis and may result in incremental taxes, interest or penalties. Should the facts provided to us be incorrect or incomplete or should the law or its interpretation change, our advice may be inappropriate. We are not responsible for updating our advice for changes in law or interpretation after the date hereof.</w:t>
      </w:r>
      <w:r w:rsidRPr="00FB6F5E">
        <w:rPr>
          <w:rFonts w:ascii="Times New Roman" w:hAnsi="Times New Roman" w:cs="Times New Roman"/>
          <w:sz w:val="16"/>
          <w:szCs w:val="16"/>
          <w:lang w:val="en-US"/>
        </w:rPr>
        <w:br/>
      </w:r>
      <w:r w:rsidRPr="00FB6F5E">
        <w:rPr>
          <w:rFonts w:ascii="Times New Roman" w:hAnsi="Times New Roman" w:cs="Times New Roman"/>
          <w:sz w:val="16"/>
          <w:szCs w:val="16"/>
          <w:lang w:val="en-US"/>
        </w:rPr>
        <w:br/>
        <w:t>The advice or other information provided herein is confidential and may be privileged and is for the sole use of KPMG’s client. The advice is based on the specific facts and circumstances and the scope of KPMG’s engagement and associated terms of engagement as the case may be and is not intended to be relied upon by any other person.</w:t>
      </w:r>
      <w:r w:rsidRPr="00FB6F5E">
        <w:rPr>
          <w:rFonts w:ascii="Times New Roman" w:hAnsi="Times New Roman" w:cs="Times New Roman"/>
          <w:sz w:val="16"/>
          <w:szCs w:val="16"/>
          <w:lang w:val="en-US"/>
        </w:rPr>
        <w:br/>
      </w:r>
      <w:r w:rsidRPr="00FB6F5E">
        <w:rPr>
          <w:rFonts w:ascii="Times New Roman" w:hAnsi="Times New Roman" w:cs="Times New Roman"/>
          <w:sz w:val="16"/>
          <w:szCs w:val="16"/>
          <w:lang w:val="en-US"/>
        </w:rPr>
        <w:br/>
        <w:t>KPMG disclaims any responsibility or liability for any reliance that any person other than the client may place on this advice. If you are not the intended recipient, any disclosure, copying, distribution or any action taken or omitted to be taken in reliance on it, is prohibited and may be unlawful.</w:t>
      </w:r>
      <w:r w:rsidRPr="00FB6F5E">
        <w:rPr>
          <w:rFonts w:ascii="Times New Roman" w:hAnsi="Times New Roman" w:cs="Times New Roman"/>
          <w:sz w:val="16"/>
          <w:szCs w:val="16"/>
          <w:lang w:val="en-US"/>
        </w:rPr>
        <w:br/>
        <w:t>************************************************************************</w:t>
      </w:r>
    </w:p>
    <w:p w:rsidR="001E1CAD" w:rsidRPr="00FB6F5E" w:rsidRDefault="001E1CAD" w:rsidP="001E1CAD">
      <w:pPr>
        <w:spacing w:after="240" w:line="240" w:lineRule="auto"/>
        <w:rPr>
          <w:rFonts w:ascii="Times New Roman" w:eastAsia="Times New Roman" w:hAnsi="Times New Roman" w:cs="Times New Roman"/>
          <w:sz w:val="16"/>
          <w:szCs w:val="16"/>
        </w:rPr>
      </w:pPr>
    </w:p>
    <w:p w:rsidR="00997DD8" w:rsidRPr="001E1CAD" w:rsidRDefault="001E1CAD" w:rsidP="001E1CAD">
      <w:pPr>
        <w:spacing w:line="240" w:lineRule="auto"/>
        <w:rPr>
          <w:rFonts w:ascii="Arial" w:hAnsi="Arial" w:cs="Arial"/>
          <w:color w:val="333333"/>
          <w:sz w:val="24"/>
          <w:szCs w:val="24"/>
        </w:rPr>
      </w:pPr>
      <w:r w:rsidRPr="00FB6F5E">
        <w:rPr>
          <w:rFonts w:ascii="Verdana" w:eastAsia="Times New Roman" w:hAnsi="Verdana" w:cs="Times New Roman"/>
          <w:sz w:val="16"/>
          <w:szCs w:val="16"/>
        </w:rPr>
        <w:t xml:space="preserve">This e-mail message and any files transmitted with it are intended only for the named recipient(s) above and may contain information that is privileged, confidential and/or exempt from disclosure under applicable law. If you are not the intended recipient(s), any dissemination, distribution or copying of this e-mail message or any files transmitted with it is strictly prohibited. If you have received this message in error, or are not the named recipient(s), please notify the sender immediately and delete this e-mail message. </w:t>
      </w:r>
      <w:bookmarkStart w:id="1" w:name="_GoBack"/>
      <w:bookmarkEnd w:id="0"/>
      <w:bookmarkEnd w:id="1"/>
    </w:p>
    <w:sectPr w:rsidR="00997DD8" w:rsidRPr="001E1CA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DE2" w:rsidRDefault="008A1DE2" w:rsidP="00F72078">
      <w:pPr>
        <w:spacing w:after="0" w:line="240" w:lineRule="auto"/>
      </w:pPr>
      <w:r>
        <w:separator/>
      </w:r>
    </w:p>
  </w:endnote>
  <w:endnote w:type="continuationSeparator" w:id="0">
    <w:p w:rsidR="008A1DE2" w:rsidRDefault="008A1DE2" w:rsidP="00F7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DE2" w:rsidRDefault="008A1DE2" w:rsidP="00F72078">
      <w:pPr>
        <w:spacing w:after="0" w:line="240" w:lineRule="auto"/>
      </w:pPr>
      <w:r>
        <w:separator/>
      </w:r>
    </w:p>
  </w:footnote>
  <w:footnote w:type="continuationSeparator" w:id="0">
    <w:p w:rsidR="008A1DE2" w:rsidRDefault="008A1DE2" w:rsidP="00F72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078" w:rsidRDefault="00F720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AD"/>
    <w:rsid w:val="000A0119"/>
    <w:rsid w:val="001C37B4"/>
    <w:rsid w:val="001E1CAD"/>
    <w:rsid w:val="001F129E"/>
    <w:rsid w:val="00225BE4"/>
    <w:rsid w:val="002E6FF6"/>
    <w:rsid w:val="00317F1F"/>
    <w:rsid w:val="0036413B"/>
    <w:rsid w:val="00404C1A"/>
    <w:rsid w:val="00487378"/>
    <w:rsid w:val="004A2238"/>
    <w:rsid w:val="004A392D"/>
    <w:rsid w:val="004B347D"/>
    <w:rsid w:val="004B69F7"/>
    <w:rsid w:val="004F1B03"/>
    <w:rsid w:val="004F20C3"/>
    <w:rsid w:val="0057735C"/>
    <w:rsid w:val="00624B02"/>
    <w:rsid w:val="00695E04"/>
    <w:rsid w:val="006C7751"/>
    <w:rsid w:val="006D72AA"/>
    <w:rsid w:val="00767151"/>
    <w:rsid w:val="007707B1"/>
    <w:rsid w:val="00794C32"/>
    <w:rsid w:val="007D6DDD"/>
    <w:rsid w:val="008A1DE2"/>
    <w:rsid w:val="009B1D63"/>
    <w:rsid w:val="009B65DE"/>
    <w:rsid w:val="00A4736E"/>
    <w:rsid w:val="00A963FC"/>
    <w:rsid w:val="00AD71CE"/>
    <w:rsid w:val="00B93223"/>
    <w:rsid w:val="00C029AC"/>
    <w:rsid w:val="00C442F5"/>
    <w:rsid w:val="00C93AB7"/>
    <w:rsid w:val="00CC034D"/>
    <w:rsid w:val="00D83F89"/>
    <w:rsid w:val="00F17B57"/>
    <w:rsid w:val="00F61F85"/>
    <w:rsid w:val="00F72078"/>
    <w:rsid w:val="00F85186"/>
    <w:rsid w:val="00FA62DB"/>
    <w:rsid w:val="00FB11EB"/>
    <w:rsid w:val="00FE3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E1CAD"/>
    <w:rPr>
      <w:rFonts w:eastAsiaTheme="minorEastAsia"/>
      <w:lang w:eastAsia="en-CA"/>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lang w:eastAsia="en-US"/>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lang w:eastAsia="en-US"/>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lang w:eastAsia="en-US"/>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lang w:eastAsia="en-US"/>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sz w:val="24"/>
      <w:lang w:eastAsia="en-U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sz w:val="24"/>
      <w:lang w:eastAsia="en-US"/>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lang w:eastAsia="en-US"/>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lang w:eastAsia="en-US"/>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lang w:eastAsia="en-US"/>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rPr>
      <w:rFonts w:eastAsiaTheme="minorHAnsi"/>
      <w:sz w:val="24"/>
      <w:lang w:eastAsia="en-US"/>
    </w:rPr>
  </w:style>
  <w:style w:type="paragraph" w:styleId="Quote">
    <w:name w:val="Quote"/>
    <w:basedOn w:val="Normal"/>
    <w:next w:val="Normal"/>
    <w:link w:val="QuoteChar"/>
    <w:uiPriority w:val="29"/>
    <w:rsid w:val="00F85186"/>
    <w:pPr>
      <w:spacing w:before="200" w:after="0"/>
      <w:ind w:left="360" w:right="360"/>
    </w:pPr>
    <w:rPr>
      <w:rFonts w:eastAsiaTheme="minorHAnsi"/>
      <w:i/>
      <w:iCs/>
      <w:sz w:val="24"/>
      <w:lang w:eastAsia="en-U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rFonts w:eastAsiaTheme="minorHAnsi"/>
      <w:b/>
      <w:bCs/>
      <w:i/>
      <w:iCs/>
      <w:sz w:val="24"/>
      <w:lang w:eastAsia="en-U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rPr>
      <w:rFonts w:eastAsiaTheme="minorHAnsi"/>
      <w:sz w:val="24"/>
      <w:lang w:eastAsia="en-US"/>
    </w:r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rPr>
      <w:rFonts w:eastAsiaTheme="minorHAnsi"/>
      <w:sz w:val="24"/>
      <w:lang w:eastAsia="en-US"/>
    </w:r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styleId="Hyperlink">
    <w:name w:val="Hyperlink"/>
    <w:basedOn w:val="DefaultParagraphFont"/>
    <w:uiPriority w:val="99"/>
    <w:semiHidden/>
    <w:unhideWhenUsed/>
    <w:rsid w:val="001E1CAD"/>
    <w:rPr>
      <w:strike w:val="0"/>
      <w:dstrike w:val="0"/>
      <w:color w:val="004D9A"/>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E1CAD"/>
    <w:rPr>
      <w:rFonts w:eastAsiaTheme="minorEastAsia"/>
      <w:lang w:eastAsia="en-CA"/>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lang w:eastAsia="en-US"/>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lang w:eastAsia="en-US"/>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lang w:eastAsia="en-US"/>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lang w:eastAsia="en-US"/>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sz w:val="24"/>
      <w:lang w:eastAsia="en-U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sz w:val="24"/>
      <w:lang w:eastAsia="en-US"/>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lang w:eastAsia="en-US"/>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lang w:eastAsia="en-US"/>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lang w:eastAsia="en-US"/>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rPr>
      <w:rFonts w:eastAsiaTheme="minorHAnsi"/>
      <w:sz w:val="24"/>
      <w:lang w:eastAsia="en-US"/>
    </w:rPr>
  </w:style>
  <w:style w:type="paragraph" w:styleId="Quote">
    <w:name w:val="Quote"/>
    <w:basedOn w:val="Normal"/>
    <w:next w:val="Normal"/>
    <w:link w:val="QuoteChar"/>
    <w:uiPriority w:val="29"/>
    <w:rsid w:val="00F85186"/>
    <w:pPr>
      <w:spacing w:before="200" w:after="0"/>
      <w:ind w:left="360" w:right="360"/>
    </w:pPr>
    <w:rPr>
      <w:rFonts w:eastAsiaTheme="minorHAnsi"/>
      <w:i/>
      <w:iCs/>
      <w:sz w:val="24"/>
      <w:lang w:eastAsia="en-U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rFonts w:eastAsiaTheme="minorHAnsi"/>
      <w:b/>
      <w:bCs/>
      <w:i/>
      <w:iCs/>
      <w:sz w:val="24"/>
      <w:lang w:eastAsia="en-U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rPr>
      <w:rFonts w:eastAsiaTheme="minorHAnsi"/>
      <w:sz w:val="24"/>
      <w:lang w:eastAsia="en-US"/>
    </w:r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rPr>
      <w:rFonts w:eastAsiaTheme="minorHAnsi"/>
      <w:sz w:val="24"/>
      <w:lang w:eastAsia="en-US"/>
    </w:r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styleId="Hyperlink">
    <w:name w:val="Hyperlink"/>
    <w:basedOn w:val="DefaultParagraphFont"/>
    <w:uiPriority w:val="99"/>
    <w:semiHidden/>
    <w:unhideWhenUsed/>
    <w:rsid w:val="001E1CAD"/>
    <w:rPr>
      <w:strike w:val="0"/>
      <w:dstrike w:val="0"/>
      <w:color w:val="004D9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ravers@kpmg.ca"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travers@kpmg.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9939-366A-4D33-A1DE-0C554DD3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Qureshi, Musab (ENERGY)</dc:creator>
  <cp:lastModifiedBy>Qureshi, Musab (ENERGY)</cp:lastModifiedBy>
  <cp:revision>1</cp:revision>
  <dcterms:created xsi:type="dcterms:W3CDTF">2017-01-20T18:22:00Z</dcterms:created>
  <dcterms:modified xsi:type="dcterms:W3CDTF">2017-01-20T18:23:00Z</dcterms:modified>
</cp:coreProperties>
</file>