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931" w:rsidRDefault="00963931"/>
    <w:p w:rsidR="00965AAE" w:rsidRDefault="00965AAE"/>
    <w:p w:rsidR="00965AAE" w:rsidRDefault="00965AAE" w:rsidP="00965AAE">
      <w:r>
        <w:t>May 24, 2017</w:t>
      </w:r>
    </w:p>
    <w:p w:rsidR="00965AAE" w:rsidRDefault="00965AAE" w:rsidP="00965AAE"/>
    <w:p w:rsidR="00965AAE" w:rsidRDefault="00965AAE" w:rsidP="00965AAE">
      <w:pPr>
        <w:rPr>
          <w:b/>
        </w:rPr>
      </w:pPr>
      <w:r>
        <w:rPr>
          <w:b/>
        </w:rPr>
        <w:t>11:30 pm to 12:30 pm call</w:t>
      </w:r>
    </w:p>
    <w:p w:rsidR="00965AAE" w:rsidRDefault="00965AAE" w:rsidP="00965AAE"/>
    <w:p w:rsidR="00965AAE" w:rsidRDefault="00965AAE" w:rsidP="00965AAE">
      <w:r>
        <w:t>FAA</w:t>
      </w:r>
      <w:r>
        <w:tab/>
        <w:t xml:space="preserve"> - A </w:t>
      </w:r>
      <w:bookmarkStart w:id="0" w:name="_GoBack"/>
      <w:bookmarkEnd w:id="0"/>
      <w:proofErr w:type="gramStart"/>
      <w:r>
        <w:t>more fair</w:t>
      </w:r>
      <w:proofErr w:type="gramEnd"/>
      <w:r>
        <w:t xml:space="preserve"> amortization of what is more fair distribution of the costs (clean energy casts) – resetting the curve so that it becomes flatter and longer.  The curve is what we’re trying to define in 20(1) – that is the “reset” curve.  20(2) is the financing costs component of that reset curve.  3 relates to the old curve.  What we’re trying to do with readjustment amount is to determine how much the new curve versus the old curve.  3 is the clean portion of the GA amount.  </w:t>
      </w:r>
    </w:p>
    <w:p w:rsidR="00965AAE" w:rsidRDefault="00965AAE" w:rsidP="00965AAE">
      <w:r>
        <w:t xml:space="preserve">The outcome of that is that is that for each of the 60 to come reference periods, would have an amount – if OPG incurs debt in period 3, and want that repaid in period 13 – we’d look at the debt maturity – look at the upper limit of the amount that could be repayable in period 13.  </w:t>
      </w:r>
    </w:p>
    <w:p w:rsidR="00965AAE" w:rsidRDefault="00965AAE" w:rsidP="00965AAE">
      <w:r>
        <w:t xml:space="preserve">Rocco – </w:t>
      </w:r>
      <w:proofErr w:type="spellStart"/>
      <w:r>
        <w:t>Oslers</w:t>
      </w:r>
      <w:proofErr w:type="spellEnd"/>
      <w:r>
        <w:t xml:space="preserve"> (dealers): How would you know what the estimated finance amounts would be that far in advanced?  Steve: it’s the best estimate of the IESO deferral amount based on the financing costs based on that the [curve]….</w:t>
      </w:r>
    </w:p>
    <w:p w:rsidR="00965AAE" w:rsidRDefault="00965AAE" w:rsidP="00965AAE">
      <w:r>
        <w:t xml:space="preserve">-Curve is to extend out to 2047.   </w:t>
      </w:r>
    </w:p>
    <w:p w:rsidR="00965AAE" w:rsidRDefault="00965AAE" w:rsidP="00965AAE">
      <w:r>
        <w:t xml:space="preserve">Steve: the constitutional basis for this program which is pretty unique – is that the Government is justified in allowing incurrence of debt which results in a future charge to a future rate-payer, if we wanted to facilitate repayment in the future – </w:t>
      </w:r>
      <w:proofErr w:type="spellStart"/>
      <w:proofErr w:type="gramStart"/>
      <w:r>
        <w:t>its</w:t>
      </w:r>
      <w:proofErr w:type="spellEnd"/>
      <w:proofErr w:type="gramEnd"/>
      <w:r>
        <w:t xml:space="preserve"> important that the amount is set in advance and was not exceeded.  The FAA – </w:t>
      </w:r>
      <w:proofErr w:type="spellStart"/>
      <w:proofErr w:type="gramStart"/>
      <w:r>
        <w:t>its</w:t>
      </w:r>
      <w:proofErr w:type="spellEnd"/>
      <w:proofErr w:type="gramEnd"/>
      <w:r>
        <w:t xml:space="preserve"> important that the FAA is </w:t>
      </w:r>
      <w:proofErr w:type="spellStart"/>
      <w:r>
        <w:t>sset</w:t>
      </w:r>
      <w:proofErr w:type="spellEnd"/>
      <w:r>
        <w:t xml:space="preserve"> in advance and is not exceeded.</w:t>
      </w:r>
    </w:p>
    <w:p w:rsidR="00965AAE" w:rsidRDefault="00965AAE" w:rsidP="00965AAE">
      <w:r>
        <w:t>S20(4) – (5) – the recalculation – apply 20(1) to s.20(3) – that calculation will result in numbers along the lines in Ken’s spread sheet – they would be based on assumptions and they would be challenging assumptions – they would be based on best information, and to that extent they would be justified.</w:t>
      </w:r>
    </w:p>
    <w:p w:rsidR="00965AAE" w:rsidRDefault="00965AAE" w:rsidP="00965AAE">
      <w:r>
        <w:t xml:space="preserve">-If we were to just rely on the numbers it would create an incongruent curve into the future: interest rates, cost of funds, and commodity prices – items of a variable nature to be incorporated into a formula that, once reset under </w:t>
      </w:r>
      <w:proofErr w:type="gramStart"/>
      <w:r>
        <w:t>s(</w:t>
      </w:r>
      <w:proofErr w:type="gramEnd"/>
      <w:r>
        <w:t xml:space="preserve">sub (6)) would be reset by OPG.  The FAA would be reset based on the determining factor. </w:t>
      </w:r>
    </w:p>
    <w:p w:rsidR="00965AAE" w:rsidRDefault="00965AAE" w:rsidP="00965AAE">
      <w:r>
        <w:t xml:space="preserve">-Rima: Tory – wanted to maintain </w:t>
      </w:r>
      <w:proofErr w:type="gramStart"/>
      <w:r>
        <w:t>the  language</w:t>
      </w:r>
      <w:proofErr w:type="gramEnd"/>
      <w:r>
        <w:t xml:space="preserve"> in s.13(2), </w:t>
      </w:r>
      <w:proofErr w:type="spellStart"/>
      <w:r>
        <w:t>re funding</w:t>
      </w:r>
      <w:proofErr w:type="spellEnd"/>
      <w:r>
        <w:t xml:space="preserve"> obligation is incurred is consistent with Financing Plan that the funding obligation is protected.  </w:t>
      </w:r>
      <w:proofErr w:type="spellStart"/>
      <w:r>
        <w:t>Stveve</w:t>
      </w:r>
      <w:proofErr w:type="spellEnd"/>
      <w:r>
        <w:t xml:space="preserve">: the OLC said it was inconsistent was overrode the fairness principle.  2) </w:t>
      </w:r>
      <w:proofErr w:type="gramStart"/>
      <w:r>
        <w:t>it</w:t>
      </w:r>
      <w:proofErr w:type="gramEnd"/>
      <w:r>
        <w:t xml:space="preserve"> is covered, more eloquently, in 20(5) and in the motions material .  </w:t>
      </w:r>
    </w:p>
    <w:p w:rsidR="00965AAE" w:rsidRDefault="00965AAE" w:rsidP="00965AAE">
      <w:r>
        <w:t xml:space="preserve">-Section 13 now deals with mistakes, look-backs, </w:t>
      </w:r>
      <w:proofErr w:type="spellStart"/>
      <w:r>
        <w:t>etec</w:t>
      </w:r>
      <w:proofErr w:type="spellEnd"/>
      <w:r>
        <w:t xml:space="preserve">. 20 – </w:t>
      </w:r>
      <w:proofErr w:type="gramStart"/>
      <w:r>
        <w:t>is</w:t>
      </w:r>
      <w:proofErr w:type="gramEnd"/>
      <w:r>
        <w:t xml:space="preserve"> where you’ve redone the FAA calculation – and it fell, and you’ve already incurred the debt – that section is intended to preserve and make paramount the funding obligation.  </w:t>
      </w:r>
    </w:p>
    <w:p w:rsidR="00965AAE" w:rsidRDefault="00965AAE" w:rsidP="00965AAE">
      <w:r>
        <w:t xml:space="preserve">-Rocco:  What that leaves us is that if the FSM goes out incurs a funding obligation, and incurs / creates a CEA under the Act, would be challenged under the Act.  – </w:t>
      </w:r>
      <w:r>
        <w:rPr>
          <w:b/>
        </w:rPr>
        <w:t xml:space="preserve">Carolyn </w:t>
      </w:r>
      <w:proofErr w:type="gramStart"/>
      <w:r>
        <w:rPr>
          <w:b/>
        </w:rPr>
        <w:t>-  this</w:t>
      </w:r>
      <w:proofErr w:type="gramEnd"/>
      <w:r>
        <w:rPr>
          <w:b/>
        </w:rPr>
        <w:t xml:space="preserve"> was dealt with in section 22(4).</w:t>
      </w:r>
    </w:p>
    <w:p w:rsidR="00965AAE" w:rsidRDefault="00965AAE" w:rsidP="00965AAE">
      <w:r>
        <w:t xml:space="preserve">--why add the “readjustment amount” – Steve – the readjustment amount deals with the </w:t>
      </w:r>
      <w:proofErr w:type="spellStart"/>
      <w:r>
        <w:t>adhoc</w:t>
      </w:r>
      <w:proofErr w:type="spellEnd"/>
      <w:r>
        <w:t xml:space="preserve"> amounts in the first four years – Part II does not limit the resets to the first four years – we anticipate that under Part II there would be a normal adjustment of rates.</w:t>
      </w:r>
    </w:p>
    <w:p w:rsidR="00965AAE" w:rsidRDefault="00965AAE" w:rsidP="00965AAE">
      <w:r>
        <w:t>-</w:t>
      </w:r>
      <w:r>
        <w:tab/>
        <w:t xml:space="preserve">- If we did nothing, the current GA would be charged through to rate-payers.  We’re going to reduce the rate by an amount to the extent that the GA </w:t>
      </w:r>
      <w:proofErr w:type="spellStart"/>
      <w:r>
        <w:t>calc</w:t>
      </w:r>
      <w:proofErr w:type="spellEnd"/>
      <w:r>
        <w:t xml:space="preserve"> for CEAS exceeds the [amount paid] but does not exceed the FAA.</w:t>
      </w:r>
    </w:p>
    <w:p w:rsidR="00965AAE" w:rsidRDefault="00965AAE" w:rsidP="00965AAE">
      <w:r>
        <w:t>-</w:t>
      </w:r>
      <w:proofErr w:type="gramStart"/>
      <w:r>
        <w:t>s.21(</w:t>
      </w:r>
      <w:proofErr w:type="gramEnd"/>
      <w:r>
        <w:t xml:space="preserve">4) Steve – we have an intention to lower rates in the first four period – the first rate adjustment is covered in ss. 7 and 8.  Reference periods 3 to 8 – there will be a further rate adjustment consistent with Government of Ontario is contemplating in its press releases.  What we’re trying to anticipate in s.21(4), in reference periods 3 to 8 – that would trigger CEAs that would trigger finance amounts resulting in </w:t>
      </w:r>
      <w:r>
        <w:lastRenderedPageBreak/>
        <w:t xml:space="preserve">CEAs in the first four years.  The readjustment amount concept – it’s the episodic (ad hoc) step government takes from time to time to lower rates because </w:t>
      </w:r>
      <w:proofErr w:type="spellStart"/>
      <w:proofErr w:type="gramStart"/>
      <w:r>
        <w:t>its</w:t>
      </w:r>
      <w:proofErr w:type="spellEnd"/>
      <w:proofErr w:type="gramEnd"/>
      <w:r>
        <w:t xml:space="preserve"> fair to do so – we believe the curve is wrong for 2005 to 2017.   [Actual finance amounts for that period] – s.21(4) – after you have paid IESO and covered the Finance Costs, to the extent you still have room under the FAA curve for that period, OPG should be able to look at that and incur CEAs for that period.  Steve: </w:t>
      </w:r>
      <w:proofErr w:type="gramStart"/>
      <w:r>
        <w:t>s.21(</w:t>
      </w:r>
      <w:proofErr w:type="gramEnd"/>
      <w:r>
        <w:t xml:space="preserve">4) DOES not presume that no CEAS between 3 and 8.  Instead, its saying you can’t do anything unless the Government does not do anything to reduce rates below the FAA.  [Steve - </w:t>
      </w:r>
    </w:p>
    <w:p w:rsidR="00965AAE" w:rsidRDefault="00965AAE" w:rsidP="00965AAE">
      <w:r>
        <w:t xml:space="preserve">[OPG treasury – if the </w:t>
      </w:r>
    </w:p>
    <w:p w:rsidR="00965AAE" w:rsidRPr="00965AAE" w:rsidRDefault="00965AAE" w:rsidP="00965AAE">
      <w:pPr>
        <w:spacing w:before="100" w:beforeAutospacing="1" w:after="100" w:afterAutospacing="1"/>
        <w:rPr>
          <w:rFonts w:ascii="Arial" w:eastAsiaTheme="minorEastAsia" w:hAnsi="Arial" w:cs="Arial"/>
          <w:b/>
          <w:i/>
          <w:noProof/>
          <w:sz w:val="20"/>
          <w:szCs w:val="20"/>
          <w:lang w:eastAsia="en-CA"/>
        </w:rPr>
      </w:pPr>
      <w:bookmarkStart w:id="1" w:name="_MailAutoSig"/>
      <w:r>
        <w:rPr>
          <w:rFonts w:ascii="Arial" w:eastAsiaTheme="minorEastAsia" w:hAnsi="Arial" w:cs="Arial"/>
          <w:b/>
          <w:noProof/>
          <w:sz w:val="20"/>
          <w:szCs w:val="20"/>
          <w:lang w:eastAsia="en-CA"/>
        </w:rPr>
        <w:t> -Finance amount doesn’t correspond to the CEA</w:t>
      </w:r>
      <w:r>
        <w:rPr>
          <w:rFonts w:ascii="Arial" w:eastAsiaTheme="minorEastAsia" w:hAnsi="Arial" w:cs="Arial"/>
          <w:b/>
          <w:noProof/>
          <w:sz w:val="20"/>
          <w:szCs w:val="20"/>
          <w:lang w:eastAsia="en-CA"/>
        </w:rPr>
        <w:t>s</w:t>
      </w:r>
      <w:r>
        <w:rPr>
          <w:rFonts w:ascii="Arial" w:eastAsiaTheme="minorEastAsia" w:hAnsi="Arial" w:cs="Arial"/>
          <w:b/>
          <w:noProof/>
          <w:sz w:val="20"/>
          <w:szCs w:val="20"/>
          <w:lang w:eastAsia="en-CA"/>
        </w:rPr>
        <w:t xml:space="preserve"> – </w:t>
      </w:r>
      <w:r>
        <w:rPr>
          <w:rFonts w:ascii="Arial" w:eastAsiaTheme="minorEastAsia" w:hAnsi="Arial" w:cs="Arial"/>
          <w:b/>
          <w:i/>
          <w:noProof/>
          <w:sz w:val="20"/>
          <w:szCs w:val="20"/>
          <w:lang w:eastAsia="en-CA"/>
        </w:rPr>
        <w:t>[but should.]</w:t>
      </w:r>
    </w:p>
    <w:p w:rsidR="00965AAE" w:rsidRDefault="00965AAE" w:rsidP="00965AAE">
      <w:pPr>
        <w:spacing w:before="100" w:beforeAutospacing="1" w:after="100" w:afterAutospacing="1"/>
        <w:rPr>
          <w:rFonts w:ascii="Arial" w:eastAsiaTheme="minorEastAsia" w:hAnsi="Arial" w:cs="Arial"/>
          <w:b/>
          <w:noProof/>
          <w:sz w:val="20"/>
          <w:szCs w:val="20"/>
          <w:lang w:eastAsia="en-CA"/>
        </w:rPr>
      </w:pPr>
      <w:r>
        <w:rPr>
          <w:rFonts w:ascii="Arial" w:eastAsiaTheme="minorEastAsia" w:hAnsi="Arial" w:cs="Arial"/>
          <w:b/>
          <w:noProof/>
          <w:sz w:val="20"/>
          <w:szCs w:val="20"/>
          <w:lang w:eastAsia="en-CA"/>
        </w:rPr>
        <w:t xml:space="preserve">-IESO to be funding the non-principal funding amount for the first 8 periods.  </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b/>
          <w:noProof/>
          <w:sz w:val="20"/>
          <w:szCs w:val="20"/>
          <w:lang w:eastAsia="en-CA"/>
        </w:rPr>
        <w:t xml:space="preserve">Carolyn corrects this issue- </w:t>
      </w:r>
      <w:r>
        <w:rPr>
          <w:rFonts w:ascii="Arial" w:eastAsiaTheme="minorEastAsia" w:hAnsi="Arial" w:cs="Arial"/>
          <w:noProof/>
          <w:sz w:val="20"/>
          <w:szCs w:val="20"/>
          <w:lang w:eastAsia="en-CA"/>
        </w:rPr>
        <w:t xml:space="preserve">Can’t show CEAs on bills within the first four years.   </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 xml:space="preserve">-IESO to fund those amounts – its called a “funding rebate” – essentially a buy-down of rates – IESO is selling property for an amount, Its not a loan from IESO – its built in [not a loan ddue to OPG accounting] built into IESO recovery.  It goes up by those funding costs.  It represents a cash flow and will arise underr a document (IESO transfer agreement) and the commercial analagy is to a rate-buy-down.  </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 xml:space="preserve">-Rima :  We totally hear Carolyn’s comment that there’s not to be a CEA for the first four years – we had understood that the math would just be flowed through to LDC’s and that the rates (RPP rates) and what OPG would collect the </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 xml:space="preserve">Rocco/: concerned about certainty – we’ve talked about warehousing we can find novel? Ways of doing this – when I read 22(4) as it was previously written now, though it’s a bit more confusing now in my mind. </w:t>
      </w:r>
      <w:r>
        <w:rPr>
          <w:rFonts w:ascii="Arial" w:eastAsiaTheme="minorEastAsia" w:hAnsi="Arial" w:cs="Arial"/>
          <w:b/>
          <w:noProof/>
          <w:sz w:val="20"/>
          <w:szCs w:val="20"/>
          <w:lang w:eastAsia="en-CA"/>
        </w:rPr>
        <w:t xml:space="preserve"> Steve: let me just explain why this confusion arises: we’re dealing with the first year  and we have a plan for years 2 to 4.  The legislation can’t presume the outcome of the plan.  The legislation has tobe able to facilitate the plan.  Steve: Contrary to what Carolyn said, CEAs could be incurred between years 1 to 4 – is it contemplated, no.  Is it possible, yes.   Steve – thinks that Government will find another means of giving effect to the outcome that is contemplated.   </w:t>
      </w:r>
      <w:r>
        <w:rPr>
          <w:rFonts w:ascii="Arial" w:eastAsiaTheme="minorEastAsia" w:hAnsi="Arial" w:cs="Arial"/>
          <w:noProof/>
          <w:sz w:val="20"/>
          <w:szCs w:val="20"/>
          <w:lang w:eastAsia="en-CA"/>
        </w:rPr>
        <w:t>If we get to year 3 and Government has’n’t driven rates down, then OPG would be free (under s.21(4)) then OPG would be free to put costs into FAA.</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-Krista – j</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 xml:space="preserve">-The IESO deferral includes the amounts borrowd, but the CEAs are different.  If you have a specified rate and the vendor pays the rate for the first period of time.  </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 xml:space="preserve">Krista : it almost looks a bit like a conditional sale – its $100 but over time the IESO ….how does IESO get to collect from rate-payers.  </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 xml:space="preserve">-IESO gets $100.  Its going to pay $2 of expenses when they come due at the end of the year.  [Krista – all the CEAs are supposed to be segregated in the future.  Howe does that now happen.  You consumer </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 xml:space="preserve">-IESO will pass through CEAs – the IESO pays the amount – </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 xml:space="preserve">Krista : when and how does get the money?  Forms part of the RA but then it sells to FSM ($102).  Deferral account goes up by $2 then it becomes part of the RA and is sold.  </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lastRenderedPageBreak/>
        <w:t>Steve:-(Its not a borrowing since that would be a problem for OPG – (OPG : It’s a shortfall – it will be added whenever the funding rebate is paid –steve – its certainly intended to be in the transfer agreement (its to form part of the investment interest – goes to the amounts to be securitized).</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Rocco: isn’t it just simply a cash flow issue, a decrease to the deferral amount – when we’re going to apply to regulatory asset/investment interest we’re acquiring – it’s the lendiers ….(Credit risk is with the IESO).</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 xml:space="preserve">-Carolyn : if the IESO defaults, then you have a performance guarantee from Government. (Rocco: if IESO defaults, then IAs can recover from rate-payers but not [necessarily] timely.  Krista – this will affect the rate-payers.  </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-Steve: it would not be unusual for a AAA-rated securitization to have some elements which are AA (double-A) rated (think of counterparties in SWAP transactions which are holding large amounts at times).</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 xml:space="preserve">-Krista – all the calls with the dealers, I’ve heard them talking about LDC’s – Rocco: there’s always been thhis question mark about what we’re doing during this first four year period – both from a cash flow perspective and legal perspective. </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Rocco: to the extent that IESO has the $2 funded, back-stopped by the province and (ultimately) recoverable from consumers.</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Krista – the proposal was that the bill would be maintained at the level that Government wanted, but that there’d just be further reductions from GAM but that clean adjustments start flowing from day 1 – (Steve – that option is not foreclosed but its not plan A).  The funding rebate was the mechanic that seemed to balance the interests with providing liquidity for first four years.</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 xml:space="preserve">Rima: Osler can take this back to the dealers but there is a difference between the first four years. </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Rocco: 21(1) – para (b) – reference to “initial clean energy period” – Steve: somehow that definition was not picked – the period during which clean energy costs have been incurred up until the beginning of the first reference period.</w:t>
      </w:r>
    </w:p>
    <w:p w:rsidR="00965AAE" w:rsidRDefault="00965AAE" w:rsidP="00965AAE">
      <w:pPr>
        <w:spacing w:before="100" w:beforeAutospacing="1" w:after="100" w:afterAutospacing="1"/>
        <w:rPr>
          <w:rFonts w:ascii="Arial" w:eastAsiaTheme="minorEastAsia" w:hAnsi="Arial" w:cs="Arial"/>
          <w:i/>
          <w:noProof/>
          <w:sz w:val="20"/>
          <w:szCs w:val="20"/>
          <w:lang w:eastAsia="en-CA"/>
        </w:rPr>
      </w:pPr>
      <w:r>
        <w:rPr>
          <w:rFonts w:ascii="Arial" w:eastAsiaTheme="minorEastAsia" w:hAnsi="Arial" w:cs="Arial"/>
          <w:noProof/>
          <w:sz w:val="20"/>
          <w:szCs w:val="20"/>
          <w:lang w:eastAsia="en-CA"/>
        </w:rPr>
        <w:t xml:space="preserve">s. 20(1) – new rider – (c) – it’s a reallocation – of costs – 1(a) would sum up to all of the costs that are allocated in para 3 (which relatees to “all reference periods”) – </w:t>
      </w:r>
      <w:r>
        <w:rPr>
          <w:rFonts w:ascii="Arial" w:eastAsiaTheme="minorEastAsia" w:hAnsi="Arial" w:cs="Arial"/>
          <w:i/>
          <w:noProof/>
          <w:sz w:val="20"/>
          <w:szCs w:val="20"/>
          <w:lang w:eastAsia="en-CA"/>
        </w:rPr>
        <w:t>[can we add back “all” refernece periods]</w:t>
      </w:r>
    </w:p>
    <w:p w:rsidR="00965AAE" w:rsidRDefault="00965AAE" w:rsidP="00965AAE">
      <w:proofErr w:type="gramStart"/>
      <w:r>
        <w:t>s.20(</w:t>
      </w:r>
      <w:proofErr w:type="gramEnd"/>
      <w:r>
        <w:t xml:space="preserve">1)(a) – should also be the period “prior to” reference period…?  </w:t>
      </w:r>
      <w:r>
        <w:sym w:font="Wingdings" w:char="F0E0"/>
      </w:r>
      <w:r>
        <w:t xml:space="preserve"> </w:t>
      </w:r>
      <w:proofErr w:type="gramStart"/>
      <w:r>
        <w:t>spreading</w:t>
      </w:r>
      <w:proofErr w:type="gramEnd"/>
      <w:r>
        <w:t xml:space="preserve"> costs have already been </w:t>
      </w:r>
      <w:r>
        <w:rPr>
          <w:u w:val="single"/>
        </w:rPr>
        <w:t>over</w:t>
      </w:r>
      <w:r>
        <w:t xml:space="preserve"> paid for  - want to be able to point to the period from 05 to 17 and say that the model we used recognized those periods.  </w:t>
      </w:r>
    </w:p>
    <w:p w:rsidR="00965AAE" w:rsidRDefault="00965AAE" w:rsidP="00965AAE">
      <w:r>
        <w:t>-Rima:  Rocco (it relates to Ken’s spreadsheet, in 1(a) when compared to (b), talking about Clean energy benefits back to 05, then (b) – Steve: think of the shape of the curve – it’s the shape that matters: we apply the shape of the curve to go back to 2005, because for that first little bit of time we want the model to represent the shape.  [Rocco: what about the clean energy costs that have been over paid…</w:t>
      </w:r>
      <w:proofErr w:type="gramStart"/>
      <w:r>
        <w:t>..[</w:t>
      </w:r>
      <w:proofErr w:type="gramEnd"/>
      <w:r>
        <w:t xml:space="preserve">Steve – that information exists – its information </w:t>
      </w:r>
      <w:proofErr w:type="spellStart"/>
      <w:r>
        <w:t>e</w:t>
      </w:r>
      <w:proofErr w:type="spellEnd"/>
      <w:r>
        <w:t xml:space="preserve"> know of, and doesn’t have to be generated for this purpose.] </w:t>
      </w:r>
    </w:p>
    <w:p w:rsidR="00965AAE" w:rsidRDefault="00965AAE" w:rsidP="00965AAE">
      <w:r>
        <w:t xml:space="preserve">Rima: </w:t>
      </w:r>
      <w:proofErr w:type="gramStart"/>
      <w:r>
        <w:t>does  this</w:t>
      </w:r>
      <w:proofErr w:type="gramEnd"/>
      <w:r>
        <w:t xml:space="preserve"> otherwise work for [Ken and his spreadsheet].  </w:t>
      </w:r>
    </w:p>
    <w:p w:rsidR="00965AAE" w:rsidRDefault="00965AAE" w:rsidP="00965AAE">
      <w:r>
        <w:t xml:space="preserve">-Ken: in sub 20(1) 2: that relates to the first reference period?  The basic construct is what the costs of funding the IESO deferral, assuming it is all translated into the market through an investment interest, ….Krista: Steve, would that include the IESO funding rebate? It shouldn’t show up as a finance amount then.  </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b/>
          <w:i/>
          <w:noProof/>
          <w:sz w:val="20"/>
          <w:szCs w:val="20"/>
          <w:lang w:eastAsia="en-CA"/>
        </w:rPr>
        <w:lastRenderedPageBreak/>
        <w:softHyphen/>
      </w:r>
      <w:r>
        <w:rPr>
          <w:rFonts w:ascii="Arial" w:eastAsiaTheme="minorEastAsia" w:hAnsi="Arial" w:cs="Arial"/>
          <w:b/>
          <w:noProof/>
          <w:sz w:val="20"/>
          <w:szCs w:val="20"/>
          <w:lang w:eastAsia="en-CA"/>
        </w:rPr>
        <w:t xml:space="preserve">Peter Miligan s.20(1) - </w:t>
      </w:r>
      <w:r>
        <w:rPr>
          <w:rFonts w:ascii="Arial" w:eastAsiaTheme="minorEastAsia" w:hAnsi="Arial" w:cs="Arial"/>
          <w:noProof/>
          <w:sz w:val="20"/>
          <w:szCs w:val="20"/>
          <w:lang w:eastAsia="en-CA"/>
        </w:rPr>
        <w:t xml:space="preserve">Finance amounts are really [the same as] CEAs for all intents and purposes during a reference period.  When calculating the room to charge the finance amounts, and we add back in the finance amounts, we’re going to get back to zero – why isn’t the fair alloation amount just 1 minus 3?  Steve: without 2, you’re not going to have enough (estimated finance amounts for the reference period – </w:t>
      </w:r>
      <w:r>
        <w:rPr>
          <w:rFonts w:ascii="Arial" w:eastAsiaTheme="minorEastAsia" w:hAnsi="Arial" w:cs="Arial"/>
          <w:i/>
          <w:noProof/>
          <w:sz w:val="20"/>
          <w:szCs w:val="20"/>
          <w:lang w:eastAsia="en-CA"/>
        </w:rPr>
        <w:t xml:space="preserve">Peter questions that this isn’t just the finance amounts for the reference periods?) </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-Peter – lets do a period – 2030 that’s way out there – para 1 should exceed para 3 in 2030 since your existing GA is too steep in terms of amortization because of its amortization (I agree, too steep) – In early periods, IESO 1 is less than 3 and that’s why we have IESO short fall.</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 xml:space="preserve">-The concept of adding the financing costs is to give room to incur – the area to the left of the inflection point would equal the area to the right of the inflection point if you graphed it.  When repaying that, 1 exceeds 3 – but that wouldn’t leave room for interest and other costs – that’s t he purpose of 2.  </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-Rima : dealers will need some sort of certification that the funding obligation is within the FAA.  (FAA is a one-off – it will be recalculated but probably by reference to a formula by virtue of variables.)</w:t>
      </w:r>
    </w:p>
    <w:p w:rsidR="00965AAE" w:rsidRDefault="00965AAE" w:rsidP="00965AAE">
      <w:pPr>
        <w:spacing w:before="100" w:beforeAutospacing="1" w:after="100" w:afterAutospacing="1"/>
        <w:rPr>
          <w:rFonts w:ascii="Arial" w:eastAsiaTheme="minorEastAsia" w:hAnsi="Arial" w:cs="Arial"/>
          <w:noProof/>
          <w:sz w:val="20"/>
          <w:szCs w:val="20"/>
          <w:lang w:eastAsia="en-CA"/>
        </w:rPr>
      </w:pPr>
      <w:r>
        <w:rPr>
          <w:rFonts w:ascii="Arial" w:eastAsiaTheme="minorEastAsia" w:hAnsi="Arial" w:cs="Arial"/>
          <w:noProof/>
          <w:sz w:val="20"/>
          <w:szCs w:val="20"/>
          <w:lang w:eastAsia="en-CA"/>
        </w:rPr>
        <w:t xml:space="preserve">-20(5) –recalculation – when you recalculate it, you have to re-run all of the calculations </w:t>
      </w:r>
      <w:r>
        <w:rPr>
          <w:rFonts w:ascii="Arial" w:eastAsiaTheme="minorEastAsia" w:hAnsi="Arial" w:cs="Arial"/>
          <w:i/>
          <w:noProof/>
          <w:sz w:val="20"/>
          <w:szCs w:val="20"/>
          <w:lang w:eastAsia="en-CA"/>
        </w:rPr>
        <w:t xml:space="preserve">[Rima: who is the person doing the recalculation to be prescribed under sub(5)?]  </w:t>
      </w:r>
      <w:r>
        <w:rPr>
          <w:rFonts w:ascii="Arial" w:eastAsiaTheme="minorEastAsia" w:hAnsi="Arial" w:cs="Arial"/>
          <w:noProof/>
          <w:sz w:val="20"/>
          <w:szCs w:val="20"/>
          <w:lang w:eastAsia="en-CA"/>
        </w:rPr>
        <w:t>Carolyn – that hasn’t been determined yet.  But there’s not an obligation to recalculate before the incurrence of [each] funding obligation.  So I think what we’ll need is a certification [from whoever is prescribed under subsection 20(6) – the person who has ownerhsip of that calculation.]</w:t>
      </w:r>
    </w:p>
    <w:p w:rsidR="00965AAE" w:rsidRDefault="00965AAE" w:rsidP="00965AAE">
      <w:pPr>
        <w:spacing w:before="100" w:beforeAutospacing="1" w:after="100" w:afterAutospacing="1"/>
        <w:rPr>
          <w:rFonts w:ascii="Arial" w:eastAsiaTheme="minorEastAsia" w:hAnsi="Arial" w:cs="Arial"/>
          <w:b/>
          <w:noProof/>
          <w:sz w:val="20"/>
          <w:szCs w:val="20"/>
          <w:lang w:eastAsia="en-CA"/>
        </w:rPr>
      </w:pPr>
      <w:r>
        <w:rPr>
          <w:rFonts w:ascii="Arial" w:eastAsiaTheme="minorEastAsia" w:hAnsi="Arial" w:cs="Arial"/>
          <w:b/>
          <w:noProof/>
          <w:sz w:val="20"/>
          <w:szCs w:val="20"/>
          <w:lang w:eastAsia="en-CA"/>
        </w:rPr>
        <w:t>s.20(1) 2 – “the material used to say “financing costs” – the concept was “financing costs” not “finance amount”  -- so they’re supposed to be something different than “finance amount”?  Steve – yes its supposed to be “non-principal finance amount” (the way it looked in the last draft means “financing costs” – the intention was that it be everything other than principal.</w:t>
      </w:r>
    </w:p>
    <w:p w:rsidR="00965AAE" w:rsidRDefault="00965AAE" w:rsidP="00965AAE">
      <w:pPr>
        <w:spacing w:before="100" w:beforeAutospacing="1" w:after="100" w:afterAutospacing="1"/>
        <w:rPr>
          <w:rFonts w:ascii="Arial" w:eastAsiaTheme="minorEastAsia" w:hAnsi="Arial" w:cs="Arial"/>
          <w:b/>
          <w:noProof/>
          <w:sz w:val="20"/>
          <w:szCs w:val="20"/>
          <w:lang w:eastAsia="en-CA"/>
        </w:rPr>
      </w:pPr>
    </w:p>
    <w:p w:rsidR="00965AAE" w:rsidRDefault="00965AAE" w:rsidP="00965AAE">
      <w:pPr>
        <w:spacing w:before="100" w:beforeAutospacing="1" w:after="100" w:afterAutospacing="1"/>
        <w:rPr>
          <w:rFonts w:ascii="Arial" w:eastAsiaTheme="minorEastAsia" w:hAnsi="Arial" w:cs="Arial"/>
          <w:b/>
          <w:noProof/>
          <w:sz w:val="20"/>
          <w:szCs w:val="20"/>
          <w:lang w:eastAsia="en-CA"/>
        </w:rPr>
      </w:pPr>
    </w:p>
    <w:p w:rsidR="00965AAE" w:rsidRDefault="00965AAE" w:rsidP="00965AAE">
      <w:pPr>
        <w:shd w:val="clear" w:color="auto" w:fill="FFFFFF"/>
        <w:rPr>
          <w:rFonts w:ascii="Times New Roman" w:eastAsiaTheme="minorEastAsia" w:hAnsi="Times New Roman" w:cs="Times New Roman"/>
          <w:noProof/>
          <w:color w:val="000000" w:themeColor="text1"/>
          <w:sz w:val="24"/>
          <w:szCs w:val="24"/>
          <w:lang w:eastAsia="en-CA"/>
        </w:rPr>
      </w:pPr>
      <w:r>
        <w:rPr>
          <w:rFonts w:eastAsiaTheme="minorEastAsia" w:cs="Arial"/>
          <w:b/>
          <w:bCs/>
          <w:noProof/>
          <w:color w:val="000000" w:themeColor="text1"/>
          <w:sz w:val="20"/>
          <w:szCs w:val="20"/>
          <w:lang w:eastAsia="en-CA"/>
        </w:rPr>
        <w:t>James P. H. Rehob</w:t>
      </w:r>
    </w:p>
    <w:p w:rsidR="00965AAE" w:rsidRDefault="00965AAE" w:rsidP="00965AAE">
      <w:pPr>
        <w:shd w:val="clear" w:color="auto" w:fill="FFFFFF"/>
        <w:rPr>
          <w:rFonts w:ascii="Arial" w:eastAsiaTheme="minorEastAsia" w:hAnsi="Arial" w:cs="Arial"/>
          <w:noProof/>
          <w:color w:val="000000" w:themeColor="text1"/>
          <w:sz w:val="20"/>
          <w:szCs w:val="20"/>
          <w:lang w:eastAsia="en-CA"/>
        </w:rPr>
      </w:pPr>
      <w:r>
        <w:rPr>
          <w:rFonts w:ascii="Arial" w:eastAsiaTheme="minorEastAsia" w:hAnsi="Arial" w:cs="Arial"/>
          <w:noProof/>
          <w:color w:val="000000" w:themeColor="text1"/>
          <w:sz w:val="20"/>
          <w:szCs w:val="20"/>
          <w:lang w:eastAsia="en-CA"/>
        </w:rPr>
        <w:t>Senior Counsel</w:t>
      </w:r>
    </w:p>
    <w:p w:rsidR="00965AAE" w:rsidRDefault="00965AAE" w:rsidP="00965AAE">
      <w:pPr>
        <w:shd w:val="clear" w:color="auto" w:fill="FFFFFF"/>
        <w:rPr>
          <w:rFonts w:ascii="Arial" w:eastAsiaTheme="minorEastAsia" w:hAnsi="Arial" w:cs="Arial"/>
          <w:noProof/>
          <w:color w:val="000000" w:themeColor="text1"/>
          <w:sz w:val="20"/>
          <w:szCs w:val="20"/>
          <w:lang w:eastAsia="en-CA"/>
        </w:rPr>
      </w:pPr>
      <w:r>
        <w:rPr>
          <w:rFonts w:ascii="Arial" w:eastAsiaTheme="minorEastAsia" w:hAnsi="Arial" w:cs="Arial"/>
          <w:noProof/>
          <w:color w:val="000000" w:themeColor="text1"/>
          <w:sz w:val="20"/>
          <w:szCs w:val="20"/>
          <w:lang w:eastAsia="en-CA"/>
        </w:rPr>
        <w:t>Ministry of the Attorney General</w:t>
      </w:r>
    </w:p>
    <w:p w:rsidR="00965AAE" w:rsidRDefault="00965AAE" w:rsidP="00965AAE">
      <w:pPr>
        <w:shd w:val="clear" w:color="auto" w:fill="FFFFFF"/>
        <w:rPr>
          <w:rFonts w:ascii="Arial" w:eastAsiaTheme="minorEastAsia" w:hAnsi="Arial" w:cs="Arial"/>
          <w:noProof/>
          <w:color w:val="000000" w:themeColor="text1"/>
          <w:sz w:val="20"/>
          <w:szCs w:val="20"/>
          <w:lang w:eastAsia="en-CA"/>
        </w:rPr>
      </w:pPr>
      <w:r>
        <w:rPr>
          <w:rFonts w:ascii="Arial" w:eastAsiaTheme="minorEastAsia" w:hAnsi="Arial" w:cs="Arial"/>
          <w:noProof/>
          <w:color w:val="000000" w:themeColor="text1"/>
          <w:sz w:val="20"/>
          <w:szCs w:val="20"/>
          <w:lang w:eastAsia="en-CA"/>
        </w:rPr>
        <w:t>Legal Services Branch</w:t>
      </w:r>
    </w:p>
    <w:p w:rsidR="00965AAE" w:rsidRDefault="00965AAE" w:rsidP="00965AAE">
      <w:pPr>
        <w:shd w:val="clear" w:color="auto" w:fill="FFFFFF"/>
        <w:rPr>
          <w:rFonts w:ascii="Arial" w:eastAsiaTheme="minorEastAsia" w:hAnsi="Arial" w:cs="Arial"/>
          <w:noProof/>
          <w:color w:val="000000" w:themeColor="text1"/>
          <w:sz w:val="20"/>
          <w:szCs w:val="20"/>
          <w:lang w:eastAsia="en-CA"/>
        </w:rPr>
      </w:pPr>
      <w:r>
        <w:rPr>
          <w:rFonts w:ascii="Arial" w:eastAsiaTheme="minorEastAsia" w:hAnsi="Arial" w:cs="Arial"/>
          <w:noProof/>
          <w:color w:val="000000" w:themeColor="text1"/>
          <w:sz w:val="20"/>
          <w:szCs w:val="20"/>
          <w:lang w:eastAsia="en-CA"/>
        </w:rPr>
        <w:t>MAG Civil Law Division</w:t>
      </w:r>
    </w:p>
    <w:p w:rsidR="00965AAE" w:rsidRDefault="00965AAE" w:rsidP="00965AAE">
      <w:pPr>
        <w:shd w:val="clear" w:color="auto" w:fill="FFFFFF"/>
        <w:rPr>
          <w:rFonts w:ascii="Arial" w:eastAsiaTheme="minorEastAsia" w:hAnsi="Arial" w:cs="Arial"/>
          <w:iCs/>
          <w:noProof/>
          <w:color w:val="000000" w:themeColor="text1"/>
          <w:sz w:val="20"/>
          <w:szCs w:val="20"/>
          <w:lang w:eastAsia="en-CA"/>
        </w:rPr>
      </w:pPr>
      <w:r>
        <w:rPr>
          <w:rFonts w:ascii="Arial" w:eastAsiaTheme="minorEastAsia" w:hAnsi="Arial" w:cs="Arial"/>
          <w:iCs/>
          <w:noProof/>
          <w:color w:val="000000" w:themeColor="text1"/>
          <w:sz w:val="20"/>
          <w:szCs w:val="20"/>
          <w:lang w:eastAsia="en-CA"/>
        </w:rPr>
        <w:t xml:space="preserve">Ministry of Energy, Ministry of Economic Development and Growth, Ministry of Research, Innovation and Science, Ministry of Infrastructure, Accessibility Directorate of Ontario </w:t>
      </w:r>
    </w:p>
    <w:p w:rsidR="00965AAE" w:rsidRDefault="00965AAE" w:rsidP="00965AAE">
      <w:pPr>
        <w:shd w:val="clear" w:color="auto" w:fill="FFFFFF"/>
        <w:rPr>
          <w:rFonts w:ascii="Arial" w:eastAsiaTheme="minorEastAsia" w:hAnsi="Arial" w:cs="Arial"/>
          <w:noProof/>
          <w:color w:val="000000" w:themeColor="text1"/>
          <w:sz w:val="20"/>
          <w:szCs w:val="20"/>
          <w:lang w:eastAsia="en-CA"/>
        </w:rPr>
      </w:pPr>
      <w:r>
        <w:rPr>
          <w:rFonts w:ascii="Arial" w:eastAsiaTheme="minorEastAsia" w:hAnsi="Arial" w:cs="Arial"/>
          <w:noProof/>
          <w:color w:val="000000" w:themeColor="text1"/>
          <w:sz w:val="20"/>
          <w:szCs w:val="20"/>
          <w:lang w:eastAsia="en-CA"/>
        </w:rPr>
        <w:t>56 Wellesley Street West</w:t>
      </w:r>
    </w:p>
    <w:p w:rsidR="00965AAE" w:rsidRDefault="00965AAE" w:rsidP="00965AAE">
      <w:pPr>
        <w:shd w:val="clear" w:color="auto" w:fill="FFFFFF"/>
        <w:rPr>
          <w:rFonts w:ascii="Arial" w:eastAsiaTheme="minorEastAsia" w:hAnsi="Arial" w:cs="Arial"/>
          <w:noProof/>
          <w:color w:val="000000" w:themeColor="text1"/>
          <w:sz w:val="20"/>
          <w:szCs w:val="20"/>
          <w:lang w:eastAsia="en-CA"/>
        </w:rPr>
      </w:pPr>
      <w:r>
        <w:rPr>
          <w:rFonts w:ascii="Arial" w:eastAsiaTheme="minorEastAsia" w:hAnsi="Arial" w:cs="Arial"/>
          <w:noProof/>
          <w:color w:val="000000" w:themeColor="text1"/>
          <w:sz w:val="20"/>
          <w:szCs w:val="20"/>
          <w:lang w:eastAsia="en-CA"/>
        </w:rPr>
        <w:t>Toronto, ON M7A 2E7</w:t>
      </w:r>
    </w:p>
    <w:p w:rsidR="00965AAE" w:rsidRDefault="00965AAE" w:rsidP="00965AAE">
      <w:pPr>
        <w:shd w:val="clear" w:color="auto" w:fill="FFFFFF"/>
        <w:rPr>
          <w:rFonts w:ascii="Arial" w:eastAsiaTheme="minorEastAsia" w:hAnsi="Arial" w:cs="Arial"/>
          <w:noProof/>
          <w:color w:val="000000" w:themeColor="text1"/>
          <w:sz w:val="20"/>
          <w:szCs w:val="20"/>
          <w:lang w:eastAsia="en-CA"/>
        </w:rPr>
      </w:pPr>
      <w:r>
        <w:rPr>
          <w:rFonts w:ascii="Arial" w:eastAsiaTheme="minorEastAsia" w:hAnsi="Arial" w:cs="Arial"/>
          <w:noProof/>
          <w:color w:val="000000" w:themeColor="text1"/>
          <w:sz w:val="20"/>
          <w:szCs w:val="20"/>
          <w:lang w:eastAsia="en-CA"/>
        </w:rPr>
        <w:t>Tel:   416-325-6676</w:t>
      </w:r>
    </w:p>
    <w:p w:rsidR="00965AAE" w:rsidRDefault="00965AAE" w:rsidP="00965AAE">
      <w:pPr>
        <w:shd w:val="clear" w:color="auto" w:fill="FFFFFF"/>
        <w:rPr>
          <w:rFonts w:ascii="Arial" w:eastAsiaTheme="minorEastAsia" w:hAnsi="Arial" w:cs="Arial"/>
          <w:noProof/>
          <w:color w:val="000000" w:themeColor="text1"/>
          <w:sz w:val="20"/>
          <w:szCs w:val="20"/>
          <w:lang w:eastAsia="en-CA"/>
        </w:rPr>
      </w:pPr>
      <w:r>
        <w:rPr>
          <w:rFonts w:ascii="Arial" w:eastAsiaTheme="minorEastAsia" w:hAnsi="Arial" w:cs="Arial"/>
          <w:noProof/>
          <w:color w:val="000000" w:themeColor="text1"/>
          <w:sz w:val="20"/>
          <w:szCs w:val="20"/>
          <w:lang w:eastAsia="en-CA"/>
        </w:rPr>
        <w:t>Fax:  416-325-1781</w:t>
      </w:r>
    </w:p>
    <w:p w:rsidR="00965AAE" w:rsidRDefault="00965AAE" w:rsidP="00965AAE">
      <w:pPr>
        <w:shd w:val="clear" w:color="auto" w:fill="FFFFFF"/>
        <w:rPr>
          <w:rFonts w:ascii="Arial" w:eastAsiaTheme="minorEastAsia" w:hAnsi="Arial" w:cs="Arial"/>
          <w:noProof/>
          <w:color w:val="000000"/>
          <w:sz w:val="20"/>
          <w:szCs w:val="20"/>
          <w:lang w:eastAsia="en-CA"/>
        </w:rPr>
      </w:pPr>
      <w:hyperlink r:id="rId5" w:tooltip="mailto:james.rehob@ontario.ca" w:history="1">
        <w:r>
          <w:rPr>
            <w:rStyle w:val="Hyperlink"/>
            <w:rFonts w:ascii="Arial" w:eastAsiaTheme="minorEastAsia" w:hAnsi="Arial" w:cs="Arial"/>
            <w:noProof/>
            <w:sz w:val="20"/>
            <w:szCs w:val="20"/>
            <w:lang w:eastAsia="en-CA"/>
          </w:rPr>
          <w:t>james.rehob@ontario.ca</w:t>
        </w:r>
      </w:hyperlink>
      <w:r>
        <w:rPr>
          <w:rFonts w:ascii="Arial" w:eastAsiaTheme="minorEastAsia" w:hAnsi="Arial" w:cs="Arial"/>
          <w:noProof/>
          <w:color w:val="000000"/>
          <w:sz w:val="20"/>
          <w:szCs w:val="20"/>
          <w:lang w:eastAsia="en-CA"/>
        </w:rPr>
        <w:t xml:space="preserve"> </w:t>
      </w:r>
    </w:p>
    <w:p w:rsidR="00965AAE" w:rsidRDefault="00965AAE" w:rsidP="00965AAE">
      <w:pPr>
        <w:shd w:val="clear" w:color="auto" w:fill="FFFFFF"/>
        <w:rPr>
          <w:rFonts w:ascii="Arial" w:eastAsiaTheme="minorEastAsia" w:hAnsi="Arial" w:cs="Arial"/>
          <w:noProof/>
          <w:color w:val="000000"/>
          <w:sz w:val="20"/>
          <w:szCs w:val="20"/>
          <w:lang w:eastAsia="en-CA"/>
        </w:rPr>
      </w:pPr>
    </w:p>
    <w:p w:rsidR="00965AAE" w:rsidRDefault="00965AAE" w:rsidP="00965AAE">
      <w:pPr>
        <w:shd w:val="clear" w:color="auto" w:fill="FFFFFF"/>
        <w:rPr>
          <w:rFonts w:ascii="Arial" w:eastAsiaTheme="minorEastAsia" w:hAnsi="Arial" w:cs="Arial"/>
          <w:b/>
          <w:noProof/>
          <w:color w:val="000000"/>
          <w:sz w:val="20"/>
          <w:szCs w:val="20"/>
          <w:lang w:eastAsia="en-CA"/>
        </w:rPr>
      </w:pPr>
      <w:r>
        <w:rPr>
          <w:rFonts w:ascii="Arial" w:eastAsiaTheme="minorEastAsia" w:hAnsi="Arial" w:cs="Arial"/>
          <w:b/>
          <w:noProof/>
          <w:color w:val="000000"/>
          <w:sz w:val="20"/>
          <w:szCs w:val="20"/>
          <w:lang w:eastAsia="en-CA"/>
        </w:rPr>
        <w:t>Notice</w:t>
      </w:r>
    </w:p>
    <w:p w:rsidR="00965AAE" w:rsidRDefault="00965AAE" w:rsidP="00965AAE">
      <w:pPr>
        <w:shd w:val="clear" w:color="auto" w:fill="FFFFFF"/>
        <w:spacing w:before="100" w:beforeAutospacing="1" w:after="100" w:afterAutospacing="1"/>
        <w:rPr>
          <w:rFonts w:ascii="Arial" w:eastAsiaTheme="minorEastAsia" w:hAnsi="Arial" w:cs="Arial"/>
          <w:noProof/>
          <w:color w:val="000000"/>
          <w:sz w:val="20"/>
          <w:szCs w:val="20"/>
          <w:lang w:eastAsia="en-CA"/>
        </w:rPr>
      </w:pPr>
      <w:r>
        <w:rPr>
          <w:rFonts w:ascii="Arial" w:eastAsiaTheme="minorEastAsia" w:hAnsi="Arial" w:cs="Arial"/>
          <w:noProof/>
          <w:color w:val="000000"/>
          <w:sz w:val="20"/>
          <w:szCs w:val="20"/>
          <w:lang w:eastAsia="en-CA"/>
        </w:rPr>
        <w:t>This communication may be solicitor/client privileged and contain confidential information only intended for the person(s) to whom it is addressed.  Any dissemination or use of this information by others than the intended recipient(s) is prohibited.  If you have received this message in error please notify the writer and permanently delete the message and all attachments.  Thank you.</w:t>
      </w:r>
    </w:p>
    <w:p w:rsidR="00965AAE" w:rsidRDefault="00965AAE" w:rsidP="00965AAE">
      <w:pPr>
        <w:shd w:val="clear" w:color="auto" w:fill="FFFFFF"/>
        <w:spacing w:before="100" w:beforeAutospacing="1" w:after="100" w:afterAutospacing="1"/>
        <w:rPr>
          <w:rFonts w:ascii="Times New Roman" w:eastAsiaTheme="minorEastAsia" w:hAnsi="Times New Roman" w:cs="Times New Roman"/>
          <w:noProof/>
          <w:color w:val="000000"/>
          <w:sz w:val="24"/>
          <w:szCs w:val="24"/>
          <w:lang w:eastAsia="en-CA"/>
        </w:rPr>
      </w:pPr>
    </w:p>
    <w:p w:rsidR="00965AAE" w:rsidRDefault="00965AAE" w:rsidP="00965AAE">
      <w:pPr>
        <w:rPr>
          <w:rFonts w:eastAsiaTheme="minorEastAsia" w:cs="Times New Roman"/>
          <w:noProof/>
          <w:lang w:eastAsia="en-CA"/>
        </w:rPr>
      </w:pPr>
    </w:p>
    <w:p w:rsidR="00965AAE" w:rsidRDefault="00965AAE" w:rsidP="00965AAE">
      <w:pPr>
        <w:rPr>
          <w:rFonts w:eastAsiaTheme="minorEastAsia" w:cs="Times New Roman"/>
          <w:noProof/>
          <w:lang w:eastAsia="en-CA"/>
        </w:rPr>
      </w:pPr>
    </w:p>
    <w:bookmarkEnd w:id="1"/>
    <w:p w:rsidR="00965AAE" w:rsidRDefault="00965AAE" w:rsidP="00965AAE"/>
    <w:p w:rsidR="00965AAE" w:rsidRDefault="00965AAE"/>
    <w:sectPr w:rsidR="00965A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AAE"/>
    <w:rsid w:val="006A73F8"/>
    <w:rsid w:val="00963931"/>
    <w:rsid w:val="00965AA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AA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65AA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AA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65A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6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mes.rehob@ontario.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1997</Words>
  <Characters>11388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13359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Rehob, James (ENERGY)</dc:creator>
  <cp:lastModifiedBy>Rehob, James (ENERGY)</cp:lastModifiedBy>
  <cp:revision>1</cp:revision>
  <dcterms:created xsi:type="dcterms:W3CDTF">2017-05-24T17:26:00Z</dcterms:created>
  <dcterms:modified xsi:type="dcterms:W3CDTF">2017-05-25T21:10:00Z</dcterms:modified>
</cp:coreProperties>
</file>