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4F77" w:rsidRDefault="00AA4F77" w:rsidP="00AA4F77">
      <w:pPr>
        <w:rPr>
          <w:b/>
          <w:u w:val="single"/>
        </w:rPr>
      </w:pPr>
      <w:r w:rsidRPr="00AA4F77">
        <w:rPr>
          <w:b/>
        </w:rPr>
        <w:t>CONFIDENTAL</w:t>
      </w:r>
      <w:r>
        <w:rPr>
          <w:b/>
        </w:rPr>
        <w:tab/>
      </w:r>
      <w:r>
        <w:rPr>
          <w:b/>
        </w:rPr>
        <w:tab/>
      </w:r>
      <w:r>
        <w:rPr>
          <w:b/>
        </w:rPr>
        <w:tab/>
      </w:r>
      <w:r>
        <w:rPr>
          <w:b/>
        </w:rPr>
        <w:tab/>
      </w:r>
      <w:r>
        <w:rPr>
          <w:b/>
        </w:rPr>
        <w:tab/>
      </w:r>
      <w:r>
        <w:rPr>
          <w:b/>
        </w:rPr>
        <w:tab/>
      </w:r>
      <w:r>
        <w:rPr>
          <w:b/>
        </w:rPr>
        <w:tab/>
      </w:r>
      <w:r>
        <w:rPr>
          <w:b/>
        </w:rPr>
        <w:tab/>
      </w:r>
      <w:r>
        <w:rPr>
          <w:b/>
        </w:rPr>
        <w:tab/>
      </w:r>
      <w:r>
        <w:rPr>
          <w:b/>
        </w:rPr>
        <w:tab/>
      </w:r>
      <w:r w:rsidRPr="00AA4F77">
        <w:rPr>
          <w:b/>
        </w:rPr>
        <w:t>Feb 21, 2017</w:t>
      </w:r>
    </w:p>
    <w:p w:rsidR="00AA4F77" w:rsidRDefault="00AA4F77" w:rsidP="00AA4F77">
      <w:pPr>
        <w:jc w:val="center"/>
        <w:rPr>
          <w:b/>
        </w:rPr>
      </w:pPr>
      <w:r w:rsidRPr="00AA4F77">
        <w:rPr>
          <w:b/>
          <w:sz w:val="28"/>
          <w:szCs w:val="28"/>
        </w:rPr>
        <w:t>Ontario Power Generation</w:t>
      </w:r>
    </w:p>
    <w:p w:rsidR="005467F1" w:rsidRPr="00AA4F77" w:rsidRDefault="0001678C" w:rsidP="00AA4F77">
      <w:pPr>
        <w:jc w:val="center"/>
        <w:rPr>
          <w:b/>
          <w:sz w:val="28"/>
          <w:szCs w:val="28"/>
        </w:rPr>
      </w:pPr>
      <w:r w:rsidRPr="00AA4F77">
        <w:rPr>
          <w:b/>
          <w:sz w:val="28"/>
          <w:szCs w:val="28"/>
        </w:rPr>
        <w:t>Terms necessary f</w:t>
      </w:r>
      <w:r w:rsidR="00AA4F77" w:rsidRPr="00AA4F77">
        <w:rPr>
          <w:b/>
          <w:sz w:val="28"/>
          <w:szCs w:val="28"/>
        </w:rPr>
        <w:t xml:space="preserve">or OPG to consolidate the </w:t>
      </w:r>
      <w:r w:rsidR="00AA4F77">
        <w:rPr>
          <w:b/>
          <w:sz w:val="28"/>
          <w:szCs w:val="28"/>
        </w:rPr>
        <w:t xml:space="preserve">Global Adjustment </w:t>
      </w:r>
      <w:r w:rsidR="00AA4F77" w:rsidRPr="00AA4F77">
        <w:rPr>
          <w:b/>
          <w:sz w:val="28"/>
          <w:szCs w:val="28"/>
        </w:rPr>
        <w:t>Trust</w:t>
      </w:r>
    </w:p>
    <w:p w:rsidR="008C27CC" w:rsidRDefault="008C27CC" w:rsidP="00AA4F77">
      <w:pPr>
        <w:pStyle w:val="ListParagraph"/>
        <w:ind w:left="0"/>
        <w:jc w:val="center"/>
        <w:rPr>
          <w:rFonts w:ascii="Arial" w:hAnsi="Arial" w:cs="Arial"/>
          <w:sz w:val="20"/>
          <w:szCs w:val="20"/>
        </w:rPr>
      </w:pPr>
    </w:p>
    <w:tbl>
      <w:tblPr>
        <w:tblStyle w:val="TableGrid"/>
        <w:tblW w:w="0" w:type="auto"/>
        <w:tblLook w:val="04A0"/>
      </w:tblPr>
      <w:tblGrid>
        <w:gridCol w:w="1246"/>
        <w:gridCol w:w="662"/>
        <w:gridCol w:w="7010"/>
      </w:tblGrid>
      <w:tr w:rsidR="00B57C11" w:rsidRPr="008C27CC" w:rsidTr="00BB3256">
        <w:tc>
          <w:tcPr>
            <w:tcW w:w="1246" w:type="dxa"/>
            <w:shd w:val="clear" w:color="auto" w:fill="FFC000"/>
          </w:tcPr>
          <w:p w:rsidR="00B57C11" w:rsidRPr="008C27CC" w:rsidRDefault="00B57C11" w:rsidP="00BB3256">
            <w:pPr>
              <w:pStyle w:val="ListParagraph"/>
              <w:ind w:left="0"/>
              <w:jc w:val="center"/>
              <w:rPr>
                <w:rFonts w:ascii="Arial" w:hAnsi="Arial" w:cs="Arial"/>
                <w:b/>
                <w:sz w:val="20"/>
                <w:szCs w:val="20"/>
              </w:rPr>
            </w:pPr>
            <w:r w:rsidRPr="008C27CC">
              <w:rPr>
                <w:rFonts w:ascii="Arial" w:hAnsi="Arial" w:cs="Arial"/>
                <w:b/>
                <w:sz w:val="20"/>
                <w:szCs w:val="20"/>
              </w:rPr>
              <w:t>Issue</w:t>
            </w:r>
          </w:p>
        </w:tc>
        <w:tc>
          <w:tcPr>
            <w:tcW w:w="662" w:type="dxa"/>
            <w:shd w:val="clear" w:color="auto" w:fill="FFC000"/>
          </w:tcPr>
          <w:p w:rsidR="00B57C11" w:rsidRPr="008C27CC" w:rsidRDefault="00B57C11" w:rsidP="00BB3256">
            <w:pPr>
              <w:pStyle w:val="ListParagraph"/>
              <w:ind w:left="0"/>
              <w:jc w:val="center"/>
              <w:rPr>
                <w:rFonts w:ascii="Arial" w:hAnsi="Arial" w:cs="Arial"/>
                <w:b/>
                <w:sz w:val="20"/>
                <w:szCs w:val="20"/>
              </w:rPr>
            </w:pPr>
            <w:r>
              <w:rPr>
                <w:rFonts w:ascii="Arial" w:hAnsi="Arial" w:cs="Arial"/>
                <w:b/>
                <w:sz w:val="20"/>
                <w:szCs w:val="20"/>
              </w:rPr>
              <w:t>No.</w:t>
            </w:r>
          </w:p>
        </w:tc>
        <w:tc>
          <w:tcPr>
            <w:tcW w:w="7010" w:type="dxa"/>
            <w:shd w:val="clear" w:color="auto" w:fill="FFC000"/>
          </w:tcPr>
          <w:p w:rsidR="00B57C11" w:rsidRPr="008C27CC" w:rsidRDefault="00B57C11" w:rsidP="00BB3256">
            <w:pPr>
              <w:pStyle w:val="ListParagraph"/>
              <w:ind w:left="0"/>
              <w:jc w:val="center"/>
              <w:rPr>
                <w:rFonts w:ascii="Arial" w:hAnsi="Arial" w:cs="Arial"/>
                <w:b/>
                <w:sz w:val="20"/>
                <w:szCs w:val="20"/>
              </w:rPr>
            </w:pPr>
            <w:r w:rsidRPr="008C27CC">
              <w:rPr>
                <w:rFonts w:ascii="Arial" w:hAnsi="Arial" w:cs="Arial"/>
                <w:b/>
                <w:sz w:val="20"/>
                <w:szCs w:val="20"/>
              </w:rPr>
              <w:t>Requirements</w:t>
            </w:r>
          </w:p>
        </w:tc>
      </w:tr>
      <w:tr w:rsidR="00B57C11" w:rsidTr="00BB3256">
        <w:tc>
          <w:tcPr>
            <w:tcW w:w="1246" w:type="dxa"/>
          </w:tcPr>
          <w:p w:rsidR="00B57C11" w:rsidRDefault="00B57C11" w:rsidP="008C27CC">
            <w:pPr>
              <w:pStyle w:val="ListParagraph"/>
              <w:ind w:left="0"/>
              <w:rPr>
                <w:rFonts w:ascii="Arial" w:hAnsi="Arial" w:cs="Arial"/>
                <w:sz w:val="20"/>
                <w:szCs w:val="20"/>
              </w:rPr>
            </w:pPr>
            <w:r>
              <w:rPr>
                <w:rFonts w:ascii="Arial" w:hAnsi="Arial" w:cs="Arial"/>
                <w:sz w:val="20"/>
                <w:szCs w:val="20"/>
              </w:rPr>
              <w:t>Directive</w:t>
            </w:r>
          </w:p>
          <w:p w:rsidR="00B57C11" w:rsidRDefault="00B57C11" w:rsidP="008C27CC">
            <w:pPr>
              <w:pStyle w:val="ListParagraph"/>
              <w:ind w:left="0"/>
              <w:rPr>
                <w:rFonts w:ascii="Arial" w:hAnsi="Arial" w:cs="Arial"/>
                <w:sz w:val="20"/>
                <w:szCs w:val="20"/>
              </w:rPr>
            </w:pPr>
          </w:p>
          <w:p w:rsidR="00B57C11" w:rsidRDefault="00B57C11" w:rsidP="008C27CC">
            <w:pPr>
              <w:pStyle w:val="ListParagraph"/>
              <w:ind w:left="0"/>
              <w:rPr>
                <w:rFonts w:ascii="Arial" w:hAnsi="Arial" w:cs="Arial"/>
                <w:sz w:val="20"/>
                <w:szCs w:val="20"/>
              </w:rPr>
            </w:pPr>
          </w:p>
        </w:tc>
        <w:tc>
          <w:tcPr>
            <w:tcW w:w="662" w:type="dxa"/>
          </w:tcPr>
          <w:p w:rsidR="00B57C11" w:rsidRPr="0022405D" w:rsidRDefault="00B57C11" w:rsidP="008C27CC">
            <w:pPr>
              <w:pStyle w:val="ListParagraph"/>
              <w:ind w:left="0"/>
              <w:rPr>
                <w:rFonts w:ascii="Arial" w:hAnsi="Arial" w:cs="Arial"/>
                <w:sz w:val="20"/>
                <w:szCs w:val="20"/>
              </w:rPr>
            </w:pPr>
            <w:r>
              <w:rPr>
                <w:rFonts w:ascii="Arial" w:hAnsi="Arial" w:cs="Arial"/>
                <w:sz w:val="20"/>
                <w:szCs w:val="20"/>
              </w:rPr>
              <w:t>1</w:t>
            </w:r>
          </w:p>
        </w:tc>
        <w:tc>
          <w:tcPr>
            <w:tcW w:w="7010" w:type="dxa"/>
          </w:tcPr>
          <w:p w:rsidR="00B57C11" w:rsidRDefault="00B57C11" w:rsidP="008C27CC">
            <w:pPr>
              <w:pStyle w:val="ListParagraph"/>
              <w:ind w:left="0"/>
              <w:rPr>
                <w:rFonts w:ascii="Arial" w:hAnsi="Arial" w:cs="Arial"/>
                <w:sz w:val="20"/>
                <w:szCs w:val="20"/>
              </w:rPr>
            </w:pPr>
            <w:r w:rsidRPr="0022405D">
              <w:rPr>
                <w:rFonts w:ascii="Arial" w:hAnsi="Arial" w:cs="Arial"/>
                <w:sz w:val="20"/>
                <w:szCs w:val="20"/>
              </w:rPr>
              <w:t>The Trust must be undertaken by OPG as a business initiative</w:t>
            </w:r>
            <w:r>
              <w:rPr>
                <w:rFonts w:ascii="Arial" w:hAnsi="Arial" w:cs="Arial"/>
                <w:sz w:val="20"/>
                <w:szCs w:val="20"/>
              </w:rPr>
              <w:t xml:space="preserve"> on its merits.  A Shareholder Directive is to be limited to direct OPG to investigate the option of establishing a Trust vehicle to administer, finance and operate the Global Adjustment plan and the operation of that Trust and the control, risk and rewards of that Trust will determine its consolidation into OPG as a business enterprise</w:t>
            </w:r>
          </w:p>
          <w:p w:rsidR="00B57C11" w:rsidRDefault="00B57C11" w:rsidP="008C27CC">
            <w:pPr>
              <w:pStyle w:val="ListParagraph"/>
              <w:ind w:left="0"/>
              <w:rPr>
                <w:rFonts w:ascii="Arial" w:hAnsi="Arial" w:cs="Arial"/>
                <w:sz w:val="20"/>
                <w:szCs w:val="20"/>
              </w:rPr>
            </w:pPr>
          </w:p>
        </w:tc>
      </w:tr>
      <w:tr w:rsidR="00B57C11" w:rsidTr="00BB3256">
        <w:tc>
          <w:tcPr>
            <w:tcW w:w="1246" w:type="dxa"/>
            <w:vMerge w:val="restart"/>
          </w:tcPr>
          <w:p w:rsidR="00B57C11" w:rsidRDefault="00B57C11" w:rsidP="008C27CC">
            <w:pPr>
              <w:pStyle w:val="ListParagraph"/>
              <w:ind w:left="0"/>
              <w:rPr>
                <w:rFonts w:ascii="Arial" w:hAnsi="Arial" w:cs="Arial"/>
                <w:sz w:val="20"/>
                <w:szCs w:val="20"/>
              </w:rPr>
            </w:pPr>
            <w:r>
              <w:rPr>
                <w:rFonts w:ascii="Arial" w:hAnsi="Arial" w:cs="Arial"/>
                <w:sz w:val="20"/>
                <w:szCs w:val="20"/>
              </w:rPr>
              <w:t>Trust</w:t>
            </w:r>
          </w:p>
        </w:tc>
        <w:tc>
          <w:tcPr>
            <w:tcW w:w="662" w:type="dxa"/>
          </w:tcPr>
          <w:p w:rsidR="00B57C11" w:rsidRPr="008C27CC" w:rsidRDefault="00B57C11" w:rsidP="008C27CC">
            <w:pPr>
              <w:rPr>
                <w:rFonts w:ascii="Arial" w:hAnsi="Arial" w:cs="Arial"/>
                <w:sz w:val="20"/>
                <w:szCs w:val="20"/>
              </w:rPr>
            </w:pPr>
            <w:r>
              <w:rPr>
                <w:rFonts w:ascii="Arial" w:hAnsi="Arial" w:cs="Arial"/>
                <w:sz w:val="20"/>
                <w:szCs w:val="20"/>
              </w:rPr>
              <w:t>2</w:t>
            </w:r>
          </w:p>
        </w:tc>
        <w:tc>
          <w:tcPr>
            <w:tcW w:w="7010" w:type="dxa"/>
          </w:tcPr>
          <w:p w:rsidR="00B57C11" w:rsidRPr="008C27CC" w:rsidRDefault="00B57C11" w:rsidP="008C27CC">
            <w:pPr>
              <w:rPr>
                <w:rFonts w:ascii="Arial" w:hAnsi="Arial" w:cs="Arial"/>
                <w:sz w:val="20"/>
                <w:szCs w:val="20"/>
              </w:rPr>
            </w:pPr>
            <w:r w:rsidRPr="008C27CC">
              <w:rPr>
                <w:rFonts w:ascii="Arial" w:hAnsi="Arial" w:cs="Arial"/>
                <w:sz w:val="20"/>
                <w:szCs w:val="20"/>
              </w:rPr>
              <w:t>The Trust should not operate in a predetermined way such that OPG does not have decision-making authority over the Trust’s ongoing activities after its formation (i.e. should not operate on ‘autopilot’).</w:t>
            </w:r>
          </w:p>
          <w:p w:rsidR="00B57C11" w:rsidRDefault="00B57C11" w:rsidP="008C27CC">
            <w:pPr>
              <w:pStyle w:val="ListParagraph"/>
              <w:ind w:left="0"/>
              <w:rPr>
                <w:rFonts w:ascii="Arial" w:hAnsi="Arial" w:cs="Arial"/>
                <w:sz w:val="20"/>
                <w:szCs w:val="20"/>
              </w:rPr>
            </w:pPr>
          </w:p>
        </w:tc>
      </w:tr>
      <w:tr w:rsidR="00B57C11" w:rsidTr="00BB3256">
        <w:tc>
          <w:tcPr>
            <w:tcW w:w="1246" w:type="dxa"/>
            <w:vMerge/>
          </w:tcPr>
          <w:p w:rsidR="00B57C11" w:rsidRDefault="00B57C11" w:rsidP="008C27CC">
            <w:pPr>
              <w:pStyle w:val="ListParagraph"/>
              <w:ind w:left="0"/>
              <w:rPr>
                <w:rFonts w:ascii="Arial" w:hAnsi="Arial" w:cs="Arial"/>
                <w:sz w:val="20"/>
                <w:szCs w:val="20"/>
              </w:rPr>
            </w:pPr>
          </w:p>
        </w:tc>
        <w:tc>
          <w:tcPr>
            <w:tcW w:w="662" w:type="dxa"/>
          </w:tcPr>
          <w:p w:rsidR="00B57C11" w:rsidRPr="008C27CC" w:rsidRDefault="00B57C11" w:rsidP="008C27CC">
            <w:pPr>
              <w:rPr>
                <w:rFonts w:ascii="Arial" w:hAnsi="Arial" w:cs="Arial"/>
                <w:sz w:val="20"/>
                <w:szCs w:val="20"/>
              </w:rPr>
            </w:pPr>
            <w:r>
              <w:rPr>
                <w:rFonts w:ascii="Arial" w:hAnsi="Arial" w:cs="Arial"/>
                <w:sz w:val="20"/>
                <w:szCs w:val="20"/>
              </w:rPr>
              <w:t>3</w:t>
            </w:r>
          </w:p>
        </w:tc>
        <w:tc>
          <w:tcPr>
            <w:tcW w:w="7010" w:type="dxa"/>
          </w:tcPr>
          <w:p w:rsidR="00B57C11" w:rsidRPr="008C27CC" w:rsidRDefault="00B57C11" w:rsidP="008C27CC">
            <w:pPr>
              <w:rPr>
                <w:rFonts w:ascii="Arial" w:hAnsi="Arial" w:cs="Arial"/>
                <w:sz w:val="20"/>
                <w:szCs w:val="20"/>
              </w:rPr>
            </w:pPr>
            <w:r w:rsidRPr="008C27CC">
              <w:rPr>
                <w:rFonts w:ascii="Arial" w:hAnsi="Arial" w:cs="Arial"/>
                <w:sz w:val="20"/>
                <w:szCs w:val="20"/>
              </w:rPr>
              <w:t xml:space="preserve">OPG must have the ability to appoint and remove the Trustee (or Board of Trustees), with no veto right by the Province. </w:t>
            </w:r>
          </w:p>
          <w:p w:rsidR="00B57C11" w:rsidRDefault="00B57C11" w:rsidP="008C27CC">
            <w:pPr>
              <w:pStyle w:val="ListParagraph"/>
              <w:ind w:left="0"/>
              <w:rPr>
                <w:rFonts w:ascii="Arial" w:hAnsi="Arial" w:cs="Arial"/>
                <w:sz w:val="20"/>
                <w:szCs w:val="20"/>
              </w:rPr>
            </w:pPr>
          </w:p>
        </w:tc>
      </w:tr>
      <w:tr w:rsidR="00B57C11" w:rsidTr="00BB3256">
        <w:tc>
          <w:tcPr>
            <w:tcW w:w="1246" w:type="dxa"/>
            <w:vMerge/>
          </w:tcPr>
          <w:p w:rsidR="00B57C11" w:rsidRDefault="00B57C11" w:rsidP="008C27CC">
            <w:pPr>
              <w:pStyle w:val="ListParagraph"/>
              <w:ind w:left="0"/>
              <w:rPr>
                <w:rFonts w:ascii="Arial" w:hAnsi="Arial" w:cs="Arial"/>
                <w:sz w:val="20"/>
                <w:szCs w:val="20"/>
              </w:rPr>
            </w:pPr>
          </w:p>
        </w:tc>
        <w:tc>
          <w:tcPr>
            <w:tcW w:w="662" w:type="dxa"/>
          </w:tcPr>
          <w:p w:rsidR="00B57C11" w:rsidRPr="008C27CC" w:rsidRDefault="00B57C11" w:rsidP="008C27CC">
            <w:pPr>
              <w:rPr>
                <w:rFonts w:ascii="Arial" w:hAnsi="Arial" w:cs="Arial"/>
                <w:sz w:val="20"/>
                <w:szCs w:val="20"/>
              </w:rPr>
            </w:pPr>
            <w:r>
              <w:rPr>
                <w:rFonts w:ascii="Arial" w:hAnsi="Arial" w:cs="Arial"/>
                <w:sz w:val="20"/>
                <w:szCs w:val="20"/>
              </w:rPr>
              <w:t>4</w:t>
            </w:r>
          </w:p>
        </w:tc>
        <w:tc>
          <w:tcPr>
            <w:tcW w:w="7010" w:type="dxa"/>
          </w:tcPr>
          <w:p w:rsidR="00B57C11" w:rsidRPr="008C27CC" w:rsidRDefault="00B57C11" w:rsidP="008C27CC">
            <w:pPr>
              <w:rPr>
                <w:rFonts w:ascii="Arial" w:hAnsi="Arial" w:cs="Arial"/>
                <w:sz w:val="20"/>
                <w:szCs w:val="20"/>
              </w:rPr>
            </w:pPr>
            <w:r w:rsidRPr="008C27CC">
              <w:rPr>
                <w:rFonts w:ascii="Arial" w:hAnsi="Arial" w:cs="Arial"/>
                <w:sz w:val="20"/>
                <w:szCs w:val="20"/>
              </w:rPr>
              <w:t xml:space="preserve">No party shall have the ability to remove OPG from its role and authority in the Trust. </w:t>
            </w:r>
          </w:p>
          <w:p w:rsidR="00B57C11" w:rsidRDefault="00B57C11" w:rsidP="008C27CC">
            <w:pPr>
              <w:pStyle w:val="ListParagraph"/>
              <w:ind w:left="0"/>
              <w:rPr>
                <w:rFonts w:ascii="Arial" w:hAnsi="Arial" w:cs="Arial"/>
                <w:sz w:val="20"/>
                <w:szCs w:val="20"/>
              </w:rPr>
            </w:pPr>
          </w:p>
        </w:tc>
      </w:tr>
      <w:tr w:rsidR="00B57C11" w:rsidTr="00BB3256">
        <w:tc>
          <w:tcPr>
            <w:tcW w:w="1246" w:type="dxa"/>
            <w:vMerge/>
          </w:tcPr>
          <w:p w:rsidR="00B57C11" w:rsidRDefault="00B57C11" w:rsidP="008C27CC">
            <w:pPr>
              <w:pStyle w:val="ListParagraph"/>
              <w:ind w:left="0"/>
              <w:rPr>
                <w:rFonts w:ascii="Arial" w:hAnsi="Arial" w:cs="Arial"/>
                <w:sz w:val="20"/>
                <w:szCs w:val="20"/>
              </w:rPr>
            </w:pPr>
          </w:p>
        </w:tc>
        <w:tc>
          <w:tcPr>
            <w:tcW w:w="662" w:type="dxa"/>
          </w:tcPr>
          <w:p w:rsidR="00B57C11" w:rsidRPr="008C27CC" w:rsidRDefault="00B57C11" w:rsidP="008C27CC">
            <w:pPr>
              <w:rPr>
                <w:rFonts w:ascii="Arial" w:hAnsi="Arial" w:cs="Arial"/>
                <w:sz w:val="20"/>
                <w:szCs w:val="20"/>
              </w:rPr>
            </w:pPr>
            <w:r>
              <w:rPr>
                <w:rFonts w:ascii="Arial" w:hAnsi="Arial" w:cs="Arial"/>
                <w:sz w:val="20"/>
                <w:szCs w:val="20"/>
              </w:rPr>
              <w:t>5</w:t>
            </w:r>
          </w:p>
        </w:tc>
        <w:tc>
          <w:tcPr>
            <w:tcW w:w="7010" w:type="dxa"/>
          </w:tcPr>
          <w:p w:rsidR="00B57C11" w:rsidRPr="008C27CC" w:rsidRDefault="00B57C11" w:rsidP="008C27CC">
            <w:pPr>
              <w:rPr>
                <w:rFonts w:ascii="Arial" w:hAnsi="Arial" w:cs="Arial"/>
                <w:sz w:val="20"/>
                <w:szCs w:val="20"/>
              </w:rPr>
            </w:pPr>
            <w:r w:rsidRPr="008C27CC">
              <w:rPr>
                <w:rFonts w:ascii="Arial" w:hAnsi="Arial" w:cs="Arial"/>
                <w:sz w:val="20"/>
                <w:szCs w:val="20"/>
              </w:rPr>
              <w:t xml:space="preserve">The Province cannot have the right to be able to veto OPG’s decisions about the relevant activities of the Trust.  OPG must have the power over the relevant activities of the Trust and be compensated.  The relevant activities of the Trust include (but are not limited to) the evaluation and decisions on financing alternatives, duration, and the strategy to minimize financing costs. </w:t>
            </w:r>
          </w:p>
          <w:p w:rsidR="00B57C11" w:rsidRDefault="00B57C11" w:rsidP="008C27CC">
            <w:pPr>
              <w:pStyle w:val="ListParagraph"/>
              <w:ind w:left="0"/>
              <w:rPr>
                <w:rFonts w:ascii="Arial" w:hAnsi="Arial" w:cs="Arial"/>
                <w:sz w:val="20"/>
                <w:szCs w:val="20"/>
              </w:rPr>
            </w:pPr>
          </w:p>
        </w:tc>
      </w:tr>
      <w:tr w:rsidR="00B57C11" w:rsidTr="00BB3256">
        <w:tc>
          <w:tcPr>
            <w:tcW w:w="1246" w:type="dxa"/>
            <w:vMerge/>
          </w:tcPr>
          <w:p w:rsidR="00B57C11" w:rsidRDefault="00B57C11" w:rsidP="008C27CC">
            <w:pPr>
              <w:pStyle w:val="ListParagraph"/>
              <w:ind w:left="0"/>
              <w:rPr>
                <w:rFonts w:ascii="Arial" w:hAnsi="Arial" w:cs="Arial"/>
                <w:sz w:val="20"/>
                <w:szCs w:val="20"/>
              </w:rPr>
            </w:pPr>
          </w:p>
        </w:tc>
        <w:tc>
          <w:tcPr>
            <w:tcW w:w="662" w:type="dxa"/>
          </w:tcPr>
          <w:p w:rsidR="00B57C11" w:rsidRPr="008C27CC" w:rsidRDefault="00B57C11" w:rsidP="008C27CC">
            <w:pPr>
              <w:rPr>
                <w:rFonts w:ascii="Arial" w:hAnsi="Arial" w:cs="Arial"/>
                <w:sz w:val="20"/>
                <w:szCs w:val="20"/>
              </w:rPr>
            </w:pPr>
            <w:r>
              <w:rPr>
                <w:rFonts w:ascii="Arial" w:hAnsi="Arial" w:cs="Arial"/>
                <w:sz w:val="20"/>
                <w:szCs w:val="20"/>
              </w:rPr>
              <w:t>6</w:t>
            </w:r>
          </w:p>
        </w:tc>
        <w:tc>
          <w:tcPr>
            <w:tcW w:w="7010" w:type="dxa"/>
          </w:tcPr>
          <w:p w:rsidR="00B57C11" w:rsidRPr="008C27CC" w:rsidRDefault="00B57C11" w:rsidP="008C27CC">
            <w:pPr>
              <w:rPr>
                <w:rFonts w:ascii="Arial" w:hAnsi="Arial" w:cs="Arial"/>
                <w:sz w:val="20"/>
                <w:szCs w:val="20"/>
              </w:rPr>
            </w:pPr>
            <w:r w:rsidRPr="008C27CC">
              <w:rPr>
                <w:rFonts w:ascii="Arial" w:hAnsi="Arial" w:cs="Arial"/>
                <w:sz w:val="20"/>
                <w:szCs w:val="20"/>
              </w:rPr>
              <w:t>OPG must have the power to determine or change operating and financing policies of the Trust, which will affect the variability of risks and returns.</w:t>
            </w:r>
          </w:p>
          <w:p w:rsidR="00B57C11" w:rsidRDefault="00B57C11" w:rsidP="008C27CC">
            <w:pPr>
              <w:pStyle w:val="ListParagraph"/>
              <w:ind w:left="0"/>
              <w:rPr>
                <w:rFonts w:ascii="Arial" w:hAnsi="Arial" w:cs="Arial"/>
                <w:sz w:val="20"/>
                <w:szCs w:val="20"/>
              </w:rPr>
            </w:pPr>
          </w:p>
        </w:tc>
      </w:tr>
      <w:tr w:rsidR="00B57C11" w:rsidTr="00BB3256">
        <w:tc>
          <w:tcPr>
            <w:tcW w:w="1246" w:type="dxa"/>
            <w:vMerge/>
          </w:tcPr>
          <w:p w:rsidR="00B57C11" w:rsidRDefault="00B57C11" w:rsidP="008C27CC">
            <w:pPr>
              <w:pStyle w:val="ListParagraph"/>
              <w:ind w:left="0"/>
              <w:rPr>
                <w:rFonts w:ascii="Arial" w:hAnsi="Arial" w:cs="Arial"/>
                <w:sz w:val="20"/>
                <w:szCs w:val="20"/>
              </w:rPr>
            </w:pPr>
          </w:p>
        </w:tc>
        <w:tc>
          <w:tcPr>
            <w:tcW w:w="662" w:type="dxa"/>
          </w:tcPr>
          <w:p w:rsidR="00B57C11" w:rsidRPr="008C27CC" w:rsidRDefault="00B57C11" w:rsidP="008C27CC">
            <w:pPr>
              <w:rPr>
                <w:rFonts w:ascii="Arial" w:hAnsi="Arial" w:cs="Arial"/>
                <w:sz w:val="20"/>
                <w:szCs w:val="20"/>
              </w:rPr>
            </w:pPr>
            <w:r>
              <w:rPr>
                <w:rFonts w:ascii="Arial" w:hAnsi="Arial" w:cs="Arial"/>
                <w:sz w:val="20"/>
                <w:szCs w:val="20"/>
              </w:rPr>
              <w:t>7</w:t>
            </w:r>
          </w:p>
        </w:tc>
        <w:tc>
          <w:tcPr>
            <w:tcW w:w="7010" w:type="dxa"/>
          </w:tcPr>
          <w:p w:rsidR="00B57C11" w:rsidRPr="008C27CC" w:rsidRDefault="00B57C11" w:rsidP="008C27CC">
            <w:pPr>
              <w:rPr>
                <w:rFonts w:ascii="Arial" w:hAnsi="Arial" w:cs="Arial"/>
                <w:sz w:val="20"/>
                <w:szCs w:val="20"/>
              </w:rPr>
            </w:pPr>
            <w:r w:rsidRPr="008C27CC">
              <w:rPr>
                <w:rFonts w:ascii="Arial" w:hAnsi="Arial" w:cs="Arial"/>
                <w:sz w:val="20"/>
                <w:szCs w:val="20"/>
              </w:rPr>
              <w:t>OPG must have the power to establish operating and capital budgets of the Trust.</w:t>
            </w:r>
          </w:p>
          <w:p w:rsidR="00B57C11" w:rsidRDefault="00B57C11" w:rsidP="008C27CC">
            <w:pPr>
              <w:pStyle w:val="ListParagraph"/>
              <w:ind w:left="0"/>
              <w:rPr>
                <w:rFonts w:ascii="Arial" w:hAnsi="Arial" w:cs="Arial"/>
                <w:sz w:val="20"/>
                <w:szCs w:val="20"/>
              </w:rPr>
            </w:pPr>
          </w:p>
        </w:tc>
      </w:tr>
      <w:tr w:rsidR="00B57C11" w:rsidTr="00BB3256">
        <w:tc>
          <w:tcPr>
            <w:tcW w:w="1246" w:type="dxa"/>
            <w:vMerge/>
          </w:tcPr>
          <w:p w:rsidR="00B57C11" w:rsidRDefault="00B57C11" w:rsidP="008C27CC">
            <w:pPr>
              <w:pStyle w:val="ListParagraph"/>
              <w:ind w:left="0"/>
              <w:rPr>
                <w:rFonts w:ascii="Arial" w:hAnsi="Arial" w:cs="Arial"/>
                <w:sz w:val="20"/>
                <w:szCs w:val="20"/>
              </w:rPr>
            </w:pPr>
          </w:p>
        </w:tc>
        <w:tc>
          <w:tcPr>
            <w:tcW w:w="662" w:type="dxa"/>
          </w:tcPr>
          <w:p w:rsidR="00B57C11" w:rsidRPr="008C27CC" w:rsidRDefault="00B57C11" w:rsidP="008C27CC">
            <w:pPr>
              <w:rPr>
                <w:rFonts w:ascii="Arial" w:hAnsi="Arial" w:cs="Arial"/>
                <w:sz w:val="20"/>
                <w:szCs w:val="20"/>
              </w:rPr>
            </w:pPr>
            <w:r>
              <w:rPr>
                <w:rFonts w:ascii="Arial" w:hAnsi="Arial" w:cs="Arial"/>
                <w:sz w:val="20"/>
                <w:szCs w:val="20"/>
              </w:rPr>
              <w:t>8</w:t>
            </w:r>
          </w:p>
        </w:tc>
        <w:tc>
          <w:tcPr>
            <w:tcW w:w="7010" w:type="dxa"/>
          </w:tcPr>
          <w:p w:rsidR="00B57C11" w:rsidRPr="008C27CC" w:rsidRDefault="00B57C11" w:rsidP="008C27CC">
            <w:pPr>
              <w:rPr>
                <w:rFonts w:ascii="Arial" w:hAnsi="Arial" w:cs="Arial"/>
                <w:sz w:val="20"/>
                <w:szCs w:val="20"/>
              </w:rPr>
            </w:pPr>
            <w:r w:rsidRPr="008C27CC">
              <w:rPr>
                <w:rFonts w:ascii="Arial" w:hAnsi="Arial" w:cs="Arial"/>
                <w:sz w:val="20"/>
                <w:szCs w:val="20"/>
              </w:rPr>
              <w:t>The Province or its agencies must not directly or indirectly fund (through debt or equity) more than 50% of the following:</w:t>
            </w:r>
          </w:p>
          <w:p w:rsidR="00B57C11" w:rsidRDefault="00B57C11" w:rsidP="008C27CC">
            <w:pPr>
              <w:pStyle w:val="ListParagraph"/>
              <w:numPr>
                <w:ilvl w:val="1"/>
                <w:numId w:val="1"/>
              </w:numPr>
              <w:rPr>
                <w:rFonts w:ascii="Arial" w:hAnsi="Arial" w:cs="Arial"/>
                <w:sz w:val="20"/>
                <w:szCs w:val="20"/>
              </w:rPr>
            </w:pPr>
            <w:r>
              <w:rPr>
                <w:rFonts w:ascii="Arial" w:hAnsi="Arial" w:cs="Arial"/>
                <w:sz w:val="20"/>
                <w:szCs w:val="20"/>
              </w:rPr>
              <w:t>The Trust</w:t>
            </w:r>
          </w:p>
          <w:p w:rsidR="00B57C11" w:rsidRDefault="00B57C11" w:rsidP="008C27CC">
            <w:pPr>
              <w:pStyle w:val="ListParagraph"/>
              <w:numPr>
                <w:ilvl w:val="1"/>
                <w:numId w:val="1"/>
              </w:numPr>
              <w:rPr>
                <w:rFonts w:ascii="Arial" w:hAnsi="Arial" w:cs="Arial"/>
                <w:sz w:val="20"/>
                <w:szCs w:val="20"/>
              </w:rPr>
            </w:pPr>
            <w:r>
              <w:rPr>
                <w:rFonts w:ascii="Arial" w:hAnsi="Arial" w:cs="Arial"/>
                <w:sz w:val="20"/>
                <w:szCs w:val="20"/>
              </w:rPr>
              <w:t>Any of OPG’s investments in the Trust</w:t>
            </w:r>
          </w:p>
          <w:p w:rsidR="00B57C11" w:rsidRDefault="00B57C11" w:rsidP="008C27CC">
            <w:pPr>
              <w:pStyle w:val="ListParagraph"/>
              <w:numPr>
                <w:ilvl w:val="1"/>
                <w:numId w:val="1"/>
              </w:numPr>
              <w:rPr>
                <w:rFonts w:ascii="Arial" w:hAnsi="Arial" w:cs="Arial"/>
                <w:sz w:val="20"/>
                <w:szCs w:val="20"/>
              </w:rPr>
            </w:pPr>
            <w:r>
              <w:rPr>
                <w:rFonts w:ascii="Arial" w:hAnsi="Arial" w:cs="Arial"/>
                <w:sz w:val="20"/>
                <w:szCs w:val="20"/>
              </w:rPr>
              <w:t xml:space="preserve">The most subordinated debt of the Trust </w:t>
            </w:r>
          </w:p>
          <w:p w:rsidR="00B57C11" w:rsidRDefault="00B57C11" w:rsidP="008C27CC">
            <w:pPr>
              <w:pStyle w:val="ListParagraph"/>
              <w:ind w:left="0"/>
              <w:rPr>
                <w:rFonts w:ascii="Arial" w:hAnsi="Arial" w:cs="Arial"/>
                <w:sz w:val="20"/>
                <w:szCs w:val="20"/>
              </w:rPr>
            </w:pPr>
          </w:p>
        </w:tc>
      </w:tr>
      <w:tr w:rsidR="00B57C11" w:rsidTr="00BB3256">
        <w:tc>
          <w:tcPr>
            <w:tcW w:w="1246" w:type="dxa"/>
            <w:vMerge/>
          </w:tcPr>
          <w:p w:rsidR="00B57C11" w:rsidRDefault="00B57C11" w:rsidP="008C27CC">
            <w:pPr>
              <w:pStyle w:val="ListParagraph"/>
              <w:ind w:left="0"/>
              <w:rPr>
                <w:rFonts w:ascii="Arial" w:hAnsi="Arial" w:cs="Arial"/>
                <w:sz w:val="20"/>
                <w:szCs w:val="20"/>
              </w:rPr>
            </w:pPr>
          </w:p>
        </w:tc>
        <w:tc>
          <w:tcPr>
            <w:tcW w:w="662" w:type="dxa"/>
          </w:tcPr>
          <w:p w:rsidR="00B57C11" w:rsidRPr="008C27CC" w:rsidRDefault="00B57C11" w:rsidP="008C27CC">
            <w:pPr>
              <w:rPr>
                <w:rFonts w:ascii="Arial" w:hAnsi="Arial" w:cs="Arial"/>
                <w:sz w:val="20"/>
                <w:szCs w:val="20"/>
              </w:rPr>
            </w:pPr>
            <w:r>
              <w:rPr>
                <w:rFonts w:ascii="Arial" w:hAnsi="Arial" w:cs="Arial"/>
                <w:sz w:val="20"/>
                <w:szCs w:val="20"/>
              </w:rPr>
              <w:t>9</w:t>
            </w:r>
          </w:p>
        </w:tc>
        <w:tc>
          <w:tcPr>
            <w:tcW w:w="7010" w:type="dxa"/>
          </w:tcPr>
          <w:p w:rsidR="00B57C11" w:rsidRPr="008C27CC" w:rsidRDefault="00B57C11" w:rsidP="008C27CC">
            <w:pPr>
              <w:rPr>
                <w:rFonts w:ascii="Arial" w:hAnsi="Arial" w:cs="Arial"/>
                <w:sz w:val="20"/>
                <w:szCs w:val="20"/>
              </w:rPr>
            </w:pPr>
            <w:r w:rsidRPr="008C27CC">
              <w:rPr>
                <w:rFonts w:ascii="Arial" w:hAnsi="Arial" w:cs="Arial"/>
                <w:sz w:val="20"/>
                <w:szCs w:val="20"/>
              </w:rPr>
              <w:t xml:space="preserve">OPG must own greater than 50% of the most subordinated debt and must be no less than 5% of the subordinated debt of the Trust.  Such ownership must be financed entirely by OPG through operating cash flows or external debt, without assistance from Provincial sources. </w:t>
            </w:r>
          </w:p>
          <w:p w:rsidR="00B57C11" w:rsidRDefault="00B57C11" w:rsidP="008C27CC">
            <w:pPr>
              <w:pStyle w:val="ListParagraph"/>
              <w:ind w:left="0"/>
              <w:rPr>
                <w:rFonts w:ascii="Arial" w:hAnsi="Arial" w:cs="Arial"/>
                <w:sz w:val="20"/>
                <w:szCs w:val="20"/>
              </w:rPr>
            </w:pPr>
          </w:p>
        </w:tc>
      </w:tr>
      <w:tr w:rsidR="00B57C11" w:rsidTr="00BB3256">
        <w:tc>
          <w:tcPr>
            <w:tcW w:w="1246" w:type="dxa"/>
            <w:vMerge/>
          </w:tcPr>
          <w:p w:rsidR="00B57C11" w:rsidRDefault="00B57C11" w:rsidP="008C27CC">
            <w:pPr>
              <w:pStyle w:val="ListParagraph"/>
              <w:ind w:left="0"/>
              <w:rPr>
                <w:rFonts w:ascii="Arial" w:hAnsi="Arial" w:cs="Arial"/>
                <w:sz w:val="20"/>
                <w:szCs w:val="20"/>
              </w:rPr>
            </w:pPr>
          </w:p>
        </w:tc>
        <w:tc>
          <w:tcPr>
            <w:tcW w:w="662" w:type="dxa"/>
          </w:tcPr>
          <w:p w:rsidR="00B57C11" w:rsidRPr="008C27CC" w:rsidRDefault="00B57C11" w:rsidP="008C27CC">
            <w:pPr>
              <w:rPr>
                <w:rFonts w:ascii="Arial" w:hAnsi="Arial" w:cs="Arial"/>
                <w:sz w:val="20"/>
                <w:szCs w:val="20"/>
              </w:rPr>
            </w:pPr>
            <w:r>
              <w:rPr>
                <w:rFonts w:ascii="Arial" w:hAnsi="Arial" w:cs="Arial"/>
                <w:sz w:val="20"/>
                <w:szCs w:val="20"/>
              </w:rPr>
              <w:t>10</w:t>
            </w:r>
          </w:p>
        </w:tc>
        <w:tc>
          <w:tcPr>
            <w:tcW w:w="7010" w:type="dxa"/>
          </w:tcPr>
          <w:p w:rsidR="00B57C11" w:rsidRPr="008C27CC" w:rsidRDefault="00B57C11" w:rsidP="008C27CC">
            <w:pPr>
              <w:rPr>
                <w:rFonts w:ascii="Arial" w:hAnsi="Arial" w:cs="Arial"/>
                <w:sz w:val="20"/>
                <w:szCs w:val="20"/>
              </w:rPr>
            </w:pPr>
            <w:r w:rsidRPr="008C27CC">
              <w:rPr>
                <w:rFonts w:ascii="Arial" w:hAnsi="Arial" w:cs="Arial"/>
                <w:sz w:val="20"/>
                <w:szCs w:val="20"/>
              </w:rPr>
              <w:t>OPG must have the ability to earn variable returns by exercising its authority, which shall be accomplished as follows:</w:t>
            </w:r>
          </w:p>
          <w:p w:rsidR="00B57C11" w:rsidRDefault="00986A1E" w:rsidP="00986A1E">
            <w:pPr>
              <w:pStyle w:val="ListParagraph"/>
              <w:numPr>
                <w:ilvl w:val="0"/>
                <w:numId w:val="5"/>
              </w:numPr>
              <w:rPr>
                <w:rFonts w:ascii="Arial" w:hAnsi="Arial" w:cs="Arial"/>
                <w:sz w:val="20"/>
                <w:szCs w:val="20"/>
              </w:rPr>
            </w:pPr>
            <w:r>
              <w:rPr>
                <w:rFonts w:ascii="Arial" w:hAnsi="Arial" w:cs="Arial"/>
                <w:sz w:val="20"/>
                <w:szCs w:val="20"/>
              </w:rPr>
              <w:t xml:space="preserve"> </w:t>
            </w:r>
            <w:r w:rsidR="00B57C11" w:rsidRPr="00986A1E">
              <w:rPr>
                <w:rFonts w:ascii="Arial" w:hAnsi="Arial" w:cs="Arial"/>
                <w:sz w:val="20"/>
                <w:szCs w:val="20"/>
              </w:rPr>
              <w:t>The cash flow from the restructured asset shall include interest determined based on a relevant benchmark that is appropriate relative to the restructured asset, plus an appropriate margin consistent with the relevant market and other risks</w:t>
            </w:r>
          </w:p>
          <w:p w:rsidR="00986A1E" w:rsidRPr="00986A1E" w:rsidRDefault="00986A1E" w:rsidP="00986A1E">
            <w:pPr>
              <w:pStyle w:val="ListParagraph"/>
              <w:ind w:left="1080"/>
              <w:rPr>
                <w:rFonts w:ascii="Arial" w:hAnsi="Arial" w:cs="Arial"/>
                <w:sz w:val="20"/>
                <w:szCs w:val="20"/>
              </w:rPr>
            </w:pPr>
          </w:p>
          <w:p w:rsidR="00B57C11" w:rsidRDefault="00B57C11" w:rsidP="00986A1E">
            <w:pPr>
              <w:pStyle w:val="ListParagraph"/>
              <w:numPr>
                <w:ilvl w:val="0"/>
                <w:numId w:val="5"/>
              </w:numPr>
              <w:rPr>
                <w:rFonts w:ascii="Arial" w:hAnsi="Arial" w:cs="Arial"/>
                <w:sz w:val="20"/>
                <w:szCs w:val="20"/>
              </w:rPr>
            </w:pPr>
            <w:r w:rsidRPr="00986A1E">
              <w:rPr>
                <w:rFonts w:ascii="Arial" w:hAnsi="Arial" w:cs="Arial"/>
                <w:sz w:val="20"/>
                <w:szCs w:val="20"/>
              </w:rPr>
              <w:t xml:space="preserve">OPG shall have the authority to determine the financing strategy, which will vary the financing costs with the objective of enabling the Trust to achieve a more favourable return compared to the benchmark for interest on the restructured asset </w:t>
            </w:r>
          </w:p>
          <w:p w:rsidR="00986A1E" w:rsidRPr="00986A1E" w:rsidRDefault="00986A1E" w:rsidP="00986A1E">
            <w:pPr>
              <w:pStyle w:val="ListParagraph"/>
              <w:rPr>
                <w:rFonts w:ascii="Arial" w:hAnsi="Arial" w:cs="Arial"/>
                <w:sz w:val="20"/>
                <w:szCs w:val="20"/>
              </w:rPr>
            </w:pPr>
          </w:p>
          <w:p w:rsidR="00986A1E" w:rsidRPr="00986A1E" w:rsidRDefault="00986A1E" w:rsidP="00986A1E">
            <w:pPr>
              <w:pStyle w:val="ListParagraph"/>
              <w:numPr>
                <w:ilvl w:val="0"/>
                <w:numId w:val="5"/>
              </w:numPr>
              <w:rPr>
                <w:rFonts w:ascii="Arial" w:hAnsi="Arial" w:cs="Arial"/>
                <w:sz w:val="20"/>
                <w:szCs w:val="20"/>
              </w:rPr>
            </w:pPr>
            <w:r w:rsidRPr="00986A1E">
              <w:rPr>
                <w:rFonts w:ascii="Arial" w:hAnsi="Arial" w:cs="Arial"/>
                <w:sz w:val="20"/>
                <w:szCs w:val="20"/>
              </w:rPr>
              <w:t>The Trust shall establish classes of liabilities (senior, subordinated and the most subordinated).  The classes would allow the Trust to delineate financing of lower risk investment and investment that would bear higher residual risk.  The delineation would limit OPG’s self-funded investment to a reasonable level in order to allow OPG to remain a sel</w:t>
            </w:r>
            <w:r w:rsidR="00C55AE9">
              <w:rPr>
                <w:rFonts w:ascii="Arial" w:hAnsi="Arial" w:cs="Arial"/>
                <w:sz w:val="20"/>
                <w:szCs w:val="20"/>
              </w:rPr>
              <w:t>f-sustaining entity.</w:t>
            </w:r>
          </w:p>
          <w:p w:rsidR="00B57C11" w:rsidRPr="00986A1E" w:rsidRDefault="00C55AE9" w:rsidP="00986A1E">
            <w:pPr>
              <w:pStyle w:val="ListParagraph"/>
              <w:numPr>
                <w:ilvl w:val="1"/>
                <w:numId w:val="1"/>
              </w:numPr>
              <w:rPr>
                <w:rFonts w:ascii="Arial" w:hAnsi="Arial" w:cs="Arial"/>
                <w:sz w:val="20"/>
                <w:szCs w:val="20"/>
              </w:rPr>
            </w:pPr>
            <w:r w:rsidRPr="00986A1E">
              <w:rPr>
                <w:rFonts w:ascii="Arial" w:hAnsi="Arial" w:cs="Arial"/>
                <w:sz w:val="20"/>
                <w:szCs w:val="20"/>
              </w:rPr>
              <w:t>OPG shall, through its ownership of the most subordinated liability, be able to capture and retain the pricing difference between cost of financing and benchmark for interest on the restructured asset, or any residual risk of restructured asset.  The targeted return of the subordinated liability should be reflective of the underlying risks and compensate holders for active management that would be required</w:t>
            </w:r>
            <w:r w:rsidR="00B57C11" w:rsidRPr="00986A1E">
              <w:rPr>
                <w:rFonts w:ascii="Arial" w:hAnsi="Arial" w:cs="Arial"/>
                <w:sz w:val="20"/>
                <w:szCs w:val="20"/>
              </w:rPr>
              <w:t xml:space="preserve">.  </w:t>
            </w:r>
          </w:p>
          <w:p w:rsidR="00B57C11" w:rsidRPr="00986A1E" w:rsidRDefault="00C55AE9" w:rsidP="00986A1E">
            <w:pPr>
              <w:pStyle w:val="ListParagraph"/>
              <w:numPr>
                <w:ilvl w:val="1"/>
                <w:numId w:val="1"/>
              </w:numPr>
              <w:rPr>
                <w:rFonts w:ascii="Arial" w:hAnsi="Arial" w:cs="Arial"/>
                <w:sz w:val="20"/>
                <w:szCs w:val="20"/>
              </w:rPr>
            </w:pPr>
            <w:r>
              <w:rPr>
                <w:rFonts w:ascii="Arial" w:hAnsi="Arial" w:cs="Arial"/>
                <w:sz w:val="20"/>
                <w:szCs w:val="20"/>
              </w:rPr>
              <w:t>OPG should participate in the detailed design of the above and the Trust documentation to ensure that it has substantive power and variability, which will allow OPG’s Board of Directors to evaluate the opportunity as a business initiative instead of through a shareholder directive]</w:t>
            </w:r>
            <w:r w:rsidR="00B57C11" w:rsidRPr="00986A1E">
              <w:rPr>
                <w:rFonts w:ascii="Arial" w:hAnsi="Arial" w:cs="Arial"/>
                <w:sz w:val="20"/>
                <w:szCs w:val="20"/>
              </w:rPr>
              <w:t xml:space="preserve">.  </w:t>
            </w:r>
          </w:p>
          <w:p w:rsidR="00B57C11" w:rsidRPr="00B53E4A" w:rsidRDefault="00B57C11" w:rsidP="00C55AE9">
            <w:pPr>
              <w:pStyle w:val="ListParagraph"/>
              <w:ind w:left="1080"/>
              <w:rPr>
                <w:rFonts w:ascii="Arial" w:hAnsi="Arial" w:cs="Arial"/>
                <w:sz w:val="20"/>
                <w:szCs w:val="20"/>
              </w:rPr>
            </w:pPr>
          </w:p>
          <w:p w:rsidR="00B57C11" w:rsidRDefault="00B57C11" w:rsidP="008C27CC">
            <w:pPr>
              <w:pStyle w:val="ListParagraph"/>
              <w:ind w:left="0"/>
              <w:rPr>
                <w:rFonts w:ascii="Arial" w:hAnsi="Arial" w:cs="Arial"/>
                <w:sz w:val="20"/>
                <w:szCs w:val="20"/>
              </w:rPr>
            </w:pPr>
            <w:r>
              <w:rPr>
                <w:rFonts w:ascii="Arial" w:hAnsi="Arial" w:cs="Arial"/>
                <w:sz w:val="20"/>
                <w:szCs w:val="20"/>
              </w:rPr>
              <w:t xml:space="preserve">Defined Forced Majeure for emergency events (e.g. unlikely credit market event or disruption where it is not possible to borrow from the market at a reasonable rate), OEFC may provide bridge financing beyond the designated percentage.   </w:t>
            </w:r>
          </w:p>
          <w:p w:rsidR="00B57C11" w:rsidRDefault="00B57C11" w:rsidP="008C27CC">
            <w:pPr>
              <w:pStyle w:val="ListParagraph"/>
              <w:ind w:left="0"/>
              <w:rPr>
                <w:rFonts w:ascii="Arial" w:hAnsi="Arial" w:cs="Arial"/>
                <w:sz w:val="20"/>
                <w:szCs w:val="20"/>
              </w:rPr>
            </w:pPr>
            <w:r>
              <w:rPr>
                <w:rFonts w:ascii="Arial" w:hAnsi="Arial" w:cs="Arial"/>
                <w:sz w:val="20"/>
                <w:szCs w:val="20"/>
              </w:rPr>
              <w:t xml:space="preserve">  </w:t>
            </w:r>
          </w:p>
        </w:tc>
      </w:tr>
      <w:tr w:rsidR="00B57C11" w:rsidTr="00BB3256">
        <w:tc>
          <w:tcPr>
            <w:tcW w:w="1246" w:type="dxa"/>
            <w:vMerge w:val="restart"/>
          </w:tcPr>
          <w:p w:rsidR="00B57C11" w:rsidRDefault="00B57C11" w:rsidP="008C27CC">
            <w:pPr>
              <w:pStyle w:val="ListParagraph"/>
              <w:ind w:left="0"/>
              <w:rPr>
                <w:rFonts w:ascii="Arial" w:hAnsi="Arial" w:cs="Arial"/>
                <w:sz w:val="20"/>
                <w:szCs w:val="20"/>
              </w:rPr>
            </w:pPr>
            <w:r>
              <w:rPr>
                <w:rFonts w:ascii="Arial" w:hAnsi="Arial" w:cs="Arial"/>
                <w:sz w:val="20"/>
                <w:szCs w:val="20"/>
              </w:rPr>
              <w:lastRenderedPageBreak/>
              <w:t>Legislation</w:t>
            </w:r>
          </w:p>
        </w:tc>
        <w:tc>
          <w:tcPr>
            <w:tcW w:w="662" w:type="dxa"/>
          </w:tcPr>
          <w:p w:rsidR="00B57C11" w:rsidRDefault="00B57C11" w:rsidP="008C27CC">
            <w:pPr>
              <w:pStyle w:val="ListParagraph"/>
              <w:ind w:left="0"/>
              <w:rPr>
                <w:rFonts w:ascii="Arial" w:hAnsi="Arial" w:cs="Arial"/>
                <w:sz w:val="20"/>
                <w:szCs w:val="20"/>
              </w:rPr>
            </w:pPr>
            <w:r>
              <w:rPr>
                <w:rFonts w:ascii="Arial" w:hAnsi="Arial" w:cs="Arial"/>
                <w:sz w:val="20"/>
                <w:szCs w:val="20"/>
              </w:rPr>
              <w:t>11</w:t>
            </w:r>
          </w:p>
        </w:tc>
        <w:tc>
          <w:tcPr>
            <w:tcW w:w="7010" w:type="dxa"/>
          </w:tcPr>
          <w:p w:rsidR="00B57C11" w:rsidRDefault="00B57C11" w:rsidP="008C27CC">
            <w:pPr>
              <w:pStyle w:val="ListParagraph"/>
              <w:ind w:left="0"/>
              <w:rPr>
                <w:rFonts w:ascii="Arial" w:hAnsi="Arial" w:cs="Arial"/>
                <w:sz w:val="20"/>
                <w:szCs w:val="20"/>
              </w:rPr>
            </w:pPr>
            <w:r>
              <w:rPr>
                <w:rFonts w:ascii="Arial" w:hAnsi="Arial" w:cs="Arial"/>
                <w:sz w:val="20"/>
                <w:szCs w:val="20"/>
              </w:rPr>
              <w:t>The Legislation must require interest, carrying and administrative costs to be paid to the Trust on a monthly basis, so that the Trust is able to recognize appropriate revenue to offset any ongoing costs.</w:t>
            </w:r>
          </w:p>
          <w:p w:rsidR="00B57C11" w:rsidRDefault="00B57C11" w:rsidP="008C27CC">
            <w:pPr>
              <w:pStyle w:val="ListParagraph"/>
              <w:ind w:left="0"/>
              <w:rPr>
                <w:rFonts w:ascii="Arial" w:hAnsi="Arial" w:cs="Arial"/>
                <w:sz w:val="20"/>
                <w:szCs w:val="20"/>
              </w:rPr>
            </w:pPr>
          </w:p>
        </w:tc>
      </w:tr>
      <w:tr w:rsidR="00B57C11" w:rsidTr="00BB3256">
        <w:tc>
          <w:tcPr>
            <w:tcW w:w="1246" w:type="dxa"/>
            <w:vMerge/>
          </w:tcPr>
          <w:p w:rsidR="00B57C11" w:rsidRDefault="00B57C11" w:rsidP="008C27CC">
            <w:pPr>
              <w:pStyle w:val="ListParagraph"/>
              <w:ind w:left="0"/>
              <w:rPr>
                <w:rFonts w:ascii="Arial" w:hAnsi="Arial" w:cs="Arial"/>
                <w:sz w:val="20"/>
                <w:szCs w:val="20"/>
              </w:rPr>
            </w:pPr>
          </w:p>
        </w:tc>
        <w:tc>
          <w:tcPr>
            <w:tcW w:w="662" w:type="dxa"/>
          </w:tcPr>
          <w:p w:rsidR="00B57C11" w:rsidRDefault="00B57C11" w:rsidP="008C27CC">
            <w:pPr>
              <w:pStyle w:val="ListParagraph"/>
              <w:ind w:left="0"/>
              <w:rPr>
                <w:rFonts w:ascii="Arial" w:hAnsi="Arial" w:cs="Arial"/>
                <w:sz w:val="20"/>
                <w:szCs w:val="20"/>
              </w:rPr>
            </w:pPr>
            <w:r>
              <w:rPr>
                <w:rFonts w:ascii="Arial" w:hAnsi="Arial" w:cs="Arial"/>
                <w:sz w:val="20"/>
                <w:szCs w:val="20"/>
              </w:rPr>
              <w:t>12</w:t>
            </w:r>
          </w:p>
        </w:tc>
        <w:tc>
          <w:tcPr>
            <w:tcW w:w="7010" w:type="dxa"/>
          </w:tcPr>
          <w:p w:rsidR="00B57C11" w:rsidRDefault="00B57C11" w:rsidP="008C27CC">
            <w:pPr>
              <w:pStyle w:val="ListParagraph"/>
              <w:ind w:left="0"/>
              <w:rPr>
                <w:rFonts w:ascii="Arial" w:hAnsi="Arial" w:cs="Arial"/>
                <w:sz w:val="20"/>
                <w:szCs w:val="20"/>
              </w:rPr>
            </w:pPr>
            <w:r>
              <w:rPr>
                <w:rFonts w:ascii="Arial" w:hAnsi="Arial" w:cs="Arial"/>
                <w:sz w:val="20"/>
                <w:szCs w:val="20"/>
              </w:rPr>
              <w:t xml:space="preserve">The Legislation must dictate the manner in which the restructured asset would be determined, collected, and the period of collection, so that the determination of the restructured asset will not be subject to the Province’s decisions on an ongoing basis, but determined based on a formula.  Alternatively, the Legislation may allow for an adjustment to the pre-determined deferral formula based on specific parameters that would limit the adjustment to the restructured asset.  Adjustments beyond the specific parameters would require approval by the Board of Trustee.  </w:t>
            </w:r>
          </w:p>
          <w:p w:rsidR="00B57C11" w:rsidRDefault="00B57C11" w:rsidP="008C27CC">
            <w:pPr>
              <w:pStyle w:val="ListParagraph"/>
              <w:ind w:left="0"/>
              <w:rPr>
                <w:rFonts w:ascii="Arial" w:hAnsi="Arial" w:cs="Arial"/>
                <w:sz w:val="20"/>
                <w:szCs w:val="20"/>
              </w:rPr>
            </w:pPr>
          </w:p>
        </w:tc>
      </w:tr>
      <w:tr w:rsidR="00B57C11" w:rsidTr="00BB3256">
        <w:tc>
          <w:tcPr>
            <w:tcW w:w="1246" w:type="dxa"/>
            <w:vMerge/>
          </w:tcPr>
          <w:p w:rsidR="00B57C11" w:rsidRDefault="00B57C11" w:rsidP="008C27CC">
            <w:pPr>
              <w:pStyle w:val="ListParagraph"/>
              <w:ind w:left="0"/>
              <w:rPr>
                <w:rFonts w:ascii="Arial" w:hAnsi="Arial" w:cs="Arial"/>
                <w:sz w:val="20"/>
                <w:szCs w:val="20"/>
              </w:rPr>
            </w:pPr>
          </w:p>
        </w:tc>
        <w:tc>
          <w:tcPr>
            <w:tcW w:w="662" w:type="dxa"/>
          </w:tcPr>
          <w:p w:rsidR="00B57C11" w:rsidRPr="00BC2AD6" w:rsidRDefault="00B57C11" w:rsidP="00BC2AD6">
            <w:pPr>
              <w:rPr>
                <w:rFonts w:ascii="Arial" w:hAnsi="Arial" w:cs="Arial"/>
                <w:sz w:val="20"/>
                <w:szCs w:val="20"/>
              </w:rPr>
            </w:pPr>
            <w:r>
              <w:rPr>
                <w:rFonts w:ascii="Arial" w:hAnsi="Arial" w:cs="Arial"/>
                <w:sz w:val="20"/>
                <w:szCs w:val="20"/>
              </w:rPr>
              <w:t>13</w:t>
            </w:r>
          </w:p>
        </w:tc>
        <w:tc>
          <w:tcPr>
            <w:tcW w:w="7010" w:type="dxa"/>
          </w:tcPr>
          <w:p w:rsidR="00B57C11" w:rsidRPr="00BC2AD6" w:rsidRDefault="00B57C11" w:rsidP="00BC2AD6">
            <w:pPr>
              <w:rPr>
                <w:rFonts w:ascii="Arial" w:hAnsi="Arial" w:cs="Arial"/>
                <w:sz w:val="20"/>
                <w:szCs w:val="20"/>
              </w:rPr>
            </w:pPr>
            <w:r w:rsidRPr="00BC2AD6">
              <w:rPr>
                <w:rFonts w:ascii="Arial" w:hAnsi="Arial" w:cs="Arial"/>
                <w:sz w:val="20"/>
                <w:szCs w:val="20"/>
              </w:rPr>
              <w:t xml:space="preserve">The Legislation must be written to avoid legal or constitutional challenges and be irrevocable to reduce the cost of borrowing and with a specific formula which determines the deferral amount. </w:t>
            </w:r>
          </w:p>
          <w:p w:rsidR="00B57C11" w:rsidRDefault="00B57C11" w:rsidP="008C27CC">
            <w:pPr>
              <w:pStyle w:val="ListParagraph"/>
              <w:ind w:left="0"/>
              <w:rPr>
                <w:rFonts w:ascii="Arial" w:hAnsi="Arial" w:cs="Arial"/>
                <w:sz w:val="20"/>
                <w:szCs w:val="20"/>
              </w:rPr>
            </w:pPr>
          </w:p>
        </w:tc>
      </w:tr>
      <w:tr w:rsidR="00B57C11" w:rsidTr="00BB3256">
        <w:tc>
          <w:tcPr>
            <w:tcW w:w="1246" w:type="dxa"/>
            <w:vMerge/>
          </w:tcPr>
          <w:p w:rsidR="00B57C11" w:rsidRDefault="00B57C11" w:rsidP="008C27CC">
            <w:pPr>
              <w:pStyle w:val="ListParagraph"/>
              <w:ind w:left="0"/>
              <w:rPr>
                <w:rFonts w:ascii="Arial" w:hAnsi="Arial" w:cs="Arial"/>
                <w:sz w:val="20"/>
                <w:szCs w:val="20"/>
              </w:rPr>
            </w:pPr>
          </w:p>
        </w:tc>
        <w:tc>
          <w:tcPr>
            <w:tcW w:w="662" w:type="dxa"/>
          </w:tcPr>
          <w:p w:rsidR="00B57C11" w:rsidRPr="00BC2AD6" w:rsidRDefault="00B57C11" w:rsidP="00BC2AD6">
            <w:pPr>
              <w:rPr>
                <w:rFonts w:ascii="Arial" w:hAnsi="Arial" w:cs="Arial"/>
                <w:sz w:val="20"/>
                <w:szCs w:val="20"/>
              </w:rPr>
            </w:pPr>
            <w:r>
              <w:rPr>
                <w:rFonts w:ascii="Arial" w:hAnsi="Arial" w:cs="Arial"/>
                <w:sz w:val="20"/>
                <w:szCs w:val="20"/>
              </w:rPr>
              <w:t>14</w:t>
            </w:r>
          </w:p>
        </w:tc>
        <w:tc>
          <w:tcPr>
            <w:tcW w:w="7010" w:type="dxa"/>
          </w:tcPr>
          <w:p w:rsidR="00B57C11" w:rsidRPr="00BC2AD6" w:rsidRDefault="00B57C11" w:rsidP="00BC2AD6">
            <w:pPr>
              <w:rPr>
                <w:rFonts w:ascii="Arial" w:hAnsi="Arial" w:cs="Arial"/>
                <w:sz w:val="20"/>
                <w:szCs w:val="20"/>
              </w:rPr>
            </w:pPr>
            <w:r w:rsidRPr="00BC2AD6">
              <w:rPr>
                <w:rFonts w:ascii="Arial" w:hAnsi="Arial" w:cs="Arial"/>
                <w:sz w:val="20"/>
                <w:szCs w:val="20"/>
              </w:rPr>
              <w:t>The spirit of the above terms should be reflected in the Trust Indenture Agreement as well as Legislation, wherever possible.</w:t>
            </w:r>
          </w:p>
          <w:p w:rsidR="00B57C11" w:rsidRDefault="00B57C11" w:rsidP="008C27CC">
            <w:pPr>
              <w:pStyle w:val="ListParagraph"/>
              <w:ind w:left="0"/>
              <w:rPr>
                <w:rFonts w:ascii="Arial" w:hAnsi="Arial" w:cs="Arial"/>
                <w:sz w:val="20"/>
                <w:szCs w:val="20"/>
              </w:rPr>
            </w:pPr>
          </w:p>
        </w:tc>
      </w:tr>
    </w:tbl>
    <w:p w:rsidR="00D22B56" w:rsidRPr="00494EA9" w:rsidRDefault="00D22B56" w:rsidP="00BC2AD6">
      <w:pPr>
        <w:rPr>
          <w:rFonts w:ascii="Arial" w:hAnsi="Arial" w:cs="Arial"/>
          <w:b/>
          <w:sz w:val="20"/>
          <w:szCs w:val="20"/>
        </w:rPr>
      </w:pPr>
    </w:p>
    <w:sectPr w:rsidR="00D22B56" w:rsidRPr="00494EA9" w:rsidSect="00E26B6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02602F"/>
    <w:multiLevelType w:val="hybridMultilevel"/>
    <w:tmpl w:val="BBF08F3A"/>
    <w:lvl w:ilvl="0" w:tplc="1009000F">
      <w:start w:val="1"/>
      <w:numFmt w:val="decimal"/>
      <w:lvlText w:val="%1."/>
      <w:lvlJc w:val="left"/>
      <w:pPr>
        <w:ind w:left="1440" w:hanging="360"/>
      </w:pPr>
      <w:rPr>
        <w:rFont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
    <w:nsid w:val="36DB3156"/>
    <w:multiLevelType w:val="hybridMultilevel"/>
    <w:tmpl w:val="BD10B04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
    <w:nsid w:val="44037BCE"/>
    <w:multiLevelType w:val="hybridMultilevel"/>
    <w:tmpl w:val="A33CBFFE"/>
    <w:lvl w:ilvl="0" w:tplc="23EA0CB4">
      <w:start w:val="1"/>
      <w:numFmt w:val="decimal"/>
      <w:lvlText w:val="%1."/>
      <w:lvlJc w:val="left"/>
      <w:pPr>
        <w:ind w:left="360" w:hanging="360"/>
      </w:pPr>
      <w:rPr>
        <w:rFonts w:hint="default"/>
        <w:b w:val="0"/>
      </w:rPr>
    </w:lvl>
    <w:lvl w:ilvl="1" w:tplc="10090019">
      <w:start w:val="1"/>
      <w:numFmt w:val="lowerLetter"/>
      <w:lvlText w:val="%2."/>
      <w:lvlJc w:val="left"/>
      <w:pPr>
        <w:ind w:left="1080" w:hanging="360"/>
      </w:pPr>
      <w:rPr>
        <w:b w:val="0"/>
      </w:r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
    <w:nsid w:val="4848332F"/>
    <w:multiLevelType w:val="hybridMultilevel"/>
    <w:tmpl w:val="22B61BF8"/>
    <w:lvl w:ilvl="0" w:tplc="FE467B5E">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4">
    <w:nsid w:val="7232333F"/>
    <w:multiLevelType w:val="hybridMultilevel"/>
    <w:tmpl w:val="F93AE2EC"/>
    <w:lvl w:ilvl="0" w:tplc="C792C6CC">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01678C"/>
    <w:rsid w:val="0001678C"/>
    <w:rsid w:val="000A11E4"/>
    <w:rsid w:val="000F7A7F"/>
    <w:rsid w:val="0014504A"/>
    <w:rsid w:val="00153A9A"/>
    <w:rsid w:val="00163D22"/>
    <w:rsid w:val="001D5733"/>
    <w:rsid w:val="001F42FD"/>
    <w:rsid w:val="0022405D"/>
    <w:rsid w:val="002308D6"/>
    <w:rsid w:val="002900E4"/>
    <w:rsid w:val="00296450"/>
    <w:rsid w:val="002D76B8"/>
    <w:rsid w:val="00310C26"/>
    <w:rsid w:val="00311185"/>
    <w:rsid w:val="00313E81"/>
    <w:rsid w:val="00396B82"/>
    <w:rsid w:val="00441AA3"/>
    <w:rsid w:val="004673F4"/>
    <w:rsid w:val="00494EA9"/>
    <w:rsid w:val="004A3867"/>
    <w:rsid w:val="004D77C4"/>
    <w:rsid w:val="005467F1"/>
    <w:rsid w:val="005535DE"/>
    <w:rsid w:val="00585454"/>
    <w:rsid w:val="005D6F00"/>
    <w:rsid w:val="00627A08"/>
    <w:rsid w:val="0067091B"/>
    <w:rsid w:val="00670BB0"/>
    <w:rsid w:val="00675100"/>
    <w:rsid w:val="006E3061"/>
    <w:rsid w:val="00723C66"/>
    <w:rsid w:val="00726B23"/>
    <w:rsid w:val="007C5F86"/>
    <w:rsid w:val="007D7CE7"/>
    <w:rsid w:val="007F07B0"/>
    <w:rsid w:val="008266ED"/>
    <w:rsid w:val="00862E54"/>
    <w:rsid w:val="00896991"/>
    <w:rsid w:val="008C27CC"/>
    <w:rsid w:val="008C2E70"/>
    <w:rsid w:val="009308D1"/>
    <w:rsid w:val="00986A1E"/>
    <w:rsid w:val="00987EB3"/>
    <w:rsid w:val="00A206C4"/>
    <w:rsid w:val="00A63BBF"/>
    <w:rsid w:val="00A748F8"/>
    <w:rsid w:val="00AA4F77"/>
    <w:rsid w:val="00B25B7D"/>
    <w:rsid w:val="00B32AC9"/>
    <w:rsid w:val="00B53E4A"/>
    <w:rsid w:val="00B57C11"/>
    <w:rsid w:val="00B81809"/>
    <w:rsid w:val="00BB3256"/>
    <w:rsid w:val="00BC2AD6"/>
    <w:rsid w:val="00C3068D"/>
    <w:rsid w:val="00C3641F"/>
    <w:rsid w:val="00C55AE9"/>
    <w:rsid w:val="00CA1559"/>
    <w:rsid w:val="00CC184E"/>
    <w:rsid w:val="00D22B56"/>
    <w:rsid w:val="00D319C7"/>
    <w:rsid w:val="00D51C78"/>
    <w:rsid w:val="00D82E73"/>
    <w:rsid w:val="00DF7E03"/>
    <w:rsid w:val="00E26B6F"/>
    <w:rsid w:val="00E325A2"/>
    <w:rsid w:val="00E81247"/>
    <w:rsid w:val="00E9368A"/>
    <w:rsid w:val="00EC7C2D"/>
    <w:rsid w:val="00ED78D8"/>
    <w:rsid w:val="00F059AA"/>
    <w:rsid w:val="00F10252"/>
    <w:rsid w:val="00F15183"/>
    <w:rsid w:val="00F426B9"/>
    <w:rsid w:val="00F57CFD"/>
    <w:rsid w:val="00F85BDE"/>
    <w:rsid w:val="00FA5D97"/>
    <w:rsid w:val="00FE4394"/>
    <w:rsid w:val="00FE7306"/>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6B6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678C"/>
    <w:pPr>
      <w:ind w:left="720"/>
      <w:contextualSpacing/>
    </w:pPr>
  </w:style>
  <w:style w:type="table" w:styleId="TableGrid">
    <w:name w:val="Table Grid"/>
    <w:basedOn w:val="TableNormal"/>
    <w:uiPriority w:val="59"/>
    <w:rsid w:val="000167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F7A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7A7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773</Words>
  <Characters>4408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Ontario Power Generation</Company>
  <LinksUpToDate>false</LinksUpToDate>
  <CharactersWithSpaces>5171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Alec Cheng</dc:creator>
  <cp:lastModifiedBy>mautij</cp:lastModifiedBy>
  <cp:revision>10</cp:revision>
  <cp:lastPrinted>2017-02-17T17:10:00Z</cp:lastPrinted>
  <dcterms:created xsi:type="dcterms:W3CDTF">2017-02-21T12:58:00Z</dcterms:created>
  <dcterms:modified xsi:type="dcterms:W3CDTF">2017-02-21T13:11:00Z</dcterms:modified>
</cp:coreProperties>
</file>