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ABE" w:rsidRPr="00F9573B" w:rsidRDefault="00C80ABE" w:rsidP="00F346B9">
      <w:pPr>
        <w:spacing w:after="0" w:line="240" w:lineRule="auto"/>
        <w:jc w:val="center"/>
        <w:rPr>
          <w:b/>
          <w:sz w:val="28"/>
          <w:szCs w:val="28"/>
        </w:rPr>
      </w:pPr>
      <w:r w:rsidRPr="00F9573B">
        <w:rPr>
          <w:b/>
          <w:sz w:val="28"/>
          <w:szCs w:val="28"/>
        </w:rPr>
        <w:t>Ontario Power Generation</w:t>
      </w:r>
      <w:r w:rsidR="00A94A73" w:rsidRPr="00F9573B">
        <w:rPr>
          <w:b/>
          <w:sz w:val="28"/>
          <w:szCs w:val="28"/>
        </w:rPr>
        <w:t xml:space="preserve"> Inc. </w:t>
      </w:r>
    </w:p>
    <w:tbl>
      <w:tblPr>
        <w:tblpPr w:leftFromText="180" w:rightFromText="180" w:vertAnchor="page" w:horzAnchor="margin" w:tblpY="3191"/>
        <w:tblW w:w="13291" w:type="dxa"/>
        <w:tblCellMar>
          <w:left w:w="0" w:type="dxa"/>
          <w:right w:w="0" w:type="dxa"/>
        </w:tblCellMar>
        <w:tblLook w:val="04A0" w:firstRow="1" w:lastRow="0" w:firstColumn="1" w:lastColumn="0" w:noHBand="0" w:noVBand="1"/>
      </w:tblPr>
      <w:tblGrid>
        <w:gridCol w:w="2267"/>
        <w:gridCol w:w="6897"/>
        <w:gridCol w:w="4127"/>
      </w:tblGrid>
      <w:tr w:rsidR="00102A67" w:rsidTr="00F346B9">
        <w:trPr>
          <w:trHeight w:val="1253"/>
        </w:trPr>
        <w:tc>
          <w:tcPr>
            <w:tcW w:w="22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02A67" w:rsidRPr="00C97AA7" w:rsidRDefault="00102A67" w:rsidP="001E1395">
            <w:pPr>
              <w:rPr>
                <w:rFonts w:ascii="Arial" w:hAnsi="Arial" w:cs="Arial"/>
                <w:b/>
                <w:bCs/>
                <w:sz w:val="24"/>
                <w:szCs w:val="24"/>
                <w:lang w:val="en-GB"/>
              </w:rPr>
            </w:pPr>
            <w:r w:rsidRPr="00C97AA7">
              <w:rPr>
                <w:b/>
                <w:bCs/>
                <w:sz w:val="24"/>
                <w:szCs w:val="24"/>
                <w:lang w:val="en-GB"/>
              </w:rPr>
              <w:t>Section 4 - Summary of Evaluation for Government Business Enterprises (PS 1300)</w:t>
            </w:r>
          </w:p>
        </w:tc>
        <w:tc>
          <w:tcPr>
            <w:tcW w:w="6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02A67" w:rsidRPr="00F346B9" w:rsidRDefault="00102A67" w:rsidP="001E1395">
            <w:pPr>
              <w:jc w:val="center"/>
              <w:rPr>
                <w:rFonts w:ascii="Arial" w:hAnsi="Arial" w:cs="Arial"/>
                <w:bCs/>
                <w:sz w:val="24"/>
                <w:szCs w:val="24"/>
                <w:lang w:val="en-GB"/>
              </w:rPr>
            </w:pPr>
            <w:r w:rsidRPr="00F346B9">
              <w:rPr>
                <w:bCs/>
                <w:sz w:val="24"/>
                <w:szCs w:val="24"/>
                <w:lang w:val="en-GB"/>
              </w:rPr>
              <w:t>Criteria Applies</w:t>
            </w:r>
          </w:p>
          <w:p w:rsidR="00102A67" w:rsidRPr="00F346B9" w:rsidRDefault="00102A67" w:rsidP="001E1395">
            <w:pPr>
              <w:jc w:val="center"/>
              <w:rPr>
                <w:rFonts w:ascii="Arial" w:hAnsi="Arial" w:cs="Arial"/>
                <w:bCs/>
                <w:sz w:val="20"/>
                <w:szCs w:val="20"/>
                <w:lang w:val="en-GB"/>
              </w:rPr>
            </w:pPr>
            <w:r w:rsidRPr="00F346B9">
              <w:rPr>
                <w:bCs/>
                <w:sz w:val="24"/>
                <w:szCs w:val="24"/>
                <w:lang w:val="en-GB"/>
              </w:rPr>
              <w:t>Yes/No</w:t>
            </w:r>
            <w:bookmarkStart w:id="0" w:name="_GoBack"/>
            <w:bookmarkEnd w:id="0"/>
          </w:p>
        </w:tc>
        <w:tc>
          <w:tcPr>
            <w:tcW w:w="4127" w:type="dxa"/>
            <w:tcBorders>
              <w:top w:val="single" w:sz="8" w:space="0" w:color="auto"/>
              <w:left w:val="nil"/>
              <w:bottom w:val="single" w:sz="8" w:space="0" w:color="auto"/>
              <w:right w:val="single" w:sz="8" w:space="0" w:color="auto"/>
            </w:tcBorders>
          </w:tcPr>
          <w:p w:rsidR="00102A67" w:rsidRPr="00C97AA7" w:rsidRDefault="00102A67" w:rsidP="001E1395">
            <w:pPr>
              <w:jc w:val="center"/>
              <w:rPr>
                <w:b/>
                <w:bCs/>
                <w:sz w:val="24"/>
                <w:szCs w:val="24"/>
                <w:lang w:val="en-GB"/>
              </w:rPr>
            </w:pPr>
          </w:p>
        </w:tc>
      </w:tr>
      <w:tr w:rsidR="00102A67" w:rsidTr="00F346B9">
        <w:trPr>
          <w:cantSplit/>
          <w:trHeight w:val="536"/>
        </w:trPr>
        <w:tc>
          <w:tcPr>
            <w:tcW w:w="916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2A67" w:rsidRPr="008531ED" w:rsidRDefault="008531ED" w:rsidP="008531ED">
            <w:pPr>
              <w:jc w:val="center"/>
              <w:rPr>
                <w:rFonts w:cstheme="minorHAnsi"/>
                <w:bCs/>
                <w:lang w:val="en-GB"/>
              </w:rPr>
            </w:pPr>
            <w:r w:rsidRPr="008531ED">
              <w:rPr>
                <w:rFonts w:cstheme="minorHAnsi"/>
                <w:bCs/>
                <w:highlight w:val="yellow"/>
                <w:lang w:val="en-GB"/>
              </w:rPr>
              <w:t>Status Quo</w:t>
            </w:r>
          </w:p>
        </w:tc>
        <w:tc>
          <w:tcPr>
            <w:tcW w:w="4127" w:type="dxa"/>
            <w:tcBorders>
              <w:top w:val="nil"/>
              <w:left w:val="single" w:sz="8" w:space="0" w:color="auto"/>
              <w:bottom w:val="single" w:sz="8" w:space="0" w:color="auto"/>
              <w:right w:val="single" w:sz="8" w:space="0" w:color="auto"/>
            </w:tcBorders>
          </w:tcPr>
          <w:p w:rsidR="00102A67" w:rsidRPr="008531ED" w:rsidRDefault="008531ED" w:rsidP="001E1395">
            <w:pPr>
              <w:rPr>
                <w:b/>
                <w:bCs/>
                <w:lang w:val="en-GB"/>
              </w:rPr>
            </w:pPr>
            <w:r>
              <w:rPr>
                <w:b/>
                <w:bCs/>
                <w:sz w:val="20"/>
                <w:szCs w:val="20"/>
                <w:lang w:val="en-GB"/>
              </w:rPr>
              <w:t xml:space="preserve">  </w:t>
            </w:r>
            <w:r w:rsidRPr="008531ED">
              <w:rPr>
                <w:b/>
                <w:bCs/>
                <w:highlight w:val="yellow"/>
                <w:lang w:val="en-GB"/>
              </w:rPr>
              <w:t>Post – Global Adjustment Considerations</w:t>
            </w:r>
          </w:p>
        </w:tc>
      </w:tr>
      <w:tr w:rsidR="00102A67" w:rsidTr="00F346B9">
        <w:trPr>
          <w:cantSplit/>
          <w:trHeight w:val="536"/>
        </w:trPr>
        <w:tc>
          <w:tcPr>
            <w:tcW w:w="22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2A67" w:rsidRPr="00C97AA7" w:rsidRDefault="00102A67" w:rsidP="001E1395">
            <w:pPr>
              <w:rPr>
                <w:rFonts w:ascii="Arial" w:hAnsi="Arial" w:cs="Arial"/>
                <w:sz w:val="20"/>
                <w:szCs w:val="20"/>
                <w:lang w:val="en-GB"/>
              </w:rPr>
            </w:pPr>
            <w:r w:rsidRPr="00C97AA7">
              <w:rPr>
                <w:b/>
                <w:bCs/>
                <w:sz w:val="20"/>
                <w:szCs w:val="20"/>
                <w:lang w:val="en-GB"/>
              </w:rPr>
              <w:t>(A)</w:t>
            </w:r>
            <w:r w:rsidRPr="00C97AA7">
              <w:rPr>
                <w:sz w:val="20"/>
                <w:szCs w:val="20"/>
                <w:lang w:val="en-GB"/>
              </w:rPr>
              <w:t xml:space="preserve"> It is a separate legal entity with the power to contract in its own name and that can sue and be sued</w:t>
            </w:r>
          </w:p>
        </w:tc>
        <w:tc>
          <w:tcPr>
            <w:tcW w:w="6897" w:type="dxa"/>
            <w:tcBorders>
              <w:top w:val="nil"/>
              <w:left w:val="nil"/>
              <w:bottom w:val="single" w:sz="8" w:space="0" w:color="auto"/>
              <w:right w:val="single" w:sz="8" w:space="0" w:color="auto"/>
            </w:tcBorders>
            <w:tcMar>
              <w:top w:w="0" w:type="dxa"/>
              <w:left w:w="108" w:type="dxa"/>
              <w:bottom w:w="0" w:type="dxa"/>
              <w:right w:w="108" w:type="dxa"/>
            </w:tcMar>
            <w:vAlign w:val="center"/>
          </w:tcPr>
          <w:p w:rsidR="00102A67" w:rsidRPr="00F346B9" w:rsidRDefault="00102A67" w:rsidP="001E1395">
            <w:r w:rsidRPr="00F346B9">
              <w:t>Yes.</w:t>
            </w:r>
          </w:p>
          <w:p w:rsidR="00102A67" w:rsidRPr="00F346B9" w:rsidRDefault="00102A67" w:rsidP="00C80ABE">
            <w:pPr>
              <w:pStyle w:val="ListParagraph"/>
              <w:numPr>
                <w:ilvl w:val="0"/>
                <w:numId w:val="1"/>
              </w:numPr>
            </w:pPr>
            <w:r w:rsidRPr="00F346B9">
              <w:t>OPG was incorporated on December 1, 1998 pursuant to the Business Corporations Act (Ontario) (Note 1);</w:t>
            </w:r>
          </w:p>
          <w:p w:rsidR="00102A67" w:rsidRPr="00F346B9" w:rsidRDefault="00102A67" w:rsidP="00C80ABE">
            <w:pPr>
              <w:pStyle w:val="ListParagraph"/>
              <w:numPr>
                <w:ilvl w:val="0"/>
                <w:numId w:val="1"/>
              </w:numPr>
            </w:pPr>
            <w:r w:rsidRPr="00F346B9">
              <w:t>Wholly owned by the Province of Ontario (Note 1);</w:t>
            </w:r>
          </w:p>
          <w:p w:rsidR="00102A67" w:rsidRPr="00F346B9" w:rsidRDefault="00102A67" w:rsidP="00C80ABE">
            <w:pPr>
              <w:pStyle w:val="ListParagraph"/>
              <w:numPr>
                <w:ilvl w:val="0"/>
                <w:numId w:val="1"/>
              </w:numPr>
            </w:pPr>
            <w:r w:rsidRPr="00F346B9">
              <w:t>A corporation has the capacity and the rights, powers and privileges of a natural person.  R.S.O. 1990, c. B.16, s. 15; and</w:t>
            </w:r>
          </w:p>
          <w:p w:rsidR="00102A67" w:rsidRPr="00F346B9" w:rsidRDefault="00102A67" w:rsidP="00C80ABE">
            <w:pPr>
              <w:pStyle w:val="ListParagraph"/>
              <w:numPr>
                <w:ilvl w:val="0"/>
                <w:numId w:val="1"/>
              </w:numPr>
            </w:pPr>
            <w:r w:rsidRPr="00F346B9">
              <w:t>OPG is subject to various claims, legal actions and investigations that arise in the normal course of business and can enter contracts in its own name (Note 15, 18, 6).</w:t>
            </w:r>
          </w:p>
        </w:tc>
        <w:tc>
          <w:tcPr>
            <w:tcW w:w="4127" w:type="dxa"/>
            <w:tcBorders>
              <w:top w:val="nil"/>
              <w:left w:val="nil"/>
              <w:bottom w:val="single" w:sz="8" w:space="0" w:color="auto"/>
              <w:right w:val="single" w:sz="8" w:space="0" w:color="auto"/>
            </w:tcBorders>
          </w:tcPr>
          <w:p w:rsidR="00F346B9" w:rsidRDefault="00F346B9" w:rsidP="001E1395">
            <w:pPr>
              <w:rPr>
                <w:b/>
              </w:rPr>
            </w:pPr>
            <w:r>
              <w:rPr>
                <w:b/>
              </w:rPr>
              <w:t>Yes</w:t>
            </w:r>
          </w:p>
          <w:p w:rsidR="00FD30A0" w:rsidRDefault="00FD30A0" w:rsidP="00F346B9">
            <w:pPr>
              <w:pStyle w:val="Default"/>
              <w:ind w:left="158" w:right="142"/>
              <w:rPr>
                <w:rFonts w:asciiTheme="minorHAnsi" w:hAnsiTheme="minorHAnsi" w:cstheme="minorHAnsi"/>
                <w:sz w:val="22"/>
                <w:szCs w:val="22"/>
              </w:rPr>
            </w:pPr>
            <w:r w:rsidRPr="00FD30A0">
              <w:rPr>
                <w:rFonts w:asciiTheme="minorHAnsi" w:hAnsiTheme="minorHAnsi" w:cstheme="minorHAnsi"/>
                <w:sz w:val="22"/>
                <w:szCs w:val="22"/>
              </w:rPr>
              <w:t xml:space="preserve">OPG would remain a separate legal entity, and through proposed amendments to the Electricity Act would have expanded powers to engage in establishing the GAM Trust/SPV if </w:t>
            </w:r>
            <w:r w:rsidRPr="00FD30A0">
              <w:rPr>
                <w:rFonts w:asciiTheme="minorHAnsi" w:hAnsiTheme="minorHAnsi" w:cstheme="minorHAnsi"/>
                <w:sz w:val="22"/>
                <w:szCs w:val="22"/>
              </w:rPr>
              <w:t>OPG’s Board of Directors evaluate</w:t>
            </w:r>
            <w:r w:rsidRPr="00FD30A0">
              <w:rPr>
                <w:rFonts w:asciiTheme="minorHAnsi" w:hAnsiTheme="minorHAnsi" w:cstheme="minorHAnsi"/>
                <w:sz w:val="22"/>
                <w:szCs w:val="22"/>
              </w:rPr>
              <w:t>d</w:t>
            </w:r>
            <w:r w:rsidRPr="00FD30A0">
              <w:rPr>
                <w:rFonts w:asciiTheme="minorHAnsi" w:hAnsiTheme="minorHAnsi" w:cstheme="minorHAnsi"/>
                <w:sz w:val="22"/>
                <w:szCs w:val="22"/>
              </w:rPr>
              <w:t xml:space="preserve"> the opportunity as a</w:t>
            </w:r>
            <w:r w:rsidRPr="00FD30A0">
              <w:rPr>
                <w:rFonts w:asciiTheme="minorHAnsi" w:hAnsiTheme="minorHAnsi" w:cstheme="minorHAnsi"/>
                <w:sz w:val="22"/>
                <w:szCs w:val="22"/>
              </w:rPr>
              <w:t>n attractive</w:t>
            </w:r>
            <w:r w:rsidRPr="00FD30A0">
              <w:rPr>
                <w:rFonts w:asciiTheme="minorHAnsi" w:hAnsiTheme="minorHAnsi" w:cstheme="minorHAnsi"/>
                <w:sz w:val="22"/>
                <w:szCs w:val="22"/>
              </w:rPr>
              <w:t xml:space="preserve"> business initiative</w:t>
            </w:r>
            <w:r w:rsidRPr="00FD30A0">
              <w:rPr>
                <w:rFonts w:asciiTheme="minorHAnsi" w:hAnsiTheme="minorHAnsi" w:cstheme="minorHAnsi"/>
                <w:sz w:val="22"/>
                <w:szCs w:val="22"/>
              </w:rPr>
              <w:t xml:space="preserve">. </w:t>
            </w:r>
            <w:r w:rsidRPr="00FD30A0">
              <w:rPr>
                <w:rFonts w:asciiTheme="minorHAnsi" w:hAnsiTheme="minorHAnsi" w:cstheme="minorHAnsi"/>
                <w:sz w:val="22"/>
                <w:szCs w:val="22"/>
              </w:rPr>
              <w:t xml:space="preserve"> </w:t>
            </w:r>
          </w:p>
          <w:p w:rsidR="00FD30A0" w:rsidRDefault="00FD30A0" w:rsidP="00F346B9">
            <w:pPr>
              <w:pStyle w:val="Default"/>
              <w:ind w:left="158" w:right="142"/>
              <w:rPr>
                <w:rFonts w:asciiTheme="minorHAnsi" w:hAnsiTheme="minorHAnsi" w:cstheme="minorHAnsi"/>
                <w:sz w:val="22"/>
                <w:szCs w:val="22"/>
              </w:rPr>
            </w:pPr>
          </w:p>
          <w:p w:rsidR="00FD30A0" w:rsidRPr="00FD30A0" w:rsidRDefault="00FD30A0" w:rsidP="00F346B9">
            <w:pPr>
              <w:pStyle w:val="Default"/>
              <w:ind w:left="158" w:right="142"/>
              <w:rPr>
                <w:rFonts w:asciiTheme="minorHAnsi" w:hAnsiTheme="minorHAnsi" w:cstheme="minorHAnsi"/>
                <w:sz w:val="22"/>
                <w:szCs w:val="22"/>
              </w:rPr>
            </w:pPr>
            <w:r>
              <w:rPr>
                <w:rFonts w:asciiTheme="minorHAnsi" w:hAnsiTheme="minorHAnsi" w:cstheme="minorHAnsi"/>
                <w:sz w:val="22"/>
                <w:szCs w:val="22"/>
              </w:rPr>
              <w:t xml:space="preserve">Trust would also be legislated the power to enter into contracts </w:t>
            </w:r>
            <w:r w:rsidR="00714D66">
              <w:rPr>
                <w:rFonts w:asciiTheme="minorHAnsi" w:hAnsiTheme="minorHAnsi" w:cstheme="minorHAnsi"/>
                <w:sz w:val="22"/>
                <w:szCs w:val="22"/>
              </w:rPr>
              <w:t xml:space="preserve">and transactions </w:t>
            </w:r>
            <w:r>
              <w:rPr>
                <w:rFonts w:asciiTheme="minorHAnsi" w:hAnsiTheme="minorHAnsi" w:cstheme="minorHAnsi"/>
                <w:sz w:val="22"/>
                <w:szCs w:val="22"/>
              </w:rPr>
              <w:t xml:space="preserve">with </w:t>
            </w:r>
            <w:r w:rsidR="00714D66">
              <w:rPr>
                <w:rFonts w:asciiTheme="minorHAnsi" w:hAnsiTheme="minorHAnsi" w:cstheme="minorHAnsi"/>
                <w:sz w:val="22"/>
                <w:szCs w:val="22"/>
              </w:rPr>
              <w:t xml:space="preserve">the IESO, </w:t>
            </w:r>
            <w:r>
              <w:rPr>
                <w:rFonts w:asciiTheme="minorHAnsi" w:hAnsiTheme="minorHAnsi" w:cstheme="minorHAnsi"/>
                <w:sz w:val="22"/>
                <w:szCs w:val="22"/>
              </w:rPr>
              <w:t>OPG and extern</w:t>
            </w:r>
            <w:r w:rsidR="00714D66">
              <w:rPr>
                <w:rFonts w:asciiTheme="minorHAnsi" w:hAnsiTheme="minorHAnsi" w:cstheme="minorHAnsi"/>
                <w:sz w:val="22"/>
                <w:szCs w:val="22"/>
              </w:rPr>
              <w:t xml:space="preserve">al parties. </w:t>
            </w:r>
          </w:p>
          <w:p w:rsidR="00FD30A0" w:rsidRDefault="00FD30A0" w:rsidP="001E1395">
            <w:pPr>
              <w:rPr>
                <w:b/>
              </w:rPr>
            </w:pPr>
          </w:p>
          <w:p w:rsidR="00886408" w:rsidRDefault="00886408" w:rsidP="00886408">
            <w:pPr>
              <w:pStyle w:val="Default"/>
              <w:rPr>
                <w:sz w:val="20"/>
                <w:szCs w:val="20"/>
              </w:rPr>
            </w:pPr>
          </w:p>
          <w:p w:rsidR="00886408" w:rsidRDefault="00886408" w:rsidP="001E1395">
            <w:pPr>
              <w:rPr>
                <w:b/>
              </w:rPr>
            </w:pPr>
          </w:p>
          <w:p w:rsidR="00886408" w:rsidRPr="008B777F" w:rsidRDefault="00886408" w:rsidP="001E1395">
            <w:pPr>
              <w:rPr>
                <w:b/>
              </w:rPr>
            </w:pPr>
          </w:p>
        </w:tc>
      </w:tr>
      <w:tr w:rsidR="00102A67" w:rsidTr="00F346B9">
        <w:trPr>
          <w:cantSplit/>
          <w:trHeight w:val="536"/>
        </w:trPr>
        <w:tc>
          <w:tcPr>
            <w:tcW w:w="22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2A67" w:rsidRPr="00C97AA7" w:rsidRDefault="00102A67" w:rsidP="00714D66">
            <w:pPr>
              <w:spacing w:line="276" w:lineRule="auto"/>
              <w:rPr>
                <w:rFonts w:ascii="Arial" w:hAnsi="Arial" w:cs="Arial"/>
                <w:sz w:val="20"/>
                <w:szCs w:val="20"/>
                <w:lang w:val="en-GB"/>
              </w:rPr>
            </w:pPr>
            <w:r w:rsidRPr="00C97AA7">
              <w:rPr>
                <w:b/>
                <w:bCs/>
                <w:sz w:val="20"/>
                <w:szCs w:val="20"/>
                <w:lang w:val="en-GB"/>
              </w:rPr>
              <w:lastRenderedPageBreak/>
              <w:t>(B )</w:t>
            </w:r>
            <w:r w:rsidRPr="00C97AA7">
              <w:rPr>
                <w:sz w:val="20"/>
                <w:szCs w:val="20"/>
                <w:lang w:val="en-GB"/>
              </w:rPr>
              <w:t xml:space="preserve"> It has been delegated the financial and operational authority to carry on a business</w:t>
            </w:r>
          </w:p>
        </w:tc>
        <w:tc>
          <w:tcPr>
            <w:tcW w:w="6897" w:type="dxa"/>
            <w:tcBorders>
              <w:top w:val="nil"/>
              <w:left w:val="nil"/>
              <w:bottom w:val="single" w:sz="8" w:space="0" w:color="auto"/>
              <w:right w:val="single" w:sz="8" w:space="0" w:color="auto"/>
            </w:tcBorders>
            <w:tcMar>
              <w:top w:w="0" w:type="dxa"/>
              <w:left w:w="108" w:type="dxa"/>
              <w:bottom w:w="0" w:type="dxa"/>
              <w:right w:w="108" w:type="dxa"/>
            </w:tcMar>
            <w:vAlign w:val="center"/>
          </w:tcPr>
          <w:p w:rsidR="00102A67" w:rsidRPr="00F346B9" w:rsidRDefault="00102A67" w:rsidP="001E1395">
            <w:r w:rsidRPr="00F346B9">
              <w:t>Yes.</w:t>
            </w:r>
          </w:p>
          <w:p w:rsidR="00102A67" w:rsidRPr="00F346B9" w:rsidRDefault="00102A67" w:rsidP="00C80ABE">
            <w:pPr>
              <w:pStyle w:val="ListParagraph"/>
              <w:numPr>
                <w:ilvl w:val="0"/>
                <w:numId w:val="2"/>
              </w:numPr>
            </w:pPr>
            <w:r w:rsidRPr="00F346B9">
              <w:t>A corporation has the capacity and the rights, powers and privileges of a natural person.  R.S.O. 1990, c. B.16, s. 15;</w:t>
            </w:r>
          </w:p>
          <w:p w:rsidR="00102A67" w:rsidRPr="00F346B9" w:rsidRDefault="00102A67" w:rsidP="00C80ABE">
            <w:pPr>
              <w:pStyle w:val="ListParagraph"/>
              <w:numPr>
                <w:ilvl w:val="0"/>
                <w:numId w:val="2"/>
              </w:numPr>
            </w:pPr>
            <w:r w:rsidRPr="00F346B9">
              <w:t>OPG’s Board of Directors is made up of individuals with substantial expertise and has established a number of committees to focus on areas critical to the success of the Company; and</w:t>
            </w:r>
          </w:p>
          <w:p w:rsidR="00102A67" w:rsidRPr="00F346B9" w:rsidRDefault="00102A67" w:rsidP="00543E57">
            <w:pPr>
              <w:pStyle w:val="ListParagraph"/>
              <w:numPr>
                <w:ilvl w:val="0"/>
                <w:numId w:val="2"/>
              </w:numPr>
            </w:pPr>
            <w:r w:rsidRPr="00F346B9">
              <w:t xml:space="preserve"> The Board exercises its independent supervision over management, who manages the affairs of corporation to achieve its operational and financial goals (</w:t>
            </w:r>
            <w:hyperlink r:id="rId8" w:history="1">
              <w:r w:rsidRPr="00F346B9">
                <w:rPr>
                  <w:rStyle w:val="Hyperlink"/>
                </w:rPr>
                <w:t>http://www.opg.com/about/management/Pages/management.aspx</w:t>
              </w:r>
            </w:hyperlink>
            <w:r w:rsidRPr="00F346B9">
              <w:t>).</w:t>
            </w:r>
          </w:p>
        </w:tc>
        <w:tc>
          <w:tcPr>
            <w:tcW w:w="4127" w:type="dxa"/>
            <w:tcBorders>
              <w:top w:val="nil"/>
              <w:left w:val="nil"/>
              <w:bottom w:val="single" w:sz="8" w:space="0" w:color="auto"/>
              <w:right w:val="single" w:sz="8" w:space="0" w:color="auto"/>
            </w:tcBorders>
          </w:tcPr>
          <w:p w:rsidR="00FD30A0" w:rsidRPr="00F346B9" w:rsidRDefault="00F346B9" w:rsidP="00FD30A0">
            <w:pPr>
              <w:pStyle w:val="Default"/>
              <w:rPr>
                <w:rFonts w:asciiTheme="minorHAnsi" w:hAnsiTheme="minorHAnsi" w:cstheme="minorHAnsi"/>
                <w:sz w:val="22"/>
                <w:szCs w:val="22"/>
              </w:rPr>
            </w:pPr>
            <w:r w:rsidRPr="00F346B9">
              <w:rPr>
                <w:rFonts w:asciiTheme="minorHAnsi" w:hAnsiTheme="minorHAnsi" w:cstheme="minorHAnsi"/>
                <w:sz w:val="22"/>
                <w:szCs w:val="22"/>
              </w:rPr>
              <w:t xml:space="preserve">Yes </w:t>
            </w:r>
          </w:p>
          <w:p w:rsidR="00F346B9" w:rsidRDefault="00F346B9" w:rsidP="00FD30A0">
            <w:pPr>
              <w:pStyle w:val="Default"/>
            </w:pPr>
          </w:p>
          <w:p w:rsidR="00714D66" w:rsidRPr="00714D66" w:rsidRDefault="00714D66" w:rsidP="00F346B9">
            <w:pPr>
              <w:pStyle w:val="Default"/>
              <w:ind w:left="158"/>
              <w:rPr>
                <w:rFonts w:asciiTheme="minorHAnsi" w:hAnsiTheme="minorHAnsi" w:cstheme="minorHAnsi"/>
                <w:sz w:val="22"/>
                <w:szCs w:val="22"/>
              </w:rPr>
            </w:pPr>
            <w:r w:rsidRPr="00714D66">
              <w:rPr>
                <w:rFonts w:asciiTheme="minorHAnsi" w:hAnsiTheme="minorHAnsi" w:cstheme="minorHAnsi"/>
                <w:sz w:val="22"/>
                <w:szCs w:val="22"/>
              </w:rPr>
              <w:t>Through legislati</w:t>
            </w:r>
            <w:r>
              <w:rPr>
                <w:rFonts w:asciiTheme="minorHAnsi" w:hAnsiTheme="minorHAnsi" w:cstheme="minorHAnsi"/>
                <w:sz w:val="22"/>
                <w:szCs w:val="22"/>
              </w:rPr>
              <w:t>ve changes to the Electricity Act</w:t>
            </w:r>
            <w:r w:rsidRPr="00714D66">
              <w:rPr>
                <w:rFonts w:asciiTheme="minorHAnsi" w:hAnsiTheme="minorHAnsi" w:cstheme="minorHAnsi"/>
                <w:sz w:val="22"/>
                <w:szCs w:val="22"/>
              </w:rPr>
              <w:t>, the Trust</w:t>
            </w:r>
            <w:r>
              <w:rPr>
                <w:rFonts w:asciiTheme="minorHAnsi" w:hAnsiTheme="minorHAnsi" w:cstheme="minorHAnsi"/>
                <w:sz w:val="22"/>
                <w:szCs w:val="22"/>
              </w:rPr>
              <w:t>/SPV</w:t>
            </w:r>
            <w:r w:rsidRPr="00714D66">
              <w:rPr>
                <w:rFonts w:asciiTheme="minorHAnsi" w:hAnsiTheme="minorHAnsi" w:cstheme="minorHAnsi"/>
                <w:sz w:val="22"/>
                <w:szCs w:val="22"/>
              </w:rPr>
              <w:t xml:space="preserve"> would be delegated the authority to </w:t>
            </w:r>
            <w:r w:rsidRPr="00714D66">
              <w:rPr>
                <w:rFonts w:asciiTheme="minorHAnsi" w:hAnsiTheme="minorHAnsi" w:cstheme="minorHAnsi"/>
                <w:sz w:val="22"/>
                <w:szCs w:val="22"/>
              </w:rPr>
              <w:t>hold</w:t>
            </w:r>
            <w:r>
              <w:rPr>
                <w:rFonts w:asciiTheme="minorHAnsi" w:hAnsiTheme="minorHAnsi" w:cstheme="minorHAnsi"/>
                <w:sz w:val="22"/>
                <w:szCs w:val="22"/>
              </w:rPr>
              <w:t xml:space="preserve"> the</w:t>
            </w:r>
            <w:r w:rsidRPr="00714D66">
              <w:rPr>
                <w:rFonts w:asciiTheme="minorHAnsi" w:hAnsiTheme="minorHAnsi" w:cstheme="minorHAnsi"/>
                <w:sz w:val="22"/>
                <w:szCs w:val="22"/>
              </w:rPr>
              <w:t xml:space="preserve"> right to charge customers</w:t>
            </w:r>
            <w:r>
              <w:rPr>
                <w:rFonts w:asciiTheme="minorHAnsi" w:hAnsiTheme="minorHAnsi" w:cstheme="minorHAnsi"/>
                <w:sz w:val="22"/>
                <w:szCs w:val="22"/>
              </w:rPr>
              <w:t xml:space="preserve"> (of LDCs)</w:t>
            </w:r>
            <w:r w:rsidRPr="00714D66">
              <w:rPr>
                <w:rFonts w:asciiTheme="minorHAnsi" w:hAnsiTheme="minorHAnsi" w:cstheme="minorHAnsi"/>
                <w:sz w:val="22"/>
                <w:szCs w:val="22"/>
              </w:rPr>
              <w:t xml:space="preserve"> </w:t>
            </w:r>
            <w:r>
              <w:rPr>
                <w:rFonts w:asciiTheme="minorHAnsi" w:hAnsiTheme="minorHAnsi" w:cstheme="minorHAnsi"/>
                <w:sz w:val="22"/>
                <w:szCs w:val="22"/>
              </w:rPr>
              <w:t xml:space="preserve">for the benefit of debt holders and/or investors.  </w:t>
            </w:r>
          </w:p>
          <w:p w:rsidR="00714D66" w:rsidRDefault="00714D66" w:rsidP="003C1999">
            <w:pPr>
              <w:spacing w:line="240" w:lineRule="auto"/>
            </w:pPr>
          </w:p>
          <w:p w:rsidR="00886408" w:rsidRPr="008B777F" w:rsidRDefault="00886408" w:rsidP="00714D66">
            <w:pPr>
              <w:spacing w:line="240" w:lineRule="auto"/>
              <w:rPr>
                <w:b/>
              </w:rPr>
            </w:pPr>
          </w:p>
        </w:tc>
      </w:tr>
      <w:tr w:rsidR="00102A67" w:rsidTr="00F346B9">
        <w:trPr>
          <w:cantSplit/>
          <w:trHeight w:val="536"/>
        </w:trPr>
        <w:tc>
          <w:tcPr>
            <w:tcW w:w="22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2A67" w:rsidRPr="00C97AA7" w:rsidRDefault="00102A67" w:rsidP="001E1395">
            <w:pPr>
              <w:rPr>
                <w:rFonts w:ascii="Arial" w:hAnsi="Arial" w:cs="Arial"/>
                <w:sz w:val="20"/>
                <w:szCs w:val="20"/>
                <w:lang w:val="en-GB"/>
              </w:rPr>
            </w:pPr>
            <w:r w:rsidRPr="00C97AA7">
              <w:rPr>
                <w:b/>
                <w:bCs/>
                <w:sz w:val="20"/>
                <w:szCs w:val="20"/>
                <w:lang w:val="en-GB"/>
              </w:rPr>
              <w:lastRenderedPageBreak/>
              <w:t>(C )</w:t>
            </w:r>
            <w:r w:rsidRPr="00C97AA7">
              <w:rPr>
                <w:sz w:val="20"/>
                <w:szCs w:val="20"/>
                <w:lang w:val="en-GB"/>
              </w:rPr>
              <w:t xml:space="preserve"> It sells goods and services to individuals and organizations outside of the government reporting entity as its principal activity; and</w:t>
            </w:r>
          </w:p>
        </w:tc>
        <w:tc>
          <w:tcPr>
            <w:tcW w:w="6897" w:type="dxa"/>
            <w:tcBorders>
              <w:top w:val="nil"/>
              <w:left w:val="nil"/>
              <w:bottom w:val="single" w:sz="8" w:space="0" w:color="auto"/>
              <w:right w:val="single" w:sz="8" w:space="0" w:color="auto"/>
            </w:tcBorders>
            <w:tcMar>
              <w:top w:w="0" w:type="dxa"/>
              <w:left w:w="108" w:type="dxa"/>
              <w:bottom w:w="0" w:type="dxa"/>
              <w:right w:w="108" w:type="dxa"/>
            </w:tcMar>
            <w:vAlign w:val="center"/>
          </w:tcPr>
          <w:p w:rsidR="00102A67" w:rsidRPr="00F346B9" w:rsidRDefault="00102A67" w:rsidP="001E1395">
            <w:r w:rsidRPr="00F346B9">
              <w:t>Yes.</w:t>
            </w:r>
          </w:p>
          <w:p w:rsidR="00102A67" w:rsidRPr="00F346B9" w:rsidRDefault="00102A67" w:rsidP="00C80ABE">
            <w:pPr>
              <w:pStyle w:val="ListParagraph"/>
              <w:numPr>
                <w:ilvl w:val="0"/>
                <w:numId w:val="2"/>
              </w:numPr>
            </w:pPr>
            <w:r w:rsidRPr="00F346B9">
              <w:t>OPG is Ontario’s largest energy provider. At Dec. 31, 2015, OPG generating portfolio had an in-service capacity of 17,055 megawatts (MW) (2015 Annual Report);</w:t>
            </w:r>
          </w:p>
          <w:p w:rsidR="00102A67" w:rsidRPr="00F346B9" w:rsidRDefault="00102A67" w:rsidP="00C80ABE">
            <w:pPr>
              <w:pStyle w:val="ListParagraph"/>
              <w:numPr>
                <w:ilvl w:val="0"/>
                <w:numId w:val="2"/>
              </w:numPr>
            </w:pPr>
            <w:r w:rsidRPr="00F346B9">
              <w:t>OPG produces almost half of the electricity used by Ontario homes, schools, hospitals and businesses (</w:t>
            </w:r>
            <w:hyperlink r:id="rId9" w:history="1">
              <w:r w:rsidRPr="00F346B9">
                <w:t>http://www.opg.com/about/Pages/about.aspx</w:t>
              </w:r>
            </w:hyperlink>
            <w:r w:rsidRPr="00F346B9">
              <w:t>.);</w:t>
            </w:r>
          </w:p>
          <w:p w:rsidR="00102A67" w:rsidRPr="00F346B9" w:rsidRDefault="00102A67" w:rsidP="00C80ABE">
            <w:pPr>
              <w:pStyle w:val="ListParagraph"/>
              <w:numPr>
                <w:ilvl w:val="0"/>
                <w:numId w:val="2"/>
              </w:numPr>
              <w:rPr>
                <w:rFonts w:ascii="Arial" w:hAnsi="Arial" w:cs="Arial"/>
                <w:sz w:val="20"/>
                <w:szCs w:val="20"/>
                <w:lang w:val="en-GB"/>
              </w:rPr>
            </w:pPr>
            <w:r w:rsidRPr="00F346B9">
              <w:t>OPG receives regulated prices for electricity generated from most of its hydroelectric facilities and all of the nuclear facilities that it operates (2015 Annual Report); and</w:t>
            </w:r>
          </w:p>
          <w:p w:rsidR="00102A67" w:rsidRPr="00F346B9" w:rsidRDefault="00102A67" w:rsidP="00C80ABE">
            <w:pPr>
              <w:pStyle w:val="ListParagraph"/>
              <w:numPr>
                <w:ilvl w:val="0"/>
                <w:numId w:val="2"/>
              </w:numPr>
              <w:rPr>
                <w:rFonts w:ascii="Arial" w:hAnsi="Arial" w:cs="Arial"/>
                <w:sz w:val="20"/>
                <w:szCs w:val="20"/>
                <w:lang w:val="en-GB"/>
              </w:rPr>
            </w:pPr>
            <w:r w:rsidRPr="00F346B9">
              <w:t>OPG earns revenue from five business segments: nuclear generation, nuclear waste management, Hydroelectric, contracted generation portfolio and services, trading and other non-generation (Note 16).</w:t>
            </w:r>
          </w:p>
          <w:p w:rsidR="00102A67" w:rsidRPr="00F346B9" w:rsidRDefault="00102A67" w:rsidP="001E1395">
            <w:pPr>
              <w:pStyle w:val="ListParagraph"/>
              <w:rPr>
                <w:rFonts w:ascii="Arial" w:hAnsi="Arial" w:cs="Arial"/>
                <w:sz w:val="20"/>
                <w:szCs w:val="20"/>
                <w:lang w:val="en-GB"/>
              </w:rPr>
            </w:pPr>
          </w:p>
        </w:tc>
        <w:tc>
          <w:tcPr>
            <w:tcW w:w="4127" w:type="dxa"/>
            <w:tcBorders>
              <w:top w:val="nil"/>
              <w:left w:val="nil"/>
              <w:bottom w:val="single" w:sz="8" w:space="0" w:color="auto"/>
              <w:right w:val="single" w:sz="8" w:space="0" w:color="auto"/>
            </w:tcBorders>
          </w:tcPr>
          <w:p w:rsidR="00F346B9" w:rsidRDefault="00F346B9" w:rsidP="00F346B9">
            <w:pPr>
              <w:ind w:left="158"/>
              <w:rPr>
                <w:rFonts w:cstheme="minorHAnsi"/>
                <w:b/>
                <w:sz w:val="20"/>
                <w:szCs w:val="20"/>
              </w:rPr>
            </w:pPr>
            <w:r>
              <w:rPr>
                <w:rFonts w:cstheme="minorHAnsi"/>
                <w:b/>
                <w:sz w:val="20"/>
                <w:szCs w:val="20"/>
              </w:rPr>
              <w:t>Yes.</w:t>
            </w:r>
          </w:p>
          <w:p w:rsidR="00714D66" w:rsidRDefault="003C1999" w:rsidP="00F346B9">
            <w:pPr>
              <w:ind w:left="158"/>
              <w:rPr>
                <w:rFonts w:cstheme="minorHAnsi"/>
                <w:b/>
                <w:sz w:val="20"/>
                <w:szCs w:val="20"/>
              </w:rPr>
            </w:pPr>
            <w:r w:rsidRPr="00714D66">
              <w:rPr>
                <w:rFonts w:cstheme="minorHAnsi"/>
                <w:b/>
                <w:sz w:val="20"/>
                <w:szCs w:val="20"/>
              </w:rPr>
              <w:t xml:space="preserve">OPG’s </w:t>
            </w:r>
            <w:r w:rsidR="00714D66">
              <w:rPr>
                <w:rFonts w:cstheme="minorHAnsi"/>
                <w:b/>
                <w:sz w:val="20"/>
                <w:szCs w:val="20"/>
                <w:u w:val="single"/>
              </w:rPr>
              <w:t>principal</w:t>
            </w:r>
            <w:r w:rsidR="00714D66">
              <w:rPr>
                <w:rFonts w:cstheme="minorHAnsi"/>
                <w:b/>
                <w:sz w:val="20"/>
                <w:szCs w:val="20"/>
              </w:rPr>
              <w:t>, active</w:t>
            </w:r>
            <w:r w:rsidRPr="00714D66">
              <w:rPr>
                <w:rFonts w:cstheme="minorHAnsi"/>
                <w:b/>
                <w:sz w:val="20"/>
                <w:szCs w:val="20"/>
              </w:rPr>
              <w:t xml:space="preserve"> business activity </w:t>
            </w:r>
            <w:r w:rsidR="00714D66">
              <w:rPr>
                <w:rFonts w:cstheme="minorHAnsi"/>
                <w:b/>
                <w:sz w:val="20"/>
                <w:szCs w:val="20"/>
              </w:rPr>
              <w:t>would remain</w:t>
            </w:r>
            <w:r w:rsidRPr="00714D66">
              <w:rPr>
                <w:rFonts w:cstheme="minorHAnsi"/>
                <w:b/>
                <w:sz w:val="20"/>
                <w:szCs w:val="20"/>
              </w:rPr>
              <w:t xml:space="preserve"> electricity generation; however, </w:t>
            </w:r>
            <w:r w:rsidR="00714D66">
              <w:rPr>
                <w:rFonts w:cstheme="minorHAnsi"/>
                <w:b/>
                <w:sz w:val="20"/>
                <w:szCs w:val="20"/>
              </w:rPr>
              <w:t xml:space="preserve">it is acknowledged that the </w:t>
            </w:r>
            <w:r w:rsidRPr="00714D66">
              <w:rPr>
                <w:rFonts w:cstheme="minorHAnsi"/>
                <w:b/>
                <w:sz w:val="20"/>
                <w:szCs w:val="20"/>
              </w:rPr>
              <w:t xml:space="preserve">level of debt associated with </w:t>
            </w:r>
            <w:r w:rsidR="00714D66">
              <w:rPr>
                <w:rFonts w:cstheme="minorHAnsi"/>
                <w:b/>
                <w:sz w:val="20"/>
                <w:szCs w:val="20"/>
              </w:rPr>
              <w:t xml:space="preserve">the </w:t>
            </w:r>
            <w:r w:rsidRPr="00714D66">
              <w:rPr>
                <w:rFonts w:cstheme="minorHAnsi"/>
                <w:b/>
                <w:sz w:val="20"/>
                <w:szCs w:val="20"/>
              </w:rPr>
              <w:t>GAM Trust</w:t>
            </w:r>
            <w:r w:rsidR="00714D66">
              <w:rPr>
                <w:rFonts w:cstheme="minorHAnsi"/>
                <w:b/>
                <w:sz w:val="20"/>
                <w:szCs w:val="20"/>
              </w:rPr>
              <w:t>/SPV</w:t>
            </w:r>
            <w:r w:rsidRPr="00714D66">
              <w:rPr>
                <w:rFonts w:cstheme="minorHAnsi"/>
                <w:b/>
                <w:sz w:val="20"/>
                <w:szCs w:val="20"/>
              </w:rPr>
              <w:t xml:space="preserve"> may exceed OPG’s debt associated with its primary business activity.</w:t>
            </w:r>
          </w:p>
          <w:p w:rsidR="00714D66" w:rsidRPr="00714D66" w:rsidRDefault="00714D66" w:rsidP="00F346B9">
            <w:pPr>
              <w:pStyle w:val="Default"/>
              <w:ind w:left="158"/>
              <w:rPr>
                <w:sz w:val="22"/>
                <w:szCs w:val="22"/>
              </w:rPr>
            </w:pPr>
            <w:r w:rsidRPr="00714D66">
              <w:rPr>
                <w:rFonts w:asciiTheme="minorHAnsi" w:hAnsiTheme="minorHAnsi" w:cstheme="minorHAnsi"/>
                <w:sz w:val="22"/>
                <w:szCs w:val="22"/>
              </w:rPr>
              <w:t xml:space="preserve">The controlled SPV structure </w:t>
            </w:r>
            <w:r>
              <w:rPr>
                <w:rFonts w:asciiTheme="minorHAnsi" w:hAnsiTheme="minorHAnsi" w:cstheme="minorHAnsi"/>
                <w:sz w:val="22"/>
                <w:szCs w:val="22"/>
              </w:rPr>
              <w:t>would be</w:t>
            </w:r>
            <w:r w:rsidRPr="00714D66">
              <w:rPr>
                <w:rFonts w:asciiTheme="minorHAnsi" w:hAnsiTheme="minorHAnsi" w:cstheme="minorHAnsi"/>
                <w:sz w:val="22"/>
                <w:szCs w:val="22"/>
              </w:rPr>
              <w:t xml:space="preserve"> used to hold</w:t>
            </w:r>
            <w:r>
              <w:rPr>
                <w:rFonts w:asciiTheme="minorHAnsi" w:hAnsiTheme="minorHAnsi" w:cstheme="minorHAnsi"/>
                <w:sz w:val="22"/>
                <w:szCs w:val="22"/>
              </w:rPr>
              <w:t xml:space="preserve"> the</w:t>
            </w:r>
            <w:r w:rsidRPr="00714D66">
              <w:rPr>
                <w:rFonts w:asciiTheme="minorHAnsi" w:hAnsiTheme="minorHAnsi" w:cstheme="minorHAnsi"/>
                <w:sz w:val="22"/>
                <w:szCs w:val="22"/>
              </w:rPr>
              <w:t xml:space="preserve"> right to charge customers</w:t>
            </w:r>
            <w:r>
              <w:rPr>
                <w:rFonts w:asciiTheme="minorHAnsi" w:hAnsiTheme="minorHAnsi" w:cstheme="minorHAnsi"/>
                <w:sz w:val="22"/>
                <w:szCs w:val="22"/>
              </w:rPr>
              <w:t xml:space="preserve"> (of LDCs)</w:t>
            </w:r>
            <w:r w:rsidRPr="00714D66">
              <w:rPr>
                <w:rFonts w:asciiTheme="minorHAnsi" w:hAnsiTheme="minorHAnsi" w:cstheme="minorHAnsi"/>
                <w:sz w:val="22"/>
                <w:szCs w:val="22"/>
              </w:rPr>
              <w:t xml:space="preserve"> for the benefit of debt holders</w:t>
            </w:r>
            <w:r>
              <w:rPr>
                <w:rFonts w:asciiTheme="minorHAnsi" w:hAnsiTheme="minorHAnsi" w:cstheme="minorHAnsi"/>
                <w:sz w:val="22"/>
                <w:szCs w:val="22"/>
              </w:rPr>
              <w:t xml:space="preserve">/investors. </w:t>
            </w:r>
          </w:p>
          <w:p w:rsidR="00FD30A0" w:rsidRDefault="00714D66" w:rsidP="00F346B9">
            <w:pPr>
              <w:ind w:left="158"/>
              <w:rPr>
                <w:rFonts w:cstheme="minorHAnsi"/>
              </w:rPr>
            </w:pPr>
            <w:r w:rsidRPr="00C65E88">
              <w:rPr>
                <w:rFonts w:cstheme="minorHAnsi"/>
                <w:b/>
              </w:rPr>
              <w:t>With regards to OPG’s l</w:t>
            </w:r>
            <w:r w:rsidR="00C65E88" w:rsidRPr="00C65E88">
              <w:rPr>
                <w:rFonts w:cstheme="minorHAnsi"/>
                <w:b/>
              </w:rPr>
              <w:t>oan to the Trust/SPV, it is expected that OPG</w:t>
            </w:r>
            <w:r w:rsidR="00FD30A0" w:rsidRPr="00C65E88">
              <w:rPr>
                <w:rFonts w:cstheme="minorHAnsi"/>
              </w:rPr>
              <w:t xml:space="preserve">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 </w:t>
            </w:r>
          </w:p>
          <w:p w:rsidR="00886408" w:rsidRPr="008B777F" w:rsidRDefault="00C65E88" w:rsidP="00F346B9">
            <w:pPr>
              <w:ind w:left="158"/>
              <w:rPr>
                <w:b/>
              </w:rPr>
            </w:pPr>
            <w:r>
              <w:rPr>
                <w:rFonts w:cstheme="minorHAnsi"/>
              </w:rPr>
              <w:t>The benefit of the structure is intended to provide a service to ratepayers who are individuals and organizations outside of the government reporting entity.</w:t>
            </w:r>
          </w:p>
        </w:tc>
      </w:tr>
      <w:tr w:rsidR="00102A67" w:rsidTr="00F346B9">
        <w:trPr>
          <w:cantSplit/>
          <w:trHeight w:val="536"/>
        </w:trPr>
        <w:tc>
          <w:tcPr>
            <w:tcW w:w="22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2A67" w:rsidRPr="00C97AA7" w:rsidRDefault="00102A67" w:rsidP="001E1395">
            <w:pPr>
              <w:rPr>
                <w:rFonts w:ascii="Arial" w:hAnsi="Arial" w:cs="Arial"/>
                <w:sz w:val="20"/>
                <w:szCs w:val="20"/>
                <w:lang w:val="en-GB"/>
              </w:rPr>
            </w:pPr>
            <w:r w:rsidRPr="00C97AA7">
              <w:rPr>
                <w:b/>
                <w:bCs/>
                <w:sz w:val="20"/>
                <w:szCs w:val="20"/>
                <w:lang w:val="en-GB"/>
              </w:rPr>
              <w:lastRenderedPageBreak/>
              <w:t xml:space="preserve">(D) </w:t>
            </w:r>
            <w:r w:rsidRPr="00C97AA7">
              <w:rPr>
                <w:sz w:val="20"/>
                <w:szCs w:val="20"/>
                <w:lang w:val="en-GB"/>
              </w:rPr>
              <w:t xml:space="preserve"> It can, in the normal course of its operations, maintain its operations and </w:t>
            </w:r>
            <w:r w:rsidRPr="00F346B9">
              <w:rPr>
                <w:color w:val="000000" w:themeColor="text1"/>
                <w:sz w:val="20"/>
                <w:szCs w:val="20"/>
                <w:lang w:val="en-GB"/>
              </w:rPr>
              <w:t>meet its liabilities from revenues received from sources outside of the government reporting entity</w:t>
            </w:r>
            <w:r w:rsidRPr="00F346B9">
              <w:rPr>
                <w:snapToGrid w:val="0"/>
                <w:color w:val="000000" w:themeColor="text1"/>
                <w:sz w:val="20"/>
                <w:szCs w:val="20"/>
                <w:lang w:val="en-GB"/>
              </w:rPr>
              <w:t>.</w:t>
            </w:r>
          </w:p>
        </w:tc>
        <w:tc>
          <w:tcPr>
            <w:tcW w:w="6897" w:type="dxa"/>
            <w:tcBorders>
              <w:top w:val="nil"/>
              <w:left w:val="nil"/>
              <w:bottom w:val="single" w:sz="8" w:space="0" w:color="auto"/>
              <w:right w:val="single" w:sz="8" w:space="0" w:color="auto"/>
            </w:tcBorders>
            <w:tcMar>
              <w:top w:w="0" w:type="dxa"/>
              <w:left w:w="108" w:type="dxa"/>
              <w:bottom w:w="0" w:type="dxa"/>
              <w:right w:w="108" w:type="dxa"/>
            </w:tcMar>
            <w:vAlign w:val="center"/>
          </w:tcPr>
          <w:p w:rsidR="00102A67" w:rsidRPr="00F346B9" w:rsidRDefault="00102A67" w:rsidP="001E1395">
            <w:r w:rsidRPr="00F346B9">
              <w:t>Yes.</w:t>
            </w:r>
          </w:p>
          <w:p w:rsidR="00102A67" w:rsidRPr="00F346B9" w:rsidRDefault="00102A67" w:rsidP="001E1395">
            <w:r w:rsidRPr="00F346B9">
              <w:t>OPG has reported positive financial results, does not receive transfers from the Province of Ontario and has demonstrated its ability of maintaining its operations and meeting its liabilities without relying on the Province of Ontario.</w:t>
            </w:r>
          </w:p>
          <w:p w:rsidR="00102A67" w:rsidRPr="00F346B9" w:rsidRDefault="00102A67" w:rsidP="001E1395">
            <w:pPr>
              <w:rPr>
                <w:rFonts w:ascii="Arial" w:hAnsi="Arial" w:cs="Arial"/>
                <w:sz w:val="20"/>
                <w:szCs w:val="20"/>
                <w:lang w:val="en-GB"/>
              </w:rPr>
            </w:pPr>
          </w:p>
        </w:tc>
        <w:tc>
          <w:tcPr>
            <w:tcW w:w="4127" w:type="dxa"/>
            <w:tcBorders>
              <w:top w:val="nil"/>
              <w:left w:val="nil"/>
              <w:bottom w:val="single" w:sz="8" w:space="0" w:color="auto"/>
              <w:right w:val="single" w:sz="8" w:space="0" w:color="auto"/>
            </w:tcBorders>
          </w:tcPr>
          <w:p w:rsidR="00102A67" w:rsidRPr="00F346B9" w:rsidRDefault="00F346B9" w:rsidP="00102A67">
            <w:pPr>
              <w:pStyle w:val="Default"/>
              <w:rPr>
                <w:rFonts w:asciiTheme="minorHAnsi" w:hAnsiTheme="minorHAnsi" w:cstheme="minorHAnsi"/>
                <w:sz w:val="22"/>
                <w:szCs w:val="22"/>
              </w:rPr>
            </w:pPr>
            <w:r>
              <w:t xml:space="preserve">  </w:t>
            </w:r>
            <w:r w:rsidRPr="00F346B9">
              <w:rPr>
                <w:rFonts w:asciiTheme="minorHAnsi" w:hAnsiTheme="minorHAnsi" w:cstheme="minorHAnsi"/>
                <w:sz w:val="22"/>
                <w:szCs w:val="22"/>
              </w:rPr>
              <w:t xml:space="preserve">Yes. </w:t>
            </w:r>
          </w:p>
          <w:p w:rsidR="00102A67" w:rsidRPr="00C65E88" w:rsidRDefault="00C65E88" w:rsidP="00F346B9">
            <w:pPr>
              <w:pStyle w:val="Default"/>
              <w:ind w:left="158" w:right="142"/>
              <w:rPr>
                <w:rFonts w:asciiTheme="minorHAnsi" w:hAnsiTheme="minorHAnsi" w:cstheme="minorHAnsi"/>
                <w:sz w:val="22"/>
                <w:szCs w:val="22"/>
              </w:rPr>
            </w:pPr>
            <w:r>
              <w:rPr>
                <w:rFonts w:asciiTheme="minorHAnsi" w:hAnsiTheme="minorHAnsi" w:cstheme="minorHAnsi"/>
                <w:sz w:val="22"/>
                <w:szCs w:val="22"/>
              </w:rPr>
              <w:t xml:space="preserve">Liabilities of the Trust/SPV will be funded through a combination of both </w:t>
            </w:r>
            <w:proofErr w:type="gramStart"/>
            <w:r>
              <w:rPr>
                <w:rFonts w:asciiTheme="minorHAnsi" w:hAnsiTheme="minorHAnsi" w:cstheme="minorHAnsi"/>
                <w:sz w:val="22"/>
                <w:szCs w:val="22"/>
              </w:rPr>
              <w:t>debt</w:t>
            </w:r>
            <w:proofErr w:type="gramEnd"/>
            <w:r>
              <w:rPr>
                <w:rFonts w:asciiTheme="minorHAnsi" w:hAnsiTheme="minorHAnsi" w:cstheme="minorHAnsi"/>
                <w:sz w:val="22"/>
                <w:szCs w:val="22"/>
              </w:rPr>
              <w:t xml:space="preserve"> from OPG as well as external financing, the latter of which will exceed 50%. </w:t>
            </w:r>
            <w:r w:rsidR="00102A67" w:rsidRPr="00C65E88">
              <w:rPr>
                <w:rFonts w:asciiTheme="minorHAnsi" w:hAnsiTheme="minorHAnsi" w:cstheme="minorHAnsi"/>
                <w:sz w:val="22"/>
                <w:szCs w:val="22"/>
              </w:rPr>
              <w:t xml:space="preserve">Legislation </w:t>
            </w:r>
            <w:r>
              <w:rPr>
                <w:rFonts w:asciiTheme="minorHAnsi" w:hAnsiTheme="minorHAnsi" w:cstheme="minorHAnsi"/>
                <w:sz w:val="22"/>
                <w:szCs w:val="22"/>
              </w:rPr>
              <w:t xml:space="preserve">would allow for recovery of </w:t>
            </w:r>
            <w:r w:rsidR="00102A67" w:rsidRPr="00C65E88">
              <w:rPr>
                <w:rFonts w:asciiTheme="minorHAnsi" w:hAnsiTheme="minorHAnsi" w:cstheme="minorHAnsi"/>
                <w:sz w:val="22"/>
                <w:szCs w:val="22"/>
              </w:rPr>
              <w:t xml:space="preserve">interest, carrying and administrative costs, so that the </w:t>
            </w:r>
            <w:r>
              <w:rPr>
                <w:rFonts w:asciiTheme="minorHAnsi" w:hAnsiTheme="minorHAnsi" w:cstheme="minorHAnsi"/>
                <w:sz w:val="22"/>
                <w:szCs w:val="22"/>
              </w:rPr>
              <w:t>Trust/SPV is able to sufficiently cover any</w:t>
            </w:r>
            <w:r w:rsidR="00102A67" w:rsidRPr="00C65E88">
              <w:rPr>
                <w:rFonts w:asciiTheme="minorHAnsi" w:hAnsiTheme="minorHAnsi" w:cstheme="minorHAnsi"/>
                <w:sz w:val="22"/>
                <w:szCs w:val="22"/>
              </w:rPr>
              <w:t xml:space="preserve"> ongoing costs</w:t>
            </w:r>
            <w:r>
              <w:rPr>
                <w:rFonts w:asciiTheme="minorHAnsi" w:hAnsiTheme="minorHAnsi" w:cstheme="minorHAnsi"/>
                <w:sz w:val="22"/>
                <w:szCs w:val="22"/>
              </w:rPr>
              <w:t xml:space="preserve"> through future recoveries through LDC billings</w:t>
            </w:r>
            <w:r w:rsidR="00102A67" w:rsidRPr="00C65E88">
              <w:rPr>
                <w:rFonts w:asciiTheme="minorHAnsi" w:hAnsiTheme="minorHAnsi" w:cstheme="minorHAnsi"/>
                <w:sz w:val="22"/>
                <w:szCs w:val="22"/>
              </w:rPr>
              <w:t xml:space="preserve">. </w:t>
            </w:r>
            <w:r>
              <w:rPr>
                <w:rFonts w:asciiTheme="minorHAnsi" w:hAnsiTheme="minorHAnsi" w:cstheme="minorHAnsi"/>
                <w:sz w:val="22"/>
                <w:szCs w:val="22"/>
              </w:rPr>
              <w:t xml:space="preserve">(Sources of future economic inflows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outside of the government reporting entity). </w:t>
            </w:r>
          </w:p>
          <w:p w:rsidR="00886408" w:rsidRPr="00C65E88" w:rsidRDefault="00886408" w:rsidP="00F346B9">
            <w:pPr>
              <w:pStyle w:val="Default"/>
              <w:ind w:left="158" w:right="142"/>
              <w:rPr>
                <w:rFonts w:asciiTheme="minorHAnsi" w:hAnsiTheme="minorHAnsi" w:cstheme="minorHAnsi"/>
                <w:sz w:val="22"/>
                <w:szCs w:val="22"/>
              </w:rPr>
            </w:pPr>
          </w:p>
          <w:p w:rsidR="00886408" w:rsidRPr="00C65E88" w:rsidRDefault="00C65E88" w:rsidP="00F346B9">
            <w:pPr>
              <w:pStyle w:val="Default"/>
              <w:ind w:left="158" w:right="142"/>
              <w:rPr>
                <w:rFonts w:asciiTheme="minorHAnsi" w:hAnsiTheme="minorHAnsi" w:cstheme="minorHAnsi"/>
                <w:color w:val="000000" w:themeColor="text1"/>
                <w:sz w:val="22"/>
                <w:szCs w:val="22"/>
              </w:rPr>
            </w:pPr>
            <w:r>
              <w:rPr>
                <w:rFonts w:asciiTheme="minorHAnsi" w:hAnsiTheme="minorHAnsi" w:cstheme="minorHAnsi"/>
                <w:sz w:val="22"/>
                <w:szCs w:val="22"/>
              </w:rPr>
              <w:t xml:space="preserve">In order to preserve the Trust’s ability to recover deferred costs, and to mitigate risks for external and OPG debt, the right to recover will be </w:t>
            </w:r>
            <w:r w:rsidR="00886408" w:rsidRPr="00C65E88">
              <w:rPr>
                <w:rFonts w:asciiTheme="minorHAnsi" w:hAnsiTheme="minorHAnsi" w:cstheme="minorHAnsi"/>
                <w:sz w:val="22"/>
                <w:szCs w:val="22"/>
              </w:rPr>
              <w:t>irrevocable and, if amended</w:t>
            </w:r>
            <w:r w:rsidR="00886408" w:rsidRPr="00C65E88">
              <w:rPr>
                <w:rFonts w:asciiTheme="minorHAnsi" w:hAnsiTheme="minorHAnsi" w:cstheme="minorHAnsi"/>
                <w:color w:val="000000" w:themeColor="text1"/>
                <w:sz w:val="22"/>
                <w:szCs w:val="22"/>
              </w:rPr>
              <w:t xml:space="preserve"> by future governments, debt holders </w:t>
            </w:r>
            <w:r w:rsidRPr="00C65E88">
              <w:rPr>
                <w:rFonts w:asciiTheme="minorHAnsi" w:hAnsiTheme="minorHAnsi" w:cstheme="minorHAnsi"/>
                <w:color w:val="000000" w:themeColor="text1"/>
                <w:sz w:val="22"/>
                <w:szCs w:val="22"/>
              </w:rPr>
              <w:t xml:space="preserve">would </w:t>
            </w:r>
            <w:r w:rsidR="00886408" w:rsidRPr="00C65E88">
              <w:rPr>
                <w:rFonts w:asciiTheme="minorHAnsi" w:hAnsiTheme="minorHAnsi" w:cstheme="minorHAnsi"/>
                <w:color w:val="000000" w:themeColor="text1"/>
                <w:sz w:val="22"/>
                <w:szCs w:val="22"/>
              </w:rPr>
              <w:t>have the right of action against the government to recover the amount outstanding including interest, fees, expenses and any damage</w:t>
            </w:r>
            <w:r w:rsidR="00F346B9">
              <w:rPr>
                <w:rFonts w:asciiTheme="minorHAnsi" w:hAnsiTheme="minorHAnsi" w:cstheme="minorHAnsi"/>
                <w:color w:val="000000" w:themeColor="text1"/>
                <w:sz w:val="22"/>
                <w:szCs w:val="22"/>
              </w:rPr>
              <w:t>s resulting from the amendment.</w:t>
            </w:r>
          </w:p>
          <w:p w:rsidR="00886408" w:rsidRDefault="00886408" w:rsidP="00C65E88">
            <w:pPr>
              <w:pStyle w:val="Default"/>
              <w:ind w:left="158"/>
              <w:rPr>
                <w:sz w:val="20"/>
                <w:szCs w:val="20"/>
              </w:rPr>
            </w:pPr>
          </w:p>
          <w:p w:rsidR="00102A67" w:rsidRPr="008B777F" w:rsidRDefault="00102A67" w:rsidP="001E1395">
            <w:pPr>
              <w:rPr>
                <w:b/>
              </w:rPr>
            </w:pPr>
          </w:p>
        </w:tc>
      </w:tr>
      <w:tr w:rsidR="00102A67" w:rsidTr="00F346B9">
        <w:trPr>
          <w:trHeight w:val="950"/>
        </w:trPr>
        <w:tc>
          <w:tcPr>
            <w:tcW w:w="9164"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346B9" w:rsidRPr="00F346B9" w:rsidRDefault="00102A67" w:rsidP="00F346B9">
            <w:pPr>
              <w:spacing w:line="240" w:lineRule="auto"/>
              <w:rPr>
                <w:bCs/>
                <w:lang w:val="en-GB"/>
              </w:rPr>
            </w:pPr>
            <w:r w:rsidRPr="00F346B9">
              <w:rPr>
                <w:bCs/>
                <w:lang w:val="en-GB"/>
              </w:rPr>
              <w:t xml:space="preserve">Conclusion </w:t>
            </w:r>
          </w:p>
          <w:p w:rsidR="00C65E88" w:rsidRPr="00F346B9" w:rsidRDefault="00C65E88" w:rsidP="00F346B9">
            <w:pPr>
              <w:spacing w:line="240" w:lineRule="auto"/>
              <w:rPr>
                <w:bCs/>
                <w:u w:val="single"/>
                <w:lang w:val="en-GB"/>
              </w:rPr>
            </w:pPr>
            <w:r w:rsidRPr="00F346B9">
              <w:rPr>
                <w:bCs/>
                <w:u w:val="single"/>
                <w:lang w:val="en-GB"/>
              </w:rPr>
              <w:t>Status Quo</w:t>
            </w:r>
          </w:p>
          <w:p w:rsidR="00102A67" w:rsidRPr="00F346B9" w:rsidRDefault="00102A67" w:rsidP="00F346B9">
            <w:pPr>
              <w:spacing w:line="240" w:lineRule="auto"/>
              <w:rPr>
                <w:rFonts w:ascii="Arial" w:hAnsi="Arial" w:cs="Arial"/>
                <w:bCs/>
                <w:sz w:val="20"/>
                <w:szCs w:val="20"/>
                <w:lang w:val="en-GB"/>
              </w:rPr>
            </w:pPr>
            <w:r w:rsidRPr="00F346B9">
              <w:rPr>
                <w:bCs/>
                <w:lang w:val="en-GB"/>
              </w:rPr>
              <w:t>OPG meets all the four characteristics and therefore qualifies as a GBE.</w:t>
            </w:r>
          </w:p>
        </w:tc>
        <w:tc>
          <w:tcPr>
            <w:tcW w:w="4127" w:type="dxa"/>
            <w:tcBorders>
              <w:top w:val="single" w:sz="8" w:space="0" w:color="auto"/>
              <w:left w:val="single" w:sz="8" w:space="0" w:color="auto"/>
              <w:bottom w:val="single" w:sz="8" w:space="0" w:color="auto"/>
              <w:right w:val="single" w:sz="8" w:space="0" w:color="auto"/>
            </w:tcBorders>
            <w:shd w:val="clear" w:color="auto" w:fill="auto"/>
          </w:tcPr>
          <w:p w:rsidR="00C65E88" w:rsidRPr="00F346B9" w:rsidRDefault="00F346B9" w:rsidP="00F346B9">
            <w:pPr>
              <w:spacing w:line="360" w:lineRule="auto"/>
              <w:ind w:left="158" w:firstLine="16"/>
              <w:rPr>
                <w:rFonts w:cstheme="minorHAnsi"/>
                <w:u w:val="single"/>
              </w:rPr>
            </w:pPr>
            <w:r w:rsidRPr="00F346B9">
              <w:rPr>
                <w:rFonts w:cstheme="minorHAnsi"/>
                <w:u w:val="single"/>
              </w:rPr>
              <w:t>Post-GA</w:t>
            </w:r>
            <w:r>
              <w:rPr>
                <w:rFonts w:cstheme="minorHAnsi"/>
                <w:u w:val="single"/>
              </w:rPr>
              <w:t xml:space="preserve"> </w:t>
            </w:r>
            <w:r w:rsidRPr="00F346B9">
              <w:rPr>
                <w:rFonts w:cstheme="minorHAnsi"/>
                <w:u w:val="single"/>
              </w:rPr>
              <w:t xml:space="preserve"> Implementation</w:t>
            </w:r>
          </w:p>
          <w:p w:rsidR="00102A67" w:rsidRPr="00886408" w:rsidRDefault="00886408" w:rsidP="00F346B9">
            <w:pPr>
              <w:spacing w:line="240" w:lineRule="auto"/>
              <w:ind w:left="158" w:firstLine="16"/>
              <w:rPr>
                <w:rFonts w:ascii="Times New Roman" w:hAnsi="Times New Roman" w:cs="Times New Roman"/>
                <w:b/>
                <w:bCs/>
                <w:sz w:val="20"/>
                <w:szCs w:val="20"/>
                <w:lang w:val="en-GB"/>
              </w:rPr>
            </w:pPr>
            <w:r w:rsidRPr="00F346B9">
              <w:rPr>
                <w:rFonts w:cstheme="minorHAnsi"/>
              </w:rPr>
              <w:t>assuming the legislation works, we will have a view that OPG can fund its operations between the external market and the OFA</w:t>
            </w:r>
          </w:p>
        </w:tc>
      </w:tr>
    </w:tbl>
    <w:p w:rsidR="00C80ABE" w:rsidRDefault="00C80ABE" w:rsidP="00F346B9"/>
    <w:sectPr w:rsidR="00C80ABE" w:rsidSect="00F346B9">
      <w:footerReference w:type="default" r:id="rId10"/>
      <w:pgSz w:w="15840" w:h="12240" w:orient="landscape"/>
      <w:pgMar w:top="141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BE" w:rsidRDefault="00C80ABE" w:rsidP="00C80ABE">
      <w:pPr>
        <w:spacing w:after="0" w:line="240" w:lineRule="auto"/>
      </w:pPr>
      <w:r>
        <w:separator/>
      </w:r>
    </w:p>
  </w:endnote>
  <w:endnote w:type="continuationSeparator" w:id="0">
    <w:p w:rsidR="00C80ABE" w:rsidRDefault="00C80ABE" w:rsidP="00C80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ABE" w:rsidRDefault="00C80ABE">
    <w:pPr>
      <w:pStyle w:val="Footer"/>
    </w:pPr>
    <w:r>
      <w:t xml:space="preserve">Prepared by </w:t>
    </w:r>
    <w:r w:rsidR="00F346B9">
      <w:t>OPCD</w:t>
    </w:r>
    <w:r>
      <w:tab/>
    </w:r>
    <w:r>
      <w:tab/>
      <w:t>Feb 28, 2017</w:t>
    </w:r>
  </w:p>
  <w:p w:rsidR="00C80ABE" w:rsidRDefault="00C80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BE" w:rsidRDefault="00C80ABE" w:rsidP="00C80ABE">
      <w:pPr>
        <w:spacing w:after="0" w:line="240" w:lineRule="auto"/>
      </w:pPr>
      <w:r>
        <w:separator/>
      </w:r>
    </w:p>
  </w:footnote>
  <w:footnote w:type="continuationSeparator" w:id="0">
    <w:p w:rsidR="00C80ABE" w:rsidRDefault="00C80ABE" w:rsidP="00C80A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A445B"/>
    <w:multiLevelType w:val="hybridMultilevel"/>
    <w:tmpl w:val="27F07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6124297"/>
    <w:multiLevelType w:val="hybridMultilevel"/>
    <w:tmpl w:val="4B6E4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BE"/>
    <w:rsid w:val="000F5C93"/>
    <w:rsid w:val="00102A67"/>
    <w:rsid w:val="00176540"/>
    <w:rsid w:val="00262409"/>
    <w:rsid w:val="002F0593"/>
    <w:rsid w:val="00347F80"/>
    <w:rsid w:val="003C1999"/>
    <w:rsid w:val="00543E57"/>
    <w:rsid w:val="00592CA5"/>
    <w:rsid w:val="00611311"/>
    <w:rsid w:val="00714D66"/>
    <w:rsid w:val="00717E48"/>
    <w:rsid w:val="008531ED"/>
    <w:rsid w:val="00886408"/>
    <w:rsid w:val="00A3146A"/>
    <w:rsid w:val="00A94A73"/>
    <w:rsid w:val="00AC5447"/>
    <w:rsid w:val="00AF28F5"/>
    <w:rsid w:val="00C65E88"/>
    <w:rsid w:val="00C80ABE"/>
    <w:rsid w:val="00F346B9"/>
    <w:rsid w:val="00F9573B"/>
    <w:rsid w:val="00FD30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B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ABE"/>
    <w:pPr>
      <w:ind w:left="720"/>
      <w:contextualSpacing/>
    </w:pPr>
  </w:style>
  <w:style w:type="character" w:styleId="Hyperlink">
    <w:name w:val="Hyperlink"/>
    <w:basedOn w:val="DefaultParagraphFont"/>
    <w:uiPriority w:val="99"/>
    <w:unhideWhenUsed/>
    <w:rsid w:val="00C80ABE"/>
    <w:rPr>
      <w:color w:val="0000FF"/>
      <w:u w:val="single"/>
    </w:rPr>
  </w:style>
  <w:style w:type="paragraph" w:styleId="Header">
    <w:name w:val="header"/>
    <w:basedOn w:val="Normal"/>
    <w:link w:val="HeaderChar"/>
    <w:uiPriority w:val="99"/>
    <w:unhideWhenUsed/>
    <w:rsid w:val="00C80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ABE"/>
  </w:style>
  <w:style w:type="paragraph" w:styleId="Footer">
    <w:name w:val="footer"/>
    <w:basedOn w:val="Normal"/>
    <w:link w:val="FooterChar"/>
    <w:uiPriority w:val="99"/>
    <w:unhideWhenUsed/>
    <w:rsid w:val="00C80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ABE"/>
  </w:style>
  <w:style w:type="paragraph" w:styleId="BalloonText">
    <w:name w:val="Balloon Text"/>
    <w:basedOn w:val="Normal"/>
    <w:link w:val="BalloonTextChar"/>
    <w:uiPriority w:val="99"/>
    <w:semiHidden/>
    <w:unhideWhenUsed/>
    <w:rsid w:val="00C8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BE"/>
    <w:rPr>
      <w:rFonts w:ascii="Tahoma" w:hAnsi="Tahoma" w:cs="Tahoma"/>
      <w:sz w:val="16"/>
      <w:szCs w:val="16"/>
    </w:rPr>
  </w:style>
  <w:style w:type="paragraph" w:customStyle="1" w:styleId="Default">
    <w:name w:val="Default"/>
    <w:rsid w:val="00717E4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B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ABE"/>
    <w:pPr>
      <w:ind w:left="720"/>
      <w:contextualSpacing/>
    </w:pPr>
  </w:style>
  <w:style w:type="character" w:styleId="Hyperlink">
    <w:name w:val="Hyperlink"/>
    <w:basedOn w:val="DefaultParagraphFont"/>
    <w:uiPriority w:val="99"/>
    <w:unhideWhenUsed/>
    <w:rsid w:val="00C80ABE"/>
    <w:rPr>
      <w:color w:val="0000FF"/>
      <w:u w:val="single"/>
    </w:rPr>
  </w:style>
  <w:style w:type="paragraph" w:styleId="Header">
    <w:name w:val="header"/>
    <w:basedOn w:val="Normal"/>
    <w:link w:val="HeaderChar"/>
    <w:uiPriority w:val="99"/>
    <w:unhideWhenUsed/>
    <w:rsid w:val="00C80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ABE"/>
  </w:style>
  <w:style w:type="paragraph" w:styleId="Footer">
    <w:name w:val="footer"/>
    <w:basedOn w:val="Normal"/>
    <w:link w:val="FooterChar"/>
    <w:uiPriority w:val="99"/>
    <w:unhideWhenUsed/>
    <w:rsid w:val="00C80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ABE"/>
  </w:style>
  <w:style w:type="paragraph" w:styleId="BalloonText">
    <w:name w:val="Balloon Text"/>
    <w:basedOn w:val="Normal"/>
    <w:link w:val="BalloonTextChar"/>
    <w:uiPriority w:val="99"/>
    <w:semiHidden/>
    <w:unhideWhenUsed/>
    <w:rsid w:val="00C8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ABE"/>
    <w:rPr>
      <w:rFonts w:ascii="Tahoma" w:hAnsi="Tahoma" w:cs="Tahoma"/>
      <w:sz w:val="16"/>
      <w:szCs w:val="16"/>
    </w:rPr>
  </w:style>
  <w:style w:type="paragraph" w:customStyle="1" w:styleId="Default">
    <w:name w:val="Default"/>
    <w:rsid w:val="00717E4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g.com/about/management/Pages/management.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pg.com/about/Pages/abou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Wendy (TBS)</dc:creator>
  <cp:lastModifiedBy>Petsche, Nadine  (TBS)</cp:lastModifiedBy>
  <cp:revision>2</cp:revision>
  <dcterms:created xsi:type="dcterms:W3CDTF">2017-03-02T03:24:00Z</dcterms:created>
  <dcterms:modified xsi:type="dcterms:W3CDTF">2017-03-02T03:24:00Z</dcterms:modified>
</cp:coreProperties>
</file>