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F06" w:rsidRDefault="00566583">
      <w:pPr>
        <w:pStyle w:val="BodyText"/>
        <w:jc w:val="center"/>
        <w:rPr>
          <w:b/>
          <w:u w:val="single"/>
        </w:rPr>
      </w:pPr>
      <w:r>
        <w:rPr>
          <w:b/>
          <w:u w:val="single"/>
        </w:rPr>
        <w:t xml:space="preserve">“Fair Hydro Act” </w:t>
      </w:r>
    </w:p>
    <w:p w:rsidR="00115F06" w:rsidRDefault="00566583">
      <w:pPr>
        <w:pStyle w:val="BodyText"/>
        <w:rPr>
          <w:b/>
        </w:rPr>
      </w:pPr>
      <w:r>
        <w:rPr>
          <w:b/>
        </w:rPr>
        <w:t>Article 1 – Purpose</w:t>
      </w:r>
    </w:p>
    <w:p w:rsidR="00115F06" w:rsidRDefault="00566583">
      <w:pPr>
        <w:pStyle w:val="BodyText"/>
      </w:pPr>
      <w:r>
        <w:t>The Province has and continues to encourage the construction and development of facilities for the long-term operation and generation of electricity in the Province using sustainable, lower carbon-based technologies such as new gas-fired generation, renewable facilities, energy from waste and biomass, including under the Province’s various procurement, standard offer, feed in tariff and other similar programs (the “</w:t>
      </w:r>
      <w:r>
        <w:rPr>
          <w:u w:val="single"/>
        </w:rPr>
        <w:t>Green Generation Initiative</w:t>
      </w:r>
      <w:r>
        <w:t>”).  The long-term benefits of the Green Generation Initiative accrue over time and have benefited and will</w:t>
      </w:r>
      <w:r w:rsidR="00CB4964">
        <w:t xml:space="preserve"> continue to</w:t>
      </w:r>
      <w:r>
        <w:t xml:space="preserve"> benefit present and future electricity consumers in the Province.</w:t>
      </w:r>
    </w:p>
    <w:p w:rsidR="00115F06" w:rsidRDefault="00566583">
      <w:pPr>
        <w:pStyle w:val="BodyText"/>
      </w:pPr>
      <w:r>
        <w:t>The imputed costs of the Green Generation Initiative are currently passed through to electricity consumers by way of a monthly adjustment amount (the “</w:t>
      </w:r>
      <w:r>
        <w:rPr>
          <w:u w:val="single"/>
        </w:rPr>
        <w:t>Green Costs Adjustment</w:t>
      </w:r>
      <w:r>
        <w:t>”), which in turn forms part of the overall adjustment calculated by the Independent Electricity System Operator (“</w:t>
      </w:r>
      <w:r>
        <w:rPr>
          <w:u w:val="single"/>
        </w:rPr>
        <w:t>IESO</w:t>
      </w:r>
      <w:r>
        <w:t xml:space="preserve">”) pursuant to section 25.33 of, and O.Reg. 429/4 under, the </w:t>
      </w:r>
      <w:r>
        <w:rPr>
          <w:i/>
        </w:rPr>
        <w:t>Electricity Act</w:t>
      </w:r>
      <w:r>
        <w:t xml:space="preserve"> (the “</w:t>
      </w:r>
      <w:r>
        <w:rPr>
          <w:u w:val="single"/>
        </w:rPr>
        <w:t>Global Adjustment</w:t>
      </w:r>
      <w:r>
        <w:t xml:space="preserve">”).  The Global Adjustment is included as </w:t>
      </w:r>
      <w:r w:rsidR="005E6F9E">
        <w:t>part of the commodity cost of electricity on monthly electricity bills issued to consumers</w:t>
      </w:r>
      <w:r>
        <w:t>.</w:t>
      </w:r>
    </w:p>
    <w:p w:rsidR="00115F06" w:rsidRDefault="00566583">
      <w:pPr>
        <w:pStyle w:val="BodyText"/>
      </w:pPr>
      <w:r>
        <w:t>The Green Costs Adjustment is currently determined each month by reference to the amounts paid by IESO to the generators of electricity in the Province under the Green Generation Initiative, which may be higher than prevailing market price for electricity. These differences arise because IESO has entered into long-term procurement contracts with such generators in order to provide them with long-term price certainty for electricity, and in turn to encourage the generators to develop technologies and to construct and develop facilities consistent with the Green Generation Initiative. In general, whenever amounts payable under these procurement contracts exceed the market price for electricity, the Green Costs Adjustment passes through the amount of such differences as part of the monthly charge to electricity consumers. Such amount then becomes available to IESO to meet its obligations under the procurement contracts</w:t>
      </w:r>
      <w:r w:rsidR="005E6F9E">
        <w:t xml:space="preserve"> </w:t>
      </w:r>
      <w:r w:rsidR="005E6F9E" w:rsidRPr="005E6F9E">
        <w:rPr>
          <w:b/>
        </w:rPr>
        <w:t>[NTD: The adjustment works both ways.  If lower than market price, difference flows to consumers]</w:t>
      </w:r>
      <w:r>
        <w:t xml:space="preserve">. It has been determined that the useful lives of many of the assets </w:t>
      </w:r>
      <w:r w:rsidR="005E6F9E">
        <w:t>developed under</w:t>
      </w:r>
      <w:r>
        <w:t xml:space="preserve"> the Green Generation Initiative will be well in excess of the respective terms of the related procurement contracts.  </w:t>
      </w:r>
    </w:p>
    <w:p w:rsidR="00115F06" w:rsidRDefault="00566583">
      <w:pPr>
        <w:pStyle w:val="BodyText"/>
      </w:pPr>
      <w:r>
        <w:t xml:space="preserve">Since the benefits to past, present and future electricity consumers from the Green Generation Initiative will not necessarily coincide with the costs currently attributed through the Green Costs Adjustment, based on the respective durations of the procurement contracts, it has been determined that the rate at which the costs associated with the Green Generation Initiative should be passed through to Retail Consumers (as defined in Article 2) </w:t>
      </w:r>
      <w:r w:rsidR="00CB4964">
        <w:t>should</w:t>
      </w:r>
      <w:r>
        <w:t xml:space="preserve"> be more closely aligned with the benefits that such Retail Consumers have derived and are expected to derive from the Green Generation Initiative over time. This realignment will be based on principles and parameters that establish a reasonable basis for measuring and allocating the relative costs and benefits of the Green Generation Initiative equitably across present and future Retail Consumers (the “</w:t>
      </w:r>
      <w:r>
        <w:rPr>
          <w:u w:val="single"/>
        </w:rPr>
        <w:t>Fair Allocation Plan</w:t>
      </w:r>
      <w:r>
        <w:t>”).</w:t>
      </w:r>
      <w:r w:rsidR="002D5217" w:rsidRPr="002D5217">
        <w:t xml:space="preserve"> </w:t>
      </w:r>
      <w:r w:rsidR="002D5217" w:rsidRPr="002D5217">
        <w:rPr>
          <w:b/>
          <w:highlight w:val="yellow"/>
        </w:rPr>
        <w:t>[Note:  There is no explanation as to why realignment is limited to Retail Consumers.]</w:t>
      </w:r>
    </w:p>
    <w:p w:rsidR="00115F06" w:rsidRDefault="00566583">
      <w:pPr>
        <w:pStyle w:val="BodyText"/>
      </w:pPr>
      <w:r>
        <w:lastRenderedPageBreak/>
        <w:t xml:space="preserve">If the Fair Allocation Plan determines that the equitable allocation of the costs associated with the Green Generation Initiative to the Retail Consumers of a particular time period should be reduced below the amount that currently would be charged based on the Green Costs Adjustment, then the amount payable by such Retail Consumers and in turn available to IESO will, in the aggregate, be less than the amount payable by the IESO to the generators in respect of such period.  In this </w:t>
      </w:r>
      <w:r w:rsidR="00CB4964">
        <w:t xml:space="preserve">case, </w:t>
      </w:r>
      <w:r>
        <w:t>IESO will need to obtain funding from another source to cover such a shortfall. If a funding obligation is incurred to cover such a shortfall during one period, the repayment of such funding obligation will be required in a future period, and any related repayments, finance costs, hedging costs and other transaction costs incurred will become payable in one or more future periods. In order for IESO to obtain a reliable and committed source of cash flows to enable IESO to repay such funding amounts when they become due and payable, this Act imposes irrevocable and non-bypassable financial obligations on Retail Consumers to pay amounts incurred in respect of such funding obligations when they become due and payable and establishes a right to invoice and collect</w:t>
      </w:r>
      <w:r w:rsidR="005E6F9E">
        <w:t xml:space="preserve"> </w:t>
      </w:r>
      <w:r>
        <w:t xml:space="preserve">such amounts. The right and interest in and to collect such financial obligations will take the form of the Regulatory Asset contemplated in this Act, which will constitute property rights and interests. Interests in the Regulatory Asset may be sold and absolutely assigned by IESO to one or more financing entities, which in turn will finance their acquired interests by incurring funding obligations.  The incurrence and payment of such funding obligations will be administered on behalf </w:t>
      </w:r>
      <w:r w:rsidR="00CB4964">
        <w:t xml:space="preserve">of </w:t>
      </w:r>
      <w:r>
        <w:t xml:space="preserve">such financing entities by a financial services </w:t>
      </w:r>
      <w:r w:rsidR="00EC2CB5">
        <w:t>manager</w:t>
      </w:r>
      <w:r>
        <w:t xml:space="preserve"> under the Financing Plan contemplated in this Act.  The Financing Plan will seek to reasonably match the payment obligations arising under such funding obligations, to be borne by the Retail Consumers of the period in which such payment obligations become due, with the benefits of the Green Generation Initiative allocated to such future Retail Consumers under the Fair Allocation Plan.  </w:t>
      </w:r>
    </w:p>
    <w:p w:rsidR="002D5217" w:rsidRPr="002D5217" w:rsidRDefault="002D5217">
      <w:pPr>
        <w:pStyle w:val="BodyText"/>
        <w:rPr>
          <w:b/>
        </w:rPr>
      </w:pPr>
      <w:r w:rsidRPr="002D5217">
        <w:rPr>
          <w:b/>
          <w:highlight w:val="yellow"/>
        </w:rPr>
        <w:t>[Note: Our strong preference is to limit the introduction to the next paragraph and move defined terms from the previous paragraphs to Article 2]</w:t>
      </w:r>
    </w:p>
    <w:p w:rsidR="00115F06" w:rsidRDefault="00566583">
      <w:pPr>
        <w:pStyle w:val="BodyText"/>
      </w:pPr>
      <w:r>
        <w:t>The purpose of this Act is to establish the basis upon which intergenerational fairness can be achieved by charging the costs and benefits of the Green Generation Initiative to present and future Retail Consumers on an equitable and cost effective basis.</w:t>
      </w:r>
    </w:p>
    <w:p w:rsidR="00115F06" w:rsidRDefault="00566583">
      <w:pPr>
        <w:pStyle w:val="BodyText"/>
        <w:rPr>
          <w:b/>
        </w:rPr>
      </w:pPr>
      <w:r>
        <w:rPr>
          <w:b/>
        </w:rPr>
        <w:t xml:space="preserve">Article 2 </w:t>
      </w:r>
      <w:r w:rsidR="002D5217">
        <w:rPr>
          <w:b/>
        </w:rPr>
        <w:t>–</w:t>
      </w:r>
      <w:r>
        <w:rPr>
          <w:b/>
        </w:rPr>
        <w:t xml:space="preserve"> Definitions</w:t>
      </w:r>
    </w:p>
    <w:p w:rsidR="00115F06" w:rsidRDefault="00566583">
      <w:pPr>
        <w:pStyle w:val="BodyText"/>
      </w:pPr>
      <w:r>
        <w:t>In this Act:</w:t>
      </w:r>
    </w:p>
    <w:p w:rsidR="00115F06" w:rsidRDefault="00566583">
      <w:pPr>
        <w:pStyle w:val="BodyText"/>
        <w:ind w:left="720"/>
      </w:pPr>
      <w:r>
        <w:t>“Absolute Assignee” means a person to whom a Regulatory Asset Owner effects a Disposition</w:t>
      </w:r>
      <w:r w:rsidR="007B3A3F">
        <w:t xml:space="preserve"> other than as security</w:t>
      </w:r>
      <w:r>
        <w:t>.</w:t>
      </w:r>
    </w:p>
    <w:p w:rsidR="00115F06" w:rsidRDefault="00566583">
      <w:pPr>
        <w:pStyle w:val="BodyText"/>
        <w:ind w:left="720"/>
      </w:pPr>
      <w:r>
        <w:t xml:space="preserve">“Actual” means, in relation to costs, expenses or payments in respect of Funding Obligations during a Reference Period, the actual amount of such costs, expenses or payments paid or made (net of any Finance Reserve Withdrawals applied to pay such amounts), which amounts shall be recorded by the Financial Services </w:t>
      </w:r>
      <w:r w:rsidR="00EC2CB5">
        <w:t>Manager</w:t>
      </w:r>
      <w:r>
        <w:t xml:space="preserve"> whose records shall be determinative for the purposes of this Act except to the extent of a manifest calculation error.</w:t>
      </w:r>
    </w:p>
    <w:p w:rsidR="00115F06" w:rsidRDefault="00566583" w:rsidP="00EC2CB5">
      <w:pPr>
        <w:pStyle w:val="BodyText"/>
        <w:tabs>
          <w:tab w:val="left" w:pos="4950"/>
        </w:tabs>
        <w:ind w:left="720"/>
      </w:pPr>
      <w:r>
        <w:t>“Additional Funding Charges” means, for a Reference Period, the fees, charges, expenses, costs, indemnities, reimbursements and other amounts (including any applicable tax amounts) that are or become payable by or on behalf of the Absolute Assignee during the Reference Period and that were incurred or committed to directly or indirectly by the Absolute Assignee in connection with the incurrence of Funding Obligations under the Financing Plan (whether at the time of such incurrence or over the term of the Funding Obligation and whether directly or indirectly), including (without duplication and without limitation): (a) any payment required under an ancillary agreement</w:t>
      </w:r>
      <w:r w:rsidRPr="00701E68">
        <w:rPr>
          <w:b/>
        </w:rPr>
        <w:t xml:space="preserve"> </w:t>
      </w:r>
      <w:r w:rsidR="00701E68" w:rsidRPr="00701E68">
        <w:rPr>
          <w:b/>
          <w:highlight w:val="yellow"/>
        </w:rPr>
        <w:t>[define “Ancillary Agreements”]</w:t>
      </w:r>
      <w:r w:rsidR="00701E68" w:rsidRPr="00701E68">
        <w:t xml:space="preserve"> </w:t>
      </w:r>
      <w:r>
        <w:t xml:space="preserve">entered into by, or by the Financial Services </w:t>
      </w:r>
      <w:r w:rsidR="00EC2CB5" w:rsidRPr="00EC2CB5">
        <w:t>Manager</w:t>
      </w:r>
      <w:r>
        <w:t xml:space="preserve"> on behalf of, the Absolute Assignee under the Financing Plan; (b) any federal, provincial or local taxes, payments in lieu of taxes, franchise fees or license fees imposed on the Absolute Assignee or incurred by on behalf of the Absolute Assignee under any obligation to pay tax gross-up amounts to counterparties under Funding Obligations; (c) any amounts payable to the Financial Services </w:t>
      </w:r>
      <w:r w:rsidR="00EC2CB5" w:rsidRPr="00EC2CB5">
        <w:t>Manager</w:t>
      </w:r>
      <w:r>
        <w:t xml:space="preserve">, including amounts payable to its advisors and outside counsel; (d) any amounts incurred to prepare, confirm, amend and implement the Financing Plan; (e) any amounts payable to any Alternative Collection Agent or Alternative Servicer, including amounts payable to each’s advisors and outside counsel; (f) any amounts incurred to make the calculations, determinations or confirmations to be made by or on behalf of the Absolute Assignee; (g) any servicing fees and expenses; (h) any trustee fees and expenses; (i) any legal fees, expenses and disbursements; (j) any accounting fees and expenses; (k) </w:t>
      </w:r>
      <w:r w:rsidR="007B3A3F">
        <w:t xml:space="preserve">any manager/director fees and expenses of the Absolute Assignee, (l) any registration fees and expenses (incurred by or on behalf of the Absolute Assignee), (m) </w:t>
      </w:r>
      <w:r>
        <w:t>any administrative fees and expenses; (</w:t>
      </w:r>
      <w:r w:rsidR="007B3A3F">
        <w:t>n</w:t>
      </w:r>
      <w:r>
        <w:t>) any manager or director fees of a Financing Entity; (</w:t>
      </w:r>
      <w:r w:rsidR="007B3A3F">
        <w:t>o</w:t>
      </w:r>
      <w:r>
        <w:t>) any registration fees and expenses; (</w:t>
      </w:r>
      <w:r w:rsidR="007B3A3F">
        <w:t>p</w:t>
      </w:r>
      <w:r>
        <w:t>) any placement fees, underwriting fees, fees and related issuing expenses; (</w:t>
      </w:r>
      <w:r w:rsidR="007B3A3F">
        <w:t>q</w:t>
      </w:r>
      <w:r>
        <w:t>) any rating agency fees; and (</w:t>
      </w:r>
      <w:r w:rsidR="007B3A3F">
        <w:t>r</w:t>
      </w:r>
      <w:r>
        <w:t xml:space="preserve">) any other related fees, charges, expenses, costs, indemnities, reimbursements and other amounts that are approved in good faith by the Financial Services </w:t>
      </w:r>
      <w:r w:rsidR="00EC2CB5" w:rsidRPr="00EC2CB5">
        <w:t>Manager</w:t>
      </w:r>
      <w:r>
        <w:t xml:space="preserve"> for recovery and payment under the Financing Plan.</w:t>
      </w:r>
      <w:r w:rsidR="00701E68" w:rsidRPr="00701E68">
        <w:t xml:space="preserve"> </w:t>
      </w:r>
      <w:r w:rsidR="00701E68" w:rsidRPr="00701E68">
        <w:rPr>
          <w:b/>
          <w:highlight w:val="yellow"/>
        </w:rPr>
        <w:t>[NOTE: how approved – what process? approved by whom?]</w:t>
      </w:r>
    </w:p>
    <w:p w:rsidR="00115F06" w:rsidRDefault="00566583">
      <w:pPr>
        <w:pStyle w:val="BodyText"/>
        <w:ind w:left="720"/>
      </w:pPr>
      <w:r>
        <w:t>“Allocation Factor” means, in respect of a Retail Consumer for a Reference Period, the number</w:t>
      </w:r>
      <w:r w:rsidR="007B3A3F">
        <w:t xml:space="preserve"> or schedule</w:t>
      </w:r>
      <w:r>
        <w:t xml:space="preserve"> (expressed as a percentage</w:t>
      </w:r>
      <w:r w:rsidR="007B3A3F">
        <w:t xml:space="preserve"> or percentages</w:t>
      </w:r>
      <w:r>
        <w:t>) determined in respect of the Retail Consumer by the OEB based on the application of the Attribution Methodology in respect of the Reference Period.</w:t>
      </w:r>
      <w:r>
        <w:rPr>
          <w:rStyle w:val="FootnoteReference"/>
        </w:rPr>
        <w:footnoteReference w:id="2"/>
      </w:r>
      <w:r w:rsidR="005E6F9E">
        <w:t xml:space="preserve"> </w:t>
      </w:r>
      <w:r w:rsidR="005E6F9E" w:rsidRPr="00701E68">
        <w:rPr>
          <w:b/>
          <w:highlight w:val="yellow"/>
        </w:rPr>
        <w:t>[NTD: We understood that the Ministry accepted that the transition charge would be a volumetric rate.  It is not clear how the concepts of allocation factor and attribution methodology are consistent with development of a volumetric rate, which divides the total amount that needs to be collected by the total forecast of electricity demand for the relevant period from the relevant class of consumers</w:t>
      </w:r>
      <w:r w:rsidR="003F4F61" w:rsidRPr="00701E68">
        <w:rPr>
          <w:b/>
          <w:highlight w:val="yellow"/>
        </w:rPr>
        <w:t>]</w:t>
      </w:r>
      <w:r w:rsidR="00701E68" w:rsidRPr="00701E68">
        <w:rPr>
          <w:highlight w:val="yellow"/>
        </w:rPr>
        <w:t xml:space="preserve"> </w:t>
      </w:r>
      <w:r w:rsidR="00701E68" w:rsidRPr="00701E68">
        <w:rPr>
          <w:b/>
          <w:highlight w:val="yellow"/>
        </w:rPr>
        <w:t>[NTD:  Move concept to Reg</w:t>
      </w:r>
      <w:r w:rsidR="00BA7686">
        <w:rPr>
          <w:b/>
          <w:highlight w:val="yellow"/>
        </w:rPr>
        <w:t>ulations</w:t>
      </w:r>
      <w:r w:rsidR="00701E68" w:rsidRPr="00701E68">
        <w:rPr>
          <w:b/>
          <w:highlight w:val="yellow"/>
        </w:rPr>
        <w:t>.]</w:t>
      </w:r>
    </w:p>
    <w:p w:rsidR="00115F06" w:rsidRDefault="00566583">
      <w:pPr>
        <w:pStyle w:val="BodyText"/>
        <w:ind w:left="720"/>
      </w:pPr>
      <w:r>
        <w:t>“Alternative Collection Agent” means a person appointed under Section 5(11) and</w:t>
      </w:r>
      <w:r>
        <w:rPr>
          <w:rFonts w:cstheme="minorHAnsi"/>
        </w:rPr>
        <w:t xml:space="preserve"> in compliance with the requirements set out in Schedule 2 </w:t>
      </w:r>
      <w:r>
        <w:t>to assume the collection activities and activities of any Electricity Distributor or IESO under Article 5</w:t>
      </w:r>
      <w:r>
        <w:rPr>
          <w:rFonts w:cstheme="minorHAnsi"/>
        </w:rPr>
        <w:t>, as agent for and on behalf of the Regulatory Asset Owners</w:t>
      </w:r>
      <w:r>
        <w:t>.</w:t>
      </w:r>
      <w:r w:rsidR="00701E68" w:rsidRPr="00701E68">
        <w:t xml:space="preserve"> </w:t>
      </w:r>
      <w:r w:rsidR="00701E68" w:rsidRPr="00701E68">
        <w:rPr>
          <w:b/>
          <w:highlight w:val="yellow"/>
        </w:rPr>
        <w:t>[NTD:  We see this, in effect, as a replacement for an LDC or IESO only in its capacity collecting directly from Ratepayers. ]</w:t>
      </w:r>
    </w:p>
    <w:p w:rsidR="00115F06" w:rsidRDefault="00566583">
      <w:pPr>
        <w:pStyle w:val="BodyText"/>
        <w:ind w:left="720"/>
      </w:pPr>
      <w:r>
        <w:t>“Alternative Servicer” means a person appointed under Section 4(8)</w:t>
      </w:r>
      <w:r>
        <w:rPr>
          <w:rFonts w:cstheme="minorHAnsi"/>
        </w:rPr>
        <w:t xml:space="preserve"> </w:t>
      </w:r>
      <w:r>
        <w:t>to assume the obligations of the Servicer under Article 4</w:t>
      </w:r>
      <w:r>
        <w:rPr>
          <w:rFonts w:cstheme="minorHAnsi"/>
        </w:rPr>
        <w:t xml:space="preserve">, as agent </w:t>
      </w:r>
      <w:r>
        <w:t>for</w:t>
      </w:r>
      <w:r>
        <w:rPr>
          <w:rFonts w:cstheme="minorHAnsi"/>
        </w:rPr>
        <w:t xml:space="preserve"> and on behalf of the Regulatory Asset Owners</w:t>
      </w:r>
      <w:r>
        <w:t>.</w:t>
      </w:r>
      <w:r w:rsidR="00701E68" w:rsidRPr="00701E68">
        <w:rPr>
          <w:b/>
        </w:rPr>
        <w:t xml:space="preserve"> </w:t>
      </w:r>
      <w:r w:rsidR="00701E68" w:rsidRPr="00701E68">
        <w:rPr>
          <w:b/>
          <w:highlight w:val="yellow"/>
        </w:rPr>
        <w:t>[NTD:  We see this, in effect, as the same thing as the IESO Successor; that is, replacement of the master Servicer.]</w:t>
      </w:r>
    </w:p>
    <w:p w:rsidR="00115F06" w:rsidRDefault="00566583">
      <w:pPr>
        <w:pStyle w:val="BodyText"/>
        <w:ind w:left="720"/>
      </w:pPr>
      <w:r>
        <w:t>“Assessed Past Green Transition Costs” means, in respect of a Measurement Date, the aggregate of the imputed costs of the Green Generation Initiative (expressed as an equivalent to current dollars), as reflected in the calculation of the Green Costs Adjustment, which have been charged to Retail Customers through the Global Adjustment on or prior to the Measurement Date.</w:t>
      </w:r>
    </w:p>
    <w:p w:rsidR="00115F06" w:rsidRDefault="00566583">
      <w:pPr>
        <w:pStyle w:val="BodyText"/>
        <w:ind w:left="720"/>
      </w:pPr>
      <w:r>
        <w:t>“Attribution Methodology”</w:t>
      </w:r>
      <w:r>
        <w:rPr>
          <w:rStyle w:val="FootnoteReference"/>
        </w:rPr>
        <w:footnoteReference w:id="3"/>
      </w:r>
      <w:r>
        <w:t xml:space="preserve"> means the methodology specified in the Fair Allocation Plan for allocating the Period </w:t>
      </w:r>
      <w:r w:rsidR="00780F1D">
        <w:t>Finance</w:t>
      </w:r>
      <w:r>
        <w:t xml:space="preserve"> Charges for a Reference Period to individual Retail Consumers of the applicable Retail Consumer Group based on its Allocation Factor.</w:t>
      </w:r>
      <w:r w:rsidR="003F4F61">
        <w:t xml:space="preserve"> </w:t>
      </w:r>
      <w:r w:rsidR="003F4F61" w:rsidRPr="00701E68">
        <w:rPr>
          <w:b/>
          <w:highlight w:val="yellow"/>
        </w:rPr>
        <w:t>[NTD: We understood that the Ministry accepted that the transition charge would be a volumetric rate.  It is not clear how the concepts of allocation factor and attribution methodology are consistent with development of a volumetric rate, which divides the total amount that needs to be collected by the total forecast of electricity demand for the relevant period from the relevant class of consumers</w:t>
      </w:r>
      <w:r w:rsidR="007B3A3F" w:rsidRPr="00701E68">
        <w:rPr>
          <w:b/>
          <w:highlight w:val="yellow"/>
        </w:rPr>
        <w:t>.</w:t>
      </w:r>
      <w:r w:rsidR="003F4F61" w:rsidRPr="00701E68">
        <w:rPr>
          <w:b/>
          <w:highlight w:val="yellow"/>
        </w:rPr>
        <w:t>]</w:t>
      </w:r>
      <w:r w:rsidR="00701E68" w:rsidRPr="00701E68">
        <w:rPr>
          <w:highlight w:val="yellow"/>
        </w:rPr>
        <w:t xml:space="preserve"> </w:t>
      </w:r>
      <w:r w:rsidR="00701E68" w:rsidRPr="00701E68">
        <w:rPr>
          <w:b/>
          <w:highlight w:val="yellow"/>
        </w:rPr>
        <w:t>[NTD:  Can be moved to Reg</w:t>
      </w:r>
      <w:r w:rsidR="00BA7686">
        <w:rPr>
          <w:b/>
          <w:highlight w:val="yellow"/>
        </w:rPr>
        <w:t>ulations</w:t>
      </w:r>
      <w:r w:rsidR="00701E68" w:rsidRPr="00701E68">
        <w:rPr>
          <w:b/>
          <w:highlight w:val="yellow"/>
        </w:rPr>
        <w:t>.]</w:t>
      </w:r>
    </w:p>
    <w:p w:rsidR="00115F06" w:rsidRDefault="00566583">
      <w:pPr>
        <w:pStyle w:val="BodyText"/>
        <w:ind w:left="720"/>
      </w:pPr>
      <w:r>
        <w:t xml:space="preserve">“Collected Amount Adjustment” means, in respect of a True-Up Period, the amount (which may be a negative amount) calculated by the Servicer or the Financial Services </w:t>
      </w:r>
      <w:r w:rsidR="00EC2CB5" w:rsidRPr="00EC2CB5">
        <w:t>Manager</w:t>
      </w:r>
      <w:r>
        <w:t>, as applicable, equal to (a) the Estimate of the Finance Amount for the True-Up Period, minus (b) the sum of all Transition Charge Collections for the True-Up Period.</w:t>
      </w:r>
      <w:r>
        <w:rPr>
          <w:vertAlign w:val="superscript"/>
        </w:rPr>
        <w:footnoteReference w:id="4"/>
      </w:r>
    </w:p>
    <w:p w:rsidR="00115F06" w:rsidRDefault="00566583">
      <w:pPr>
        <w:pStyle w:val="BodyText"/>
        <w:ind w:left="720"/>
      </w:pPr>
      <w:r>
        <w:t>“Collective Rights Agreement” means an agreement among all of the Regulatory Asset Owners (in</w:t>
      </w:r>
      <w:r w:rsidR="007B3A3F">
        <w:t>cluding each Absolute Assignee),</w:t>
      </w:r>
      <w:r>
        <w:t xml:space="preserve"> each Pledgee</w:t>
      </w:r>
      <w:r w:rsidR="007B3A3F">
        <w:t>, the Financial Services Manager and the Servicer</w:t>
      </w:r>
      <w:r>
        <w:t xml:space="preserve"> that governs the enforcement of their respective rights and interests in, to and under the Regulatory Asset on a coordinated and collective basis.</w:t>
      </w:r>
      <w:r w:rsidR="00701E68" w:rsidRPr="00701E68">
        <w:t xml:space="preserve"> </w:t>
      </w:r>
      <w:r w:rsidR="00701E68" w:rsidRPr="00701E68">
        <w:rPr>
          <w:b/>
          <w:highlight w:val="yellow"/>
        </w:rPr>
        <w:t>[NTD:  Move to Reg</w:t>
      </w:r>
      <w:r w:rsidR="00BA7686">
        <w:rPr>
          <w:b/>
          <w:highlight w:val="yellow"/>
        </w:rPr>
        <w:t>ulations</w:t>
      </w:r>
      <w:r w:rsidR="00701E68" w:rsidRPr="00701E68">
        <w:rPr>
          <w:b/>
          <w:highlight w:val="yellow"/>
        </w:rPr>
        <w:t>.]</w:t>
      </w:r>
    </w:p>
    <w:p w:rsidR="00115F06" w:rsidRDefault="00566583">
      <w:pPr>
        <w:pStyle w:val="BodyText"/>
        <w:ind w:left="720"/>
        <w:rPr>
          <w:b/>
        </w:rPr>
      </w:pPr>
      <w:r>
        <w:t>“Delegate” means the person or persons designated in writing from time to time by the Minister of Energy to undertake the actions and perform the responsibilities ascribed to the “Delegate” under this Act.</w:t>
      </w:r>
    </w:p>
    <w:p w:rsidR="00115F06" w:rsidRDefault="00566583">
      <w:pPr>
        <w:pStyle w:val="BodyText"/>
        <w:ind w:left="720"/>
      </w:pPr>
      <w:r>
        <w:t xml:space="preserve">“Disposition” means an assignment, transfer, conveyance, sale, contribution, set-over, exchange or other disposition of </w:t>
      </w:r>
      <w:r w:rsidR="002D5217" w:rsidRPr="002D5217">
        <w:t>(a) IESO’s right to recover all or any portion of an</w:t>
      </w:r>
      <w:r w:rsidR="002D5217">
        <w:t xml:space="preserve"> IESO Funding Shortfall or (b) </w:t>
      </w:r>
      <w:r>
        <w:t>an Investment Interest to an Absolute Assignee</w:t>
      </w:r>
      <w:r w:rsidR="002D5217">
        <w:t>, in each case</w:t>
      </w:r>
      <w:r>
        <w:t xml:space="preserve"> pursuant to a Disposition Document.</w:t>
      </w:r>
    </w:p>
    <w:p w:rsidR="00115F06" w:rsidRDefault="00566583">
      <w:pPr>
        <w:pStyle w:val="BodyText"/>
        <w:ind w:left="720"/>
      </w:pPr>
      <w:r>
        <w:t xml:space="preserve">“Disposition Document” means the agreement, deed, conveyance, instrument or other document under which </w:t>
      </w:r>
      <w:r w:rsidR="002D5217" w:rsidRPr="002D5217">
        <w:t>IESO or an Absolute Assignee</w:t>
      </w:r>
      <w:r>
        <w:t xml:space="preserve"> effects a Disposition to an Absolute Assignee.</w:t>
      </w:r>
    </w:p>
    <w:p w:rsidR="00115F06" w:rsidRDefault="00566583">
      <w:pPr>
        <w:pStyle w:val="BodyText"/>
        <w:ind w:left="720"/>
      </w:pPr>
      <w:r>
        <w:t>“Electricity Distributor” means, in respect of a Service Area, the</w:t>
      </w:r>
      <w:r>
        <w:rPr>
          <w:rStyle w:val="Prompt"/>
        </w:rPr>
        <w:t xml:space="preserve"> rate regulated distributor licensed under Part V of the </w:t>
      </w:r>
      <w:r>
        <w:rPr>
          <w:rStyle w:val="Prompt"/>
          <w:i/>
        </w:rPr>
        <w:t>Ontario Energy Board Act, 1998</w:t>
      </w:r>
      <w:r>
        <w:rPr>
          <w:rStyle w:val="Prompt"/>
        </w:rPr>
        <w:t xml:space="preserve"> in respect of such Service Area, together with and its successors.</w:t>
      </w:r>
    </w:p>
    <w:p w:rsidR="00115F06" w:rsidRDefault="00566583">
      <w:pPr>
        <w:pStyle w:val="BodyText"/>
        <w:ind w:left="720"/>
      </w:pPr>
      <w:r>
        <w:t>“Electricity Distributor Remittances” means, for an Electricity Distributor on a Remittance Date, all Transition Charge Collections received or deemed to be received</w:t>
      </w:r>
      <w:r w:rsidR="00F12968" w:rsidRPr="00F12968">
        <w:t xml:space="preserve"> </w:t>
      </w:r>
      <w:r w:rsidR="00F12968" w:rsidRPr="00F12968">
        <w:rPr>
          <w:b/>
          <w:highlight w:val="yellow"/>
        </w:rPr>
        <w:t>[NOTE: estimated to be received? will each Electricity Distributor know?]</w:t>
      </w:r>
      <w:r w:rsidR="00F12968" w:rsidRPr="00F12968">
        <w:t xml:space="preserve"> </w:t>
      </w:r>
      <w:r>
        <w:t xml:space="preserve"> by the Electricity Distributor prior to the Remittance Date and that have not otherwise been remitted to IESO or if applicable the Alternative Collection Agent in accordance with Section 5(3), including the proceeds of any enforcement action undertaken by the Electricity Distributor or if applicable the Alternative Collection Agent to recover payment of Transition Charges in accordance with Article 5</w:t>
      </w:r>
      <w:r>
        <w:rPr>
          <w:rFonts w:cstheme="minorHAnsi"/>
        </w:rPr>
        <w:t>.</w:t>
      </w:r>
    </w:p>
    <w:p w:rsidR="00115F06" w:rsidRDefault="00566583">
      <w:pPr>
        <w:pStyle w:val="BodyText"/>
        <w:ind w:left="720"/>
      </w:pPr>
      <w:r>
        <w:t xml:space="preserve">“Electricity Invoice” means an invoice issued by an Electricity Distributor (or in its stead, by an Alternative </w:t>
      </w:r>
      <w:r w:rsidR="002D5217">
        <w:t>Collection Agent</w:t>
      </w:r>
      <w:r>
        <w:t>), by the Servicer or by a Retailer, in each case to a Retail Consumer that is served by the Electricity  Distributor’s distribution system in respect of electricity charges, including the cost of electricity, delivery and regulatory charges and related services and amounts incurred, assessed or charged in respect of connectivity to a distribution network in the Electricity Distributor’s designated Service Area and in respect of applicable Transition Charges to be charged to the Retail Consumer under this Act.</w:t>
      </w:r>
      <w:r w:rsidR="003F4F61">
        <w:t xml:space="preserve"> </w:t>
      </w:r>
      <w:r w:rsidR="003F4F61" w:rsidRPr="00F12968">
        <w:rPr>
          <w:b/>
          <w:highlight w:val="yellow"/>
        </w:rPr>
        <w:t>[NTD: To avoid confusion, we suggest using the word “invoice” in reference to what the IESO sends out to distributors, and “bills” in reference to what distributors send out to consumers</w:t>
      </w:r>
      <w:r w:rsidR="00F12968">
        <w:rPr>
          <w:b/>
          <w:highlight w:val="yellow"/>
        </w:rPr>
        <w:t>.</w:t>
      </w:r>
      <w:r w:rsidR="003F4F61" w:rsidRPr="00F12968">
        <w:rPr>
          <w:b/>
          <w:highlight w:val="yellow"/>
        </w:rPr>
        <w:t>]</w:t>
      </w:r>
    </w:p>
    <w:p w:rsidR="00115F06" w:rsidRDefault="00566583">
      <w:pPr>
        <w:pStyle w:val="BodyText"/>
        <w:ind w:left="720"/>
      </w:pPr>
      <w:r>
        <w:t xml:space="preserve">“Estimate” means (a) in relation to costs, expenses or payments in respect of Funding Obligations or any Finance Amount for a Reference Period, the estimated amount of such costs, expenses or payments determined by the Financial Services </w:t>
      </w:r>
      <w:r w:rsidR="00EC2CB5" w:rsidRPr="00EC2CB5">
        <w:t>Manager</w:t>
      </w:r>
      <w:r>
        <w:t xml:space="preserve">; and (b) in relation to an assessment of the benefits of the Green Generation Initiative to any Retail Consumer Group, the estimated value (in current dollars) of such benefits determined by the Delegate, in each case having regard to the applicable principles and parameters set out in Schedule 1, which estimated amounts shall be determinative as the applicable estimate for the purposes of this Act except to the extent of a manifest calculation error. </w:t>
      </w:r>
    </w:p>
    <w:p w:rsidR="00115F06" w:rsidRDefault="00566583">
      <w:pPr>
        <w:pStyle w:val="BodyText"/>
        <w:ind w:left="720"/>
      </w:pPr>
      <w:r>
        <w:t>“Estimated Future Green Transition Benefits” means, in respect of a Measurement Date, the Estimate set forth in the Fair Allocation Plan prepared in accordance with Article 7 of the aggregate value (measured in current dollars) of the benefits that are expected to accrue to Retail Consumers from the establishment and implementation of the Green Generation Initiative during the period from the Measurement Date to the Program-End Date.</w:t>
      </w:r>
    </w:p>
    <w:p w:rsidR="00115F06" w:rsidRDefault="00566583">
      <w:pPr>
        <w:pStyle w:val="BodyText"/>
        <w:ind w:left="720"/>
      </w:pPr>
      <w:r>
        <w:t>“Estimated Past Green Transition Benefits” means, in respect of a Measurement Date, the Estimate set forth in the Fair Allocation Plan prepared in accordance with Article 7 of the aggregate value (measured in current dollars) of the benefits that have accrued to Retail Consumers from the establishment and implementation of the Green Generation Initiative up to and including the Measurement Date.</w:t>
      </w:r>
    </w:p>
    <w:p w:rsidR="00115F06" w:rsidRDefault="00566583">
      <w:pPr>
        <w:pStyle w:val="BodyText"/>
        <w:ind w:left="720"/>
      </w:pPr>
      <w:r>
        <w:t>“Fair Allocation Plan” has the meaning given in Article 1.</w:t>
      </w:r>
    </w:p>
    <w:p w:rsidR="00115F06" w:rsidRDefault="00566583">
      <w:pPr>
        <w:pStyle w:val="BodyText"/>
        <w:ind w:left="720"/>
      </w:pPr>
      <w:r>
        <w:t xml:space="preserve">“Finance Amount” means, for a Reference Period in respect of an Absolute Assignee, the sum (without duplication) of the following amounts that are or become payable during the Reference Period in respect of the Absolute Assignee: (a) Repayments; (b) </w:t>
      </w:r>
      <w:r w:rsidR="002D5217">
        <w:t xml:space="preserve">Net </w:t>
      </w:r>
      <w:r>
        <w:t>Funding Costs; (c) Redemption Amounts; (d) Finance Reserve Deposits; and (e) Additional Funding Charges.</w:t>
      </w:r>
    </w:p>
    <w:p w:rsidR="00115F06" w:rsidRDefault="00566583">
      <w:pPr>
        <w:pStyle w:val="BodyText"/>
        <w:ind w:left="720"/>
      </w:pPr>
      <w:r>
        <w:t>“Finance Reserve Deposits” means, for a Reference Period, the amount by which (a) deposits made or to be made during the Reference Period in order to pre-fund, collateralize, over-collateralize or establish reserves for the ultimate payment of Funding Obligations or for related contingencies specified in the Financing Plan, exceed (b) any Finance Reserve Withdrawals.</w:t>
      </w:r>
    </w:p>
    <w:p w:rsidR="00115F06" w:rsidRDefault="00566583">
      <w:pPr>
        <w:pStyle w:val="BodyText"/>
        <w:ind w:left="720"/>
      </w:pPr>
      <w:r>
        <w:t>“Finance Reserve Withdrawals” means, for a Reference Period, the amount withdrawn during the Reference Period from deposits previously made to pre-fund, collateralize, over-collateralize or establish reserves for the payment of Funding Obligations or to pay amounts in respect of related contingencies that had been specified in the Financing Plan.</w:t>
      </w:r>
    </w:p>
    <w:p w:rsidR="00115F06" w:rsidRDefault="00566583">
      <w:pPr>
        <w:pStyle w:val="BodyText"/>
        <w:ind w:left="720"/>
      </w:pPr>
      <w:r>
        <w:t xml:space="preserve">“Financial Services </w:t>
      </w:r>
      <w:r w:rsidR="00EC2CB5" w:rsidRPr="00EC2CB5">
        <w:t>Manager</w:t>
      </w:r>
      <w:r>
        <w:t>” means OPG or, following any Replacement Event</w:t>
      </w:r>
      <w:r w:rsidR="007B3A3F">
        <w:t xml:space="preserve"> involving OPG</w:t>
      </w:r>
      <w:r>
        <w:t>, such other person or perso</w:t>
      </w:r>
      <w:r w:rsidR="00EC2CB5">
        <w:t>ns who may be appointed as the financial s</w:t>
      </w:r>
      <w:r>
        <w:t xml:space="preserve">ervices </w:t>
      </w:r>
      <w:r w:rsidR="00EC2CB5">
        <w:t>m</w:t>
      </w:r>
      <w:r w:rsidR="00EC2CB5" w:rsidRPr="00EC2CB5">
        <w:t>anager</w:t>
      </w:r>
      <w:r>
        <w:t xml:space="preserve"> of the Absolute Assignees under the Financing Plan in compliance with the requirements set out in Schedule 2.</w:t>
      </w:r>
      <w:r>
        <w:rPr>
          <w:rStyle w:val="FootnoteReference"/>
        </w:rPr>
        <w:footnoteReference w:id="5"/>
      </w:r>
    </w:p>
    <w:p w:rsidR="00115F06" w:rsidRDefault="00566583">
      <w:pPr>
        <w:pStyle w:val="BodyText"/>
        <w:ind w:left="720"/>
      </w:pPr>
      <w:r>
        <w:t xml:space="preserve">“Financing Entity” means </w:t>
      </w:r>
      <w:r w:rsidR="00CB4964">
        <w:t>any</w:t>
      </w:r>
      <w:r>
        <w:t xml:space="preserve"> entity established </w:t>
      </w:r>
      <w:r w:rsidR="00CB4964" w:rsidRPr="00CB4964">
        <w:t>at the initiative of and managed by the Financial Services Manager to support the Financing Plan</w:t>
      </w:r>
      <w:r>
        <w:t>.</w:t>
      </w:r>
      <w:r>
        <w:rPr>
          <w:rStyle w:val="FootnoteReference"/>
        </w:rPr>
        <w:footnoteReference w:id="6"/>
      </w:r>
    </w:p>
    <w:p w:rsidR="00115F06" w:rsidRDefault="00566583">
      <w:pPr>
        <w:pStyle w:val="BodyText"/>
        <w:ind w:left="720"/>
      </w:pPr>
      <w:r>
        <w:t xml:space="preserve">“Financing Plan” means the written plan prepared by the Financial Services </w:t>
      </w:r>
      <w:r w:rsidR="00EC2CB5" w:rsidRPr="00EC2CB5">
        <w:t>Manager</w:t>
      </w:r>
      <w:r w:rsidR="002D5217">
        <w:t xml:space="preserve"> in compliance with Article 9</w:t>
      </w:r>
      <w:r>
        <w:t xml:space="preserve">, as the same may be amended, amended and restated or terminated by the Financial Services </w:t>
      </w:r>
      <w:r w:rsidR="00EC2CB5" w:rsidRPr="00EC2CB5">
        <w:t>Manager</w:t>
      </w:r>
      <w:r>
        <w:t xml:space="preserve"> in compliance with Article 9 from time to time.</w:t>
      </w:r>
    </w:p>
    <w:p w:rsidR="00115F06" w:rsidRDefault="00566583">
      <w:pPr>
        <w:pStyle w:val="BodyText"/>
        <w:ind w:left="720"/>
      </w:pPr>
      <w:r>
        <w:t xml:space="preserve">“Funding Obligation” means, in respect of an Absolute Assignee, each payment obligation (including each obligation to pay: principal, interest, premiums and other financing charge payments; pass-through payments; payment obligations arising under or in respect of derivatives; payment obligations owing to service providers, Financial Services </w:t>
      </w:r>
      <w:r w:rsidR="00EC2CB5" w:rsidRPr="00EC2CB5">
        <w:t>Manager</w:t>
      </w:r>
      <w:r w:rsidR="00EC2CB5">
        <w:t>s</w:t>
      </w:r>
      <w:r>
        <w:t>, finance entity intermediaries, capital markets intermediaries, advisors, lenders, credit enhancement providers, liquidity providers, disbursement counterparties, regulatory agencies and rating agencies; and all Additional Funding Charges incurred by or on behalf of the Absolute Assignee under the Financing Plan, including any Refinancing of another such payment obligation incurred by or on behalf of such Absolute Assignee.</w:t>
      </w:r>
    </w:p>
    <w:p w:rsidR="00115F06" w:rsidRDefault="00566583">
      <w:pPr>
        <w:pStyle w:val="BodyText"/>
        <w:ind w:left="720"/>
      </w:pPr>
      <w:r>
        <w:t xml:space="preserve">“Future Fair Share of Green Transition Benefits” means, in respect of a Measurement Date, the sum of (a) the Over-Assessed Amount; and (b) the Estimated Future Green Transition Benefits, in each case as of the Measurement Date. </w:t>
      </w:r>
    </w:p>
    <w:p w:rsidR="00115F06" w:rsidRDefault="00566583">
      <w:pPr>
        <w:pStyle w:val="BodyText"/>
        <w:ind w:left="720"/>
      </w:pPr>
      <w:r>
        <w:t xml:space="preserve">“Generator” means a generator </w:t>
      </w:r>
      <w:r w:rsidR="003F4F61">
        <w:t>as defined in</w:t>
      </w:r>
      <w:r>
        <w:t xml:space="preserve"> the </w:t>
      </w:r>
      <w:r>
        <w:rPr>
          <w:i/>
        </w:rPr>
        <w:t>Electricity Act, 1998</w:t>
      </w:r>
      <w:r>
        <w:t>.</w:t>
      </w:r>
      <w:r w:rsidR="003F4F61">
        <w:t xml:space="preserve"> </w:t>
      </w:r>
      <w:r w:rsidR="003F4F61" w:rsidRPr="003F4F61">
        <w:rPr>
          <w:b/>
        </w:rPr>
        <w:t>[NTD: If intention is that this is only to capture generators that own or operate generation facilities that are the subject of the Green Generation Initiative, then this must be specified]</w:t>
      </w:r>
    </w:p>
    <w:p w:rsidR="00115F06" w:rsidRDefault="00566583">
      <w:pPr>
        <w:pStyle w:val="BodyText"/>
        <w:ind w:left="720"/>
      </w:pPr>
      <w:r>
        <w:t xml:space="preserve">“Global Adjustment” has the meaning given in Article 1. </w:t>
      </w:r>
    </w:p>
    <w:p w:rsidR="00115F06" w:rsidRDefault="00566583">
      <w:pPr>
        <w:pStyle w:val="BodyText"/>
        <w:ind w:left="720"/>
      </w:pPr>
      <w:r>
        <w:t xml:space="preserve">“Green Costs Adjustment” has the meaning given in Article 1. </w:t>
      </w:r>
    </w:p>
    <w:p w:rsidR="00115F06" w:rsidRDefault="00566583">
      <w:pPr>
        <w:pStyle w:val="BodyText"/>
        <w:ind w:left="720"/>
      </w:pPr>
      <w:r>
        <w:t>“Green Generation Initiative” has the meaning given in Article 1.</w:t>
      </w:r>
    </w:p>
    <w:p w:rsidR="00115F06" w:rsidRDefault="00566583">
      <w:pPr>
        <w:pStyle w:val="BodyText"/>
        <w:ind w:left="720"/>
      </w:pPr>
      <w:r>
        <w:t xml:space="preserve">“IESO” means the Independent Electricity System Operator created pursuant to Part II of the </w:t>
      </w:r>
      <w:r>
        <w:rPr>
          <w:i/>
        </w:rPr>
        <w:t>Electricity Act, 1998</w:t>
      </w:r>
      <w:r>
        <w:t>.</w:t>
      </w:r>
    </w:p>
    <w:p w:rsidR="00115F06" w:rsidRDefault="00566583">
      <w:pPr>
        <w:pStyle w:val="BodyText"/>
        <w:ind w:left="720"/>
      </w:pPr>
      <w:r>
        <w:t xml:space="preserve">“IESO Electricity Distribution Receipts” means, for a month, the sum of all amounts payable by Electricity Distributors to IESO during the month pursuant to section </w:t>
      </w:r>
      <w:r>
        <w:rPr>
          <w:rFonts w:cstheme="minorHAnsi"/>
        </w:rPr>
        <w:t>•</w:t>
      </w:r>
      <w:r>
        <w:t xml:space="preserve"> of the </w:t>
      </w:r>
      <w:r>
        <w:rPr>
          <w:i/>
        </w:rPr>
        <w:t>Electricity Act</w:t>
      </w:r>
      <w:r>
        <w:t>.</w:t>
      </w:r>
    </w:p>
    <w:p w:rsidR="00115F06" w:rsidRDefault="00566583">
      <w:pPr>
        <w:pStyle w:val="BodyText"/>
        <w:ind w:left="720"/>
        <w:rPr>
          <w:b/>
          <w:color w:val="FF0000"/>
        </w:rPr>
      </w:pPr>
      <w:r>
        <w:t xml:space="preserve">“IESO Funding Shortfall” means, for a month, the amount, if any, by which (a) the IESO Electricity Distribution Receipts that would be payable to IESO for the month if determined without regard to this Act and without regard to the changes made to section 25.33 of, and O.Reg. 429/4 under, the </w:t>
      </w:r>
      <w:r>
        <w:rPr>
          <w:i/>
        </w:rPr>
        <w:t>Electricity Act</w:t>
      </w:r>
      <w:r>
        <w:t xml:space="preserve"> with respect to the Global Adjustment concurrently with this Act, exceeds (b) the IESO Electricity Distribution Receipts payable to IESO for the month</w:t>
      </w:r>
      <w:r>
        <w:rPr>
          <w:rStyle w:val="FootnoteReference"/>
        </w:rPr>
        <w:footnoteReference w:id="7"/>
      </w:r>
      <w:r>
        <w:t xml:space="preserve">; provided that if the amount of any such shortfall is determined to have been based on incomplete information, variances or estimates that were inaccurate, an adjustment shall be made in determining the amount of any subsequent shortfall for the month in which the inaccuracy is identified. </w:t>
      </w:r>
      <w:r w:rsidR="00A70CA4" w:rsidRPr="00A70CA4">
        <w:rPr>
          <w:b/>
          <w:highlight w:val="yellow"/>
        </w:rPr>
        <w:t xml:space="preserve">[NTD:  Need to add the mechanism for IESO to record this shortfall because without that there is no Regulatory Asset.  This </w:t>
      </w:r>
      <w:r w:rsidR="00A70CA4">
        <w:rPr>
          <w:b/>
          <w:highlight w:val="yellow"/>
        </w:rPr>
        <w:t xml:space="preserve">IESO </w:t>
      </w:r>
      <w:r w:rsidR="00A70CA4" w:rsidRPr="00A70CA4">
        <w:rPr>
          <w:b/>
          <w:highlight w:val="yellow"/>
        </w:rPr>
        <w:t>Funding Shortfall is the regulatory asset owned by IESO.]</w:t>
      </w:r>
    </w:p>
    <w:p w:rsidR="00115F06" w:rsidRDefault="00566583">
      <w:pPr>
        <w:pStyle w:val="BodyText"/>
        <w:ind w:left="720"/>
        <w:rPr>
          <w:rFonts w:cstheme="minorHAnsi"/>
        </w:rPr>
      </w:pPr>
      <w:r>
        <w:t>“IESO Remittances” means, for a Settlement Date, all Electricity Distributor Remittances received by IESO or if applicable the Alternative Collection Agent prior to the Settlement Date and that have not otherwise been remitted to the Regulatory Asset Owners (each with respect to its Regulatory Asset) in accordance with Section 5(6), including the proceeds of any enforcement action undertaken by IESO or if applicable the Alternative Collection Agent to recover payment of amounts payable by Electricity Distributors to IESO in accordance with Article 5</w:t>
      </w:r>
      <w:r>
        <w:rPr>
          <w:rFonts w:cstheme="minorHAnsi"/>
        </w:rPr>
        <w:t>.</w:t>
      </w:r>
    </w:p>
    <w:p w:rsidR="00115F06" w:rsidRDefault="00115F06">
      <w:pPr>
        <w:pStyle w:val="BodyText"/>
        <w:ind w:left="720"/>
      </w:pPr>
    </w:p>
    <w:p w:rsidR="00115F06" w:rsidRDefault="00566583">
      <w:pPr>
        <w:pStyle w:val="BodyText"/>
        <w:ind w:left="720"/>
      </w:pPr>
      <w:r>
        <w:t>“IESO Successor” means the entity appointed by the Province to succeed to the rights and obligations of IESO as the entity responsible for managing the Province’s electricity system.</w:t>
      </w:r>
    </w:p>
    <w:p w:rsidR="00115F06" w:rsidRDefault="00566583">
      <w:pPr>
        <w:pStyle w:val="BodyText"/>
        <w:ind w:left="720"/>
      </w:pPr>
      <w:r>
        <w:t>“Investment Interest” means an ownership interest in, to or under the Regulatory Asset that is acquired by an Absolute Assignee pursuant to a Disposition, which ownership interest may include (without limitation) ownership of a specified portion on a divided basis of the assets comprising the Regulatory Asset and ownership of an undivided ownership interest in the Regulatory Asset, in each case as may be described in the applicable Disposition Document.</w:t>
      </w:r>
      <w:r w:rsidR="003F4F61">
        <w:t xml:space="preserve"> </w:t>
      </w:r>
      <w:r w:rsidR="003F4F61" w:rsidRPr="003F4F61">
        <w:rPr>
          <w:b/>
        </w:rPr>
        <w:t>[NTD: For the reasons we have given, the Investment Interest should not contemplate ownership on a divided basis]</w:t>
      </w:r>
    </w:p>
    <w:p w:rsidR="00115F06" w:rsidRDefault="00566583">
      <w:pPr>
        <w:pStyle w:val="BodyText"/>
        <w:ind w:left="720"/>
      </w:pPr>
      <w:r>
        <w:t xml:space="preserve">“Investment Remittance” means, for a month, the lesser of (a) the aggregate amount of all IESO Remittances for the month, and (b) the sum of the </w:t>
      </w:r>
      <w:r w:rsidR="00780F1D">
        <w:t>Funding Obligations</w:t>
      </w:r>
      <w:r>
        <w:t xml:space="preserve"> due and payable by all Absolute Assignees in respect of the month.</w:t>
      </w:r>
    </w:p>
    <w:p w:rsidR="00115F06" w:rsidRDefault="00566583">
      <w:pPr>
        <w:pStyle w:val="BodyText"/>
        <w:ind w:left="720"/>
      </w:pPr>
      <w:r>
        <w:t>“Measurement Date” means [Insert relevant date around the Legislation Implementation Date] and any other date specified as such under the Fair Allocation Plan.</w:t>
      </w:r>
    </w:p>
    <w:p w:rsidR="002D5217" w:rsidRDefault="002D5217">
      <w:pPr>
        <w:pStyle w:val="BodyText"/>
        <w:ind w:left="720"/>
      </w:pPr>
      <w:r w:rsidRPr="002D5217">
        <w:t xml:space="preserve">“Net Funding Costs” means, for a Reference Period in respect of a Financing Entity, the amount by which (a) the aggregate of all interest, scheduled principal and other periodic finance charges accruing due and becoming payable or paid by or on behalf of the Absolute Assignee during the Reference Period in respect of its Funding Obligations, including any standby commitment fees or charges paid to any lender, credit enhancement fees or charges paid to any credit enhancer, liquidity fees or charges paid to any liquidity provider, amounts (including any termination payments) paid under derivatives and any deposit amount made or required to fund or replenish a debt service reserve account or other account established under any indenture, ancillary agreement or other financing document relating to its Funding Obligations, exceeds (b) the aggregate of all amounts received by or on behalf of the Absolute Assignee during the Reference Period in respect of a Funding Obligation, including from any reimbursement of standby commitment fees or charges paid by a lender, any reimbursement of credit enhancement fees or charges paid by any credit enhancer, any reimbursement of liquidity fees or charges paid by any liquidity provider, any amounts (including any termination payments) paid to the Absolute Assignee under derivatives and any Finance Reserve Withdrawal made or required to be made from a debt service reserve account or other account established under any indenture, ancillary agreement or other financing document relating to the payment of the </w:t>
      </w:r>
      <w:r>
        <w:t xml:space="preserve">Net </w:t>
      </w:r>
      <w:r w:rsidRPr="002D5217">
        <w:t>Funding Costs payable in respect of a Funding Obligation for the Reference Period.</w:t>
      </w:r>
    </w:p>
    <w:p w:rsidR="00115F06" w:rsidRDefault="00566583">
      <w:pPr>
        <w:pStyle w:val="BodyText"/>
        <w:ind w:left="720"/>
      </w:pPr>
      <w:r>
        <w:t>“OEB” means the Ontario Energy Board, together with its successors.</w:t>
      </w:r>
    </w:p>
    <w:p w:rsidR="00115F06" w:rsidRDefault="00566583">
      <w:pPr>
        <w:pStyle w:val="BodyText"/>
        <w:ind w:left="720"/>
      </w:pPr>
      <w:r>
        <w:t xml:space="preserve">“OPG” means the corporation incorporated as Ontario Power Generation Inc. under the </w:t>
      </w:r>
      <w:r>
        <w:rPr>
          <w:i/>
        </w:rPr>
        <w:t>Business Corporations Act</w:t>
      </w:r>
      <w:r>
        <w:t xml:space="preserve"> on December 1, 1998, together with its successors.</w:t>
      </w:r>
    </w:p>
    <w:p w:rsidR="00115F06" w:rsidRDefault="00566583">
      <w:pPr>
        <w:pStyle w:val="BodyText"/>
        <w:ind w:left="720"/>
      </w:pPr>
      <w:r>
        <w:t>“Over-Assessed Amount” means, in respect of a Measurement Date, the amount (if any) by which (a) the Assessed Past Green Transition Costs, exceeds (b) the Estimated Past Green Transition Benefits, each as determined as of the Measurement Date.</w:t>
      </w:r>
    </w:p>
    <w:p w:rsidR="00115F06" w:rsidRDefault="00566583">
      <w:pPr>
        <w:pStyle w:val="BodyText"/>
        <w:ind w:left="720"/>
      </w:pPr>
      <w:r>
        <w:t xml:space="preserve">“Period Finance Charges” means, for a Reference Period, the sum of (a) the Estimate of the Finance Amount and (b) the True-Up Amount in respect of the immediately preceding Reference Period. </w:t>
      </w:r>
    </w:p>
    <w:p w:rsidR="00115F06" w:rsidRDefault="00566583">
      <w:pPr>
        <w:pStyle w:val="BodyText"/>
        <w:ind w:left="720"/>
      </w:pPr>
      <w:r>
        <w:t>“Pledge” means, in respect of an Investment Interest of an Absolute Assignee, a lien, mortgage, charge or security interest granted to or in favour of a Pledgee by the Absolute Assignee in, to and over all or a specified portion (including a specified portion on a divided basis or by way of an undivided interest) of the Investment Interest.</w:t>
      </w:r>
    </w:p>
    <w:p w:rsidR="00115F06" w:rsidRDefault="00566583">
      <w:pPr>
        <w:pStyle w:val="BodyText"/>
        <w:ind w:left="720"/>
      </w:pPr>
      <w:r>
        <w:t>“Pledgee” means a person to whom an Absolute Assignee grants a Pledge.</w:t>
      </w:r>
    </w:p>
    <w:p w:rsidR="00115F06" w:rsidRDefault="00566583">
      <w:pPr>
        <w:pStyle w:val="BodyText"/>
        <w:ind w:left="720"/>
      </w:pPr>
      <w:r>
        <w:t xml:space="preserve">“Program End Date” means </w:t>
      </w:r>
      <w:r>
        <w:rPr>
          <w:rFonts w:cstheme="minorHAnsi"/>
        </w:rPr>
        <w:t>•</w:t>
      </w:r>
      <w:r>
        <w:t>, [2047].</w:t>
      </w:r>
    </w:p>
    <w:p w:rsidR="00115F06" w:rsidRDefault="00566583">
      <w:pPr>
        <w:pStyle w:val="BodyText"/>
        <w:ind w:left="720"/>
      </w:pPr>
      <w:r>
        <w:t>“Province” means the Province of Ontario.</w:t>
      </w:r>
    </w:p>
    <w:p w:rsidR="00115F06" w:rsidRDefault="00566583">
      <w:pPr>
        <w:pStyle w:val="BodyText"/>
        <w:ind w:left="720"/>
      </w:pPr>
      <w:r>
        <w:t>“Redemption Amount” means the amount payable by or on behalf of an Absolute Assignee to redeem, prepay or repurchase a Funding Obligation incurred by or on behalf of the Absolute Assignee, including any premium, make-whole or other additional amount becoming payable under the Funding Obligation to give effect to such redemption, prepayment or repurchase.</w:t>
      </w:r>
    </w:p>
    <w:p w:rsidR="00115F06" w:rsidRDefault="00566583">
      <w:pPr>
        <w:pStyle w:val="BodyText"/>
        <w:ind w:left="720"/>
      </w:pPr>
      <w:r>
        <w:t>“Reference Period” means (a) the period from (and including) the Measurement Date to (and including) June 30, 2017, (b) each six month period commencing [May 1</w:t>
      </w:r>
      <w:r>
        <w:rPr>
          <w:vertAlign w:val="superscript"/>
        </w:rPr>
        <w:t>st</w:t>
      </w:r>
      <w:r>
        <w:t xml:space="preserve"> and November 1st] thereafter and (c) any other period specified as such in the Fair Allocation Plan.</w:t>
      </w:r>
    </w:p>
    <w:p w:rsidR="00115F06" w:rsidRDefault="00566583">
      <w:pPr>
        <w:pStyle w:val="BodyText"/>
        <w:ind w:left="720"/>
      </w:pPr>
      <w:r>
        <w:t>“Reference Period Length” means, for a Reference Period, the number of months in the Reference Period.</w:t>
      </w:r>
    </w:p>
    <w:p w:rsidR="00115F06" w:rsidRDefault="00566583">
      <w:pPr>
        <w:pStyle w:val="BodyText"/>
        <w:ind w:left="720"/>
      </w:pPr>
      <w:r>
        <w:t>“Refinancing” means, in respect of a Funding Obligation incurred by or on behalf of an Absolute Assignee, that the Funding Obligation is repaid or repurchased for cancellation by or on behalf of the Absolute Assignee by applying the net proceeds obtained by the Absolute Assignee incurring one or more other Funding Obligations.</w:t>
      </w:r>
    </w:p>
    <w:p w:rsidR="00115F06" w:rsidRDefault="00566583">
      <w:pPr>
        <w:pStyle w:val="BodyText"/>
        <w:ind w:left="720"/>
      </w:pPr>
      <w:r>
        <w:t>“Regulatory Asset” means the property rights and interests described in Section 6(1), which</w:t>
      </w:r>
      <w:r w:rsidRPr="00780F1D">
        <w:t xml:space="preserve"> collectively is comprised</w:t>
      </w:r>
      <w:r w:rsidR="00780F1D" w:rsidRPr="00780F1D">
        <w:t xml:space="preserve"> of</w:t>
      </w:r>
      <w:r>
        <w:t xml:space="preserve"> each Investment Interest.</w:t>
      </w:r>
    </w:p>
    <w:p w:rsidR="00115F06" w:rsidRDefault="00566583">
      <w:pPr>
        <w:pStyle w:val="BodyText"/>
        <w:ind w:left="720"/>
      </w:pPr>
      <w:r>
        <w:t>“Regulatory Asset Account” means (a) for an Electricity Distributor, any bank account into which the Electricity Distributor deposits or receives Transition Charge Collections; (b) for the Servicer, any bank account into which IESO deposits or receives Transition Charges, Electricity Distributor Remittances or IESO Remittances; and (c) if applicable, for the Alternative Collection Agent, any bank account into which the Alternative Collection Agent deposits or receives Transition Charge Collections, Electricity Distributor Remittances or IESO Remittances.</w:t>
      </w:r>
    </w:p>
    <w:p w:rsidR="00115F06" w:rsidRDefault="00566583">
      <w:pPr>
        <w:pStyle w:val="BodyText"/>
        <w:ind w:left="720"/>
      </w:pPr>
      <w:r>
        <w:t xml:space="preserve">“Regulatory Asset Owner” means each Absolute Assignee, as owner of its Investment Interest or Investment Interests, and “Regulatory Asset Owners” means collectively each such Absolute Assignee, who together own the entirety of the Regulatory Asset and are required to exercise their individual rights of ownership in accordance with Section </w:t>
      </w:r>
      <w:r>
        <w:rPr>
          <w:rFonts w:cstheme="minorHAnsi"/>
        </w:rPr>
        <w:t>6(7)</w:t>
      </w:r>
      <w:r>
        <w:t xml:space="preserve">. </w:t>
      </w:r>
    </w:p>
    <w:p w:rsidR="00115F06" w:rsidRDefault="00566583">
      <w:pPr>
        <w:pStyle w:val="BodyText"/>
        <w:ind w:left="720"/>
      </w:pPr>
      <w:r>
        <w:t>“Related Rights” means</w:t>
      </w:r>
      <w:r w:rsidR="00780F1D">
        <w:t>,</w:t>
      </w:r>
      <w:r>
        <w:t xml:space="preserve"> </w:t>
      </w:r>
      <w:r w:rsidR="00780F1D" w:rsidRPr="00780F1D">
        <w:t>with respect to a Regulatory Asset Owner’s Investment Interest</w:t>
      </w:r>
      <w:r w:rsidR="00780F1D">
        <w:t>,</w:t>
      </w:r>
      <w:r w:rsidR="00780F1D" w:rsidRPr="00780F1D">
        <w:t xml:space="preserve"> </w:t>
      </w:r>
      <w:r>
        <w:t xml:space="preserve">all rights of any kind (whether in tort, contract or otherwise) that attach or are attendant or incidental to any of the other property rights or interests that comprise such </w:t>
      </w:r>
      <w:r w:rsidR="00780F1D">
        <w:t>Investment Interest</w:t>
      </w:r>
      <w:r>
        <w:t>.</w:t>
      </w:r>
    </w:p>
    <w:p w:rsidR="00115F06" w:rsidRDefault="00566583">
      <w:pPr>
        <w:pStyle w:val="BodyText"/>
        <w:ind w:left="720"/>
      </w:pPr>
      <w:r>
        <w:t>“Remittance Date” means, in respect of an Electricity Distributor, each day on which it is required to remit Electricity Distribution Remittances to IESO or if applicable the Alternative Collection Agent as specified in accordance with any Funding Obligation or, if no such day is specified in accordance with any Funding Obligation, then the Business Day</w:t>
      </w:r>
      <w:r w:rsidR="00780F1D">
        <w:t xml:space="preserve"> </w:t>
      </w:r>
      <w:r w:rsidR="00780F1D" w:rsidRPr="00780F1D">
        <w:rPr>
          <w:b/>
          <w:highlight w:val="yellow"/>
        </w:rPr>
        <w:t>[NTD: Not defined.]</w:t>
      </w:r>
      <w:r>
        <w:t xml:space="preserve"> preceding each Settlement Date.</w:t>
      </w:r>
      <w:r w:rsidR="00E71AE1" w:rsidRPr="00E71AE1">
        <w:t xml:space="preserve"> </w:t>
      </w:r>
      <w:r w:rsidR="00E71AE1" w:rsidRPr="00E71AE1">
        <w:rPr>
          <w:b/>
          <w:highlight w:val="yellow"/>
        </w:rPr>
        <w:t>[NTD:  Move to Reg</w:t>
      </w:r>
      <w:r w:rsidR="00BA7686">
        <w:rPr>
          <w:b/>
          <w:highlight w:val="yellow"/>
        </w:rPr>
        <w:t>ulations</w:t>
      </w:r>
      <w:r w:rsidR="00E71AE1" w:rsidRPr="00E71AE1">
        <w:rPr>
          <w:b/>
          <w:highlight w:val="yellow"/>
        </w:rPr>
        <w:t>.  Remittances will be in accordance with then current rules.]</w:t>
      </w:r>
    </w:p>
    <w:p w:rsidR="00115F06" w:rsidRDefault="00566583">
      <w:pPr>
        <w:pStyle w:val="BodyText"/>
        <w:ind w:left="720"/>
      </w:pPr>
      <w:r>
        <w:t>“Repayment Obligation” means an obligation to repay or to provide for the repayment (including by making a related Finance Reserve Deposit) of, all or a portion of the amount advanced to the Absolute Assignee under a Funding Obligation.</w:t>
      </w:r>
    </w:p>
    <w:p w:rsidR="00115F06" w:rsidRDefault="00566583">
      <w:pPr>
        <w:pStyle w:val="BodyText"/>
        <w:ind w:left="720"/>
      </w:pPr>
      <w:r>
        <w:t>“Repayment” means a payment by an Absolute Assignee made to satisfy a Repayment Obligation, other than to the extent that the payment is made by applying the proceeds of a Refinancing or from Finance Reserve Withdrawals.</w:t>
      </w:r>
    </w:p>
    <w:p w:rsidR="00115F06" w:rsidRDefault="00566583">
      <w:pPr>
        <w:pStyle w:val="BodyText"/>
        <w:ind w:left="720"/>
      </w:pPr>
      <w:r>
        <w:t xml:space="preserve">“Replacement Event” means any event specified as such in a Funding Obligation. </w:t>
      </w:r>
    </w:p>
    <w:p w:rsidR="00115F06" w:rsidRDefault="00566583">
      <w:pPr>
        <w:pStyle w:val="BodyText"/>
        <w:ind w:left="720"/>
      </w:pPr>
      <w:r>
        <w:t>“Retail Consumer” means:</w:t>
      </w:r>
    </w:p>
    <w:p w:rsidR="00115F06" w:rsidRDefault="00566583">
      <w:pPr>
        <w:pStyle w:val="BodyText"/>
        <w:ind w:left="1440" w:hanging="720"/>
      </w:pPr>
      <w:r>
        <w:t xml:space="preserve">(a) </w:t>
      </w:r>
      <w:r>
        <w:tab/>
        <w:t>consumers of electricity in the Province who are (i) consumers designated</w:t>
      </w:r>
      <w:r w:rsidR="007B3A3F">
        <w:t xml:space="preserve"> </w:t>
      </w:r>
      <w:r w:rsidR="007B3A3F" w:rsidRPr="007B3A3F">
        <w:rPr>
          <w:b/>
        </w:rPr>
        <w:t>[as of the Measurement Date]</w:t>
      </w:r>
      <w:r w:rsidRPr="007B3A3F">
        <w:rPr>
          <w:b/>
        </w:rPr>
        <w:t xml:space="preserve"> </w:t>
      </w:r>
      <w:r>
        <w:t xml:space="preserve">under section 79.16 of[, and O.Reg 95/05 under,] the </w:t>
      </w:r>
      <w:r>
        <w:rPr>
          <w:i/>
        </w:rPr>
        <w:t>Ontario Energy Board Act, 1998</w:t>
      </w:r>
      <w:r>
        <w:t xml:space="preserve">, or (ii) hold or are deemed to hold an “eligible account” under the </w:t>
      </w:r>
      <w:r>
        <w:rPr>
          <w:i/>
        </w:rPr>
        <w:t>Ontario Rebate for Electricity Consumers Act, 2016</w:t>
      </w:r>
      <w:r>
        <w:t>, other than any such consumer who has a contract with a Retailer who uses Retailer Consolidated Billing; and</w:t>
      </w:r>
    </w:p>
    <w:p w:rsidR="00115F06" w:rsidRDefault="00566583">
      <w:pPr>
        <w:pStyle w:val="BodyText"/>
        <w:ind w:left="1440" w:hanging="720"/>
      </w:pPr>
      <w:r>
        <w:t xml:space="preserve">(b)  </w:t>
      </w:r>
      <w:r>
        <w:tab/>
        <w:t>present and future Retailers who use Retailer Consolidated Billing,</w:t>
      </w:r>
    </w:p>
    <w:p w:rsidR="00115F06" w:rsidRDefault="00566583">
      <w:pPr>
        <w:pStyle w:val="BodyText"/>
        <w:ind w:left="720"/>
      </w:pPr>
      <w:r>
        <w:t xml:space="preserve">and each case includes all such consumers and Retailers who are connected, directly or indirectly and whether a customer of an Electricity Distributor or not, to the transmission and distribution system assets located in the Province and who are taking electric delivery service within the Province, whether or not such retail consumers produce their own electricity or purchase electric generation services from a provider of electric generation services other than the owner of the Province’s transmission and distribution system assets and whether or not the transmission and distribution system assets continue to be owned or operated by Electricity Distributors or operated by IESO. </w:t>
      </w:r>
      <w:r w:rsidR="0066623A">
        <w:t xml:space="preserve"> </w:t>
      </w:r>
      <w:r w:rsidR="0066623A" w:rsidRPr="00AE08A4">
        <w:rPr>
          <w:b/>
        </w:rPr>
        <w:t xml:space="preserve">[NTD: There are a number of issues with this definition.  </w:t>
      </w:r>
      <w:r w:rsidR="00284ACD" w:rsidRPr="00AE08A4">
        <w:rPr>
          <w:b/>
        </w:rPr>
        <w:t>First, t</w:t>
      </w:r>
      <w:r w:rsidR="0066623A" w:rsidRPr="00AE08A4">
        <w:rPr>
          <w:b/>
        </w:rPr>
        <w:t>he word “Retail” is a source of confusion as it implies customers of licensed retailers.  Really, the purpose of the term is to define the group of consumers that are eligible to receive the benefit of the Fair Hydro program and who will bear the cost of the program over the long term.  We therefore suggest using the term “Eligible Consumer” or “Fair Hydro Eligible Consumer”</w:t>
      </w:r>
      <w:r w:rsidR="00AE08A4">
        <w:rPr>
          <w:b/>
        </w:rPr>
        <w:t xml:space="preserve"> and for purposes of the legislation to say that it is a member of a class of consumers prescribed by the regulations for purposes of the relevant section of the legislation.  The regulation would then describe who is in the class</w:t>
      </w:r>
      <w:r w:rsidR="0066623A" w:rsidRPr="00AE08A4">
        <w:rPr>
          <w:b/>
        </w:rPr>
        <w:t xml:space="preserve">.  </w:t>
      </w:r>
      <w:r w:rsidR="00284ACD" w:rsidRPr="00AE08A4">
        <w:rPr>
          <w:b/>
        </w:rPr>
        <w:t>Second, i</w:t>
      </w:r>
      <w:r w:rsidR="0066623A" w:rsidRPr="00AE08A4">
        <w:rPr>
          <w:b/>
        </w:rPr>
        <w:t>t may not be appropriate to rely on the class of consumers prescribed for the purposes of s. 79.16 or under the OREC Act.  Section 79.16 is the section that defines the class of RPP consumers.  We understand that the “Fair Hydro Eligible Consumers” are not an identical class to that which is eligible for the RPP or for the Ontario Rebate for Electricity Consumers</w:t>
      </w:r>
      <w:r w:rsidR="00284ACD" w:rsidRPr="00AE08A4">
        <w:rPr>
          <w:b/>
        </w:rPr>
        <w:t>.  For example, we have heard that Fair Hydro Eligible Consumers will (a) exclude consumers served by independent power authorities (certain remote communities not served by Hydro One Remotes), and (b) include consumers served by licensed unit sub-metering providers, licensed retailers and certain consumers served directly by the IESO (which may or may not be captured by the classes under 79.16 or OREC</w:t>
      </w:r>
      <w:r w:rsidR="005861AA">
        <w:rPr>
          <w:b/>
        </w:rPr>
        <w:t>)</w:t>
      </w:r>
      <w:r w:rsidR="00284ACD" w:rsidRPr="00AE08A4">
        <w:rPr>
          <w:b/>
        </w:rPr>
        <w:t>.  Third, it is not clear why consumers with contracts with retailers who use retailer consolidated billing are removed from the first part of the definition but then added back into the second part of the definition.</w:t>
      </w:r>
      <w:r w:rsidR="00F56CB2" w:rsidRPr="00AE08A4">
        <w:rPr>
          <w:b/>
        </w:rPr>
        <w:t xml:space="preserve">  It is also confusing that by adding them back in, this has the effect of making a Retailer a Retail Consumer.</w:t>
      </w:r>
      <w:r w:rsidR="00284ACD" w:rsidRPr="00AE08A4">
        <w:rPr>
          <w:b/>
        </w:rPr>
        <w:t xml:space="preserve">  Fourth, Retailers do not necessarily have physical electricity assets that would be connected to.  Some just sell or offer contracts for electricity.  As such, the first few lines after (b) are problematic.  Fifth, </w:t>
      </w:r>
      <w:r w:rsidR="00F56CB2" w:rsidRPr="00AE08A4">
        <w:rPr>
          <w:b/>
        </w:rPr>
        <w:t>the phrase “purchase electric generation services from a provider of electric generation services other than the owner of the Province’s transmission and distribution system assets” does not make sense.  A consumer does not purchase generation services from a transmitter or distributor.  Rather, a consumer receives distribution services from a distributor.  In addition to charging for its distribution services, the distributor also charges the associated transmission costs and commodity costs associated with the volumes delivered.  Those commodity costs are the price of the electricity itself and are almost entirely made up of the amounts determined under the global adjustment.  Sixth, the phrase “whether or not the transmission and distribution system assets continue to be owned or operated by Electricity Distributors or operated by IESO” does not make sense.  Transmission assets are owned and operated by transmitters.  Distribution assets are owned and operated by distributors.  The IESO does not own but does administer and direct the operation of the transmission system]</w:t>
      </w:r>
    </w:p>
    <w:p w:rsidR="00115F06" w:rsidRDefault="00566583">
      <w:pPr>
        <w:pStyle w:val="BodyText"/>
        <w:ind w:left="720"/>
      </w:pPr>
      <w:r>
        <w:t>“Retail Consumer Group” means, in relation to a Reference Period, the Retail Consumers who receive Electricity Invoices during the Reference Period.</w:t>
      </w:r>
    </w:p>
    <w:p w:rsidR="00115F06" w:rsidRDefault="00566583">
      <w:pPr>
        <w:pStyle w:val="BodyText"/>
        <w:ind w:left="720"/>
      </w:pPr>
      <w:r>
        <w:t xml:space="preserve">“Retailer” means a person who is licensed under Part V of the </w:t>
      </w:r>
      <w:r>
        <w:rPr>
          <w:i/>
        </w:rPr>
        <w:t>Ontario Energy Board Act, 1998</w:t>
      </w:r>
      <w:r>
        <w:t xml:space="preserve"> to retail electricity.</w:t>
      </w:r>
    </w:p>
    <w:p w:rsidR="00115F06" w:rsidRDefault="00566583">
      <w:pPr>
        <w:pStyle w:val="BodyText"/>
        <w:ind w:left="720"/>
      </w:pPr>
      <w:r>
        <w:t xml:space="preserve">“Retailer Consolidated Billing” has the same meaning as in the </w:t>
      </w:r>
      <w:r>
        <w:rPr>
          <w:i/>
        </w:rPr>
        <w:t>Retail Settlement Code</w:t>
      </w:r>
      <w:r>
        <w:t xml:space="preserve"> issued by the Ontario Energy Board.</w:t>
      </w:r>
    </w:p>
    <w:p w:rsidR="00115F06" w:rsidRDefault="00566583">
      <w:pPr>
        <w:pStyle w:val="BodyText"/>
        <w:ind w:left="720"/>
      </w:pPr>
      <w:r>
        <w:t xml:space="preserve">“Service Area” means, in respect of an Electricity Distributor, the geographic area or region in which it is licensed to distribute electricity in accordance with the </w:t>
      </w:r>
      <w:r>
        <w:rPr>
          <w:i/>
        </w:rPr>
        <w:t>Electricity Act, 1998</w:t>
      </w:r>
      <w:r>
        <w:t>.</w:t>
      </w:r>
    </w:p>
    <w:p w:rsidR="00115F06" w:rsidRDefault="00566583">
      <w:pPr>
        <w:pStyle w:val="BodyText"/>
        <w:ind w:left="720"/>
      </w:pPr>
      <w:r>
        <w:t>“Servicer” means IESO or IESO Successor</w:t>
      </w:r>
      <w:r>
        <w:rPr>
          <w:rFonts w:cstheme="minorHAnsi"/>
        </w:rPr>
        <w:t xml:space="preserve">, as agent </w:t>
      </w:r>
      <w:r>
        <w:t>for</w:t>
      </w:r>
      <w:r>
        <w:rPr>
          <w:rFonts w:cstheme="minorHAnsi"/>
        </w:rPr>
        <w:t xml:space="preserve"> and on behalf of the Regulatory Asset Owners, for the purposes set forth in Article 4</w:t>
      </w:r>
      <w:r>
        <w:t>.</w:t>
      </w:r>
    </w:p>
    <w:p w:rsidR="00115F06" w:rsidRDefault="00566583">
      <w:pPr>
        <w:pStyle w:val="BodyText"/>
        <w:ind w:left="720"/>
      </w:pPr>
      <w:r>
        <w:t>“Settlement Date” means the [last Business Day of any month].</w:t>
      </w:r>
    </w:p>
    <w:p w:rsidR="00115F06" w:rsidRDefault="00566583">
      <w:pPr>
        <w:pStyle w:val="BodyText"/>
        <w:ind w:left="720"/>
      </w:pPr>
      <w:r>
        <w:t>“Transition Charge” means,</w:t>
      </w:r>
      <w:r w:rsidR="00BA7657">
        <w:t xml:space="preserve"> the amount recoverable from </w:t>
      </w:r>
      <w:r>
        <w:t xml:space="preserve">a Retail Consumer in respect of a Reference Period, (a) the Period </w:t>
      </w:r>
      <w:r w:rsidR="00780F1D">
        <w:t>Finance</w:t>
      </w:r>
      <w:r>
        <w:t xml:space="preserve"> Charge, (b) multiplied by its Allocation Factor in respect of the Reference Period, </w:t>
      </w:r>
      <w:r w:rsidR="00780F1D" w:rsidRPr="00780F1D">
        <w:rPr>
          <w:b/>
          <w:highlight w:val="yellow"/>
        </w:rPr>
        <w:t>[</w:t>
      </w:r>
      <w:r w:rsidRPr="00780F1D">
        <w:rPr>
          <w:b/>
          <w:highlight w:val="yellow"/>
        </w:rPr>
        <w:t>divided by</w:t>
      </w:r>
      <w:r w:rsidR="00780F1D" w:rsidRPr="00780F1D">
        <w:rPr>
          <w:b/>
          <w:highlight w:val="yellow"/>
        </w:rPr>
        <w:t>][NTD: Please explain why divided.]</w:t>
      </w:r>
      <w:r w:rsidRPr="00780F1D">
        <w:rPr>
          <w:b/>
        </w:rPr>
        <w:t xml:space="preserve"> </w:t>
      </w:r>
      <w:r>
        <w:t>(c) the applicable Reference Period Length.</w:t>
      </w:r>
      <w:r w:rsidRPr="00E71AE1">
        <w:rPr>
          <w:b/>
        </w:rPr>
        <w:t xml:space="preserve"> </w:t>
      </w:r>
    </w:p>
    <w:p w:rsidR="00115F06" w:rsidRDefault="00566583">
      <w:pPr>
        <w:pStyle w:val="BodyText"/>
        <w:ind w:left="720"/>
      </w:pPr>
      <w:r>
        <w:t xml:space="preserve">“Transition Charge Collection” means any amount received or deemed by this Act to have been received upon the collection of a Transition Charge paid by or on behalf of a Retail Consumer, including any proceeds arising from the exercise and enforcement of any related rights and interests under or in respect of the Regulatory Asset. </w:t>
      </w:r>
    </w:p>
    <w:p w:rsidR="00115F06" w:rsidRDefault="00566583">
      <w:pPr>
        <w:pStyle w:val="BodyText"/>
        <w:ind w:left="720"/>
      </w:pPr>
      <w:r>
        <w:t xml:space="preserve">“True-Up Amount” means, in respect of a Reference Period, the amount (which may be a negative amount) calculated by the Financial Services </w:t>
      </w:r>
      <w:r w:rsidR="00EC2CB5" w:rsidRPr="00EC2CB5">
        <w:t>Manager</w:t>
      </w:r>
      <w:r>
        <w:t xml:space="preserve"> equal to (a) the Estimate of the Finance Amount for the related True-Up Period, minus (b) the Actual Finance Amount for such related True-Up Period, plus (c) the Collected Amount Adjustment for such related True-Up Period.</w:t>
      </w:r>
      <w:r w:rsidR="0011079D">
        <w:t xml:space="preserve"> </w:t>
      </w:r>
      <w:r w:rsidR="00806826" w:rsidRPr="00806826">
        <w:rPr>
          <w:b/>
          <w:highlight w:val="yellow"/>
        </w:rPr>
        <w:t xml:space="preserve">[NOTE: need to discuss how this will work for our true-up. What about prior period shortages? </w:t>
      </w:r>
      <w:r w:rsidR="0011079D" w:rsidRPr="00806826">
        <w:rPr>
          <w:b/>
          <w:highlight w:val="yellow"/>
        </w:rPr>
        <w:t>An example of how this work</w:t>
      </w:r>
      <w:r w:rsidR="00BA7686">
        <w:rPr>
          <w:b/>
          <w:highlight w:val="yellow"/>
        </w:rPr>
        <w:t>s</w:t>
      </w:r>
      <w:r w:rsidR="0011079D" w:rsidRPr="00806826">
        <w:rPr>
          <w:b/>
          <w:highlight w:val="yellow"/>
        </w:rPr>
        <w:t xml:space="preserve"> needs to be provided.]</w:t>
      </w:r>
    </w:p>
    <w:p w:rsidR="00115F06" w:rsidRDefault="00566583">
      <w:pPr>
        <w:pStyle w:val="BodyText"/>
        <w:ind w:left="720"/>
      </w:pPr>
      <w:r>
        <w:t>“True-Up Period” means, in relation to a Reference Period, the period from and including the first day of the Reference Period, to but excluding the last day of the Reference Period.</w:t>
      </w:r>
    </w:p>
    <w:p w:rsidR="00115F06" w:rsidRDefault="00566583">
      <w:pPr>
        <w:pStyle w:val="BodyText"/>
        <w:ind w:left="720"/>
      </w:pPr>
      <w:r>
        <w:t xml:space="preserve">“Undertaking of </w:t>
      </w:r>
      <w:r w:rsidR="006A292A">
        <w:t>Her Majesty in right of Ontario</w:t>
      </w:r>
      <w:r>
        <w:t>” means the undertaking of</w:t>
      </w:r>
      <w:r w:rsidR="006A292A" w:rsidRPr="006A292A">
        <w:t xml:space="preserve"> Her Majesty in right of Ontario</w:t>
      </w:r>
      <w:r>
        <w:t xml:space="preserve"> given under Section 11(2).</w:t>
      </w:r>
    </w:p>
    <w:p w:rsidR="0011079D" w:rsidRPr="0011079D" w:rsidRDefault="0011079D" w:rsidP="0011079D">
      <w:pPr>
        <w:pStyle w:val="BodyText"/>
        <w:rPr>
          <w:b/>
        </w:rPr>
      </w:pPr>
      <w:r w:rsidRPr="0011079D">
        <w:rPr>
          <w:b/>
          <w:highlight w:val="yellow"/>
        </w:rPr>
        <w:t xml:space="preserve">[NTD: </w:t>
      </w:r>
      <w:r w:rsidR="00BA7686">
        <w:rPr>
          <w:b/>
          <w:highlight w:val="yellow"/>
        </w:rPr>
        <w:t xml:space="preserve">The </w:t>
      </w:r>
      <w:r w:rsidRPr="0011079D">
        <w:rPr>
          <w:b/>
          <w:highlight w:val="yellow"/>
        </w:rPr>
        <w:t xml:space="preserve">True-Up Mechanism </w:t>
      </w:r>
      <w:r w:rsidR="00BA7686">
        <w:rPr>
          <w:b/>
          <w:highlight w:val="yellow"/>
        </w:rPr>
        <w:t xml:space="preserve">should </w:t>
      </w:r>
      <w:r w:rsidRPr="0011079D">
        <w:rPr>
          <w:b/>
          <w:highlight w:val="yellow"/>
        </w:rPr>
        <w:t>requir</w:t>
      </w:r>
      <w:r w:rsidR="00BA7686">
        <w:rPr>
          <w:b/>
          <w:highlight w:val="yellow"/>
        </w:rPr>
        <w:t>e</w:t>
      </w:r>
      <w:r w:rsidRPr="0011079D">
        <w:rPr>
          <w:b/>
          <w:highlight w:val="yellow"/>
        </w:rPr>
        <w:t xml:space="preserve"> the Transition Charges</w:t>
      </w:r>
      <w:r w:rsidR="00BA7686">
        <w:rPr>
          <w:b/>
          <w:highlight w:val="yellow"/>
        </w:rPr>
        <w:t xml:space="preserve"> to</w:t>
      </w:r>
      <w:r w:rsidRPr="0011079D">
        <w:rPr>
          <w:b/>
          <w:highlight w:val="yellow"/>
        </w:rPr>
        <w:t xml:space="preserve"> be reviewed and adjusted at least semi</w:t>
      </w:r>
      <w:r w:rsidR="00BA7686">
        <w:rPr>
          <w:b/>
          <w:highlight w:val="yellow"/>
        </w:rPr>
        <w:t>-</w:t>
      </w:r>
      <w:r w:rsidRPr="0011079D">
        <w:rPr>
          <w:b/>
          <w:highlight w:val="yellow"/>
        </w:rPr>
        <w:t>annually, etc</w:t>
      </w:r>
      <w:r w:rsidR="00BA7686">
        <w:rPr>
          <w:b/>
          <w:highlight w:val="yellow"/>
        </w:rPr>
        <w:t>.</w:t>
      </w:r>
      <w:r w:rsidRPr="0011079D">
        <w:rPr>
          <w:b/>
          <w:highlight w:val="yellow"/>
        </w:rPr>
        <w:t>]</w:t>
      </w:r>
    </w:p>
    <w:p w:rsidR="00115F06" w:rsidRDefault="00566583">
      <w:pPr>
        <w:pStyle w:val="BodyText"/>
        <w:rPr>
          <w:b/>
        </w:rPr>
      </w:pPr>
      <w:r>
        <w:rPr>
          <w:b/>
        </w:rPr>
        <w:t>Article 3 – Transition Charges</w:t>
      </w:r>
    </w:p>
    <w:p w:rsidR="00115F06" w:rsidRDefault="00566583">
      <w:pPr>
        <w:pStyle w:val="BodyText"/>
        <w:numPr>
          <w:ilvl w:val="0"/>
          <w:numId w:val="11"/>
        </w:numPr>
        <w:ind w:hanging="720"/>
        <w:rPr>
          <w:b/>
        </w:rPr>
      </w:pPr>
      <w:r>
        <w:rPr>
          <w:b/>
        </w:rPr>
        <w:t>Retail Consumer Obligation to Pay a Transition Charge</w:t>
      </w:r>
      <w:r>
        <w:t xml:space="preserve"> – Each Retail Consumer shall pay each Transition Charge charged to it in any Electricity Invoice issued to such Retail Consumer by its Electricity Distributor </w:t>
      </w:r>
      <w:r>
        <w:rPr>
          <w:rFonts w:cstheme="minorHAnsi"/>
        </w:rPr>
        <w:t xml:space="preserve">or </w:t>
      </w:r>
      <w:r>
        <w:t>by an Alternative Servicer under Section 4(1)</w:t>
      </w:r>
      <w:r>
        <w:rPr>
          <w:rFonts w:cstheme="minorHAnsi"/>
        </w:rPr>
        <w:t xml:space="preserve">, in each case </w:t>
      </w:r>
      <w:r>
        <w:t>on the terms of payment specified in the related Electricity Invoice.</w:t>
      </w:r>
    </w:p>
    <w:p w:rsidR="00115F06" w:rsidRDefault="00566583">
      <w:pPr>
        <w:pStyle w:val="BodyText"/>
        <w:numPr>
          <w:ilvl w:val="0"/>
          <w:numId w:val="11"/>
        </w:numPr>
        <w:ind w:hanging="720"/>
        <w:rPr>
          <w:b/>
        </w:rPr>
      </w:pPr>
      <w:r>
        <w:rPr>
          <w:b/>
        </w:rPr>
        <w:t xml:space="preserve">Indebtedness of Retail Consumers </w:t>
      </w:r>
      <w:r>
        <w:t>– Until paid, a Transition Charge charged to a Retail Consumer in an Electricity Invoice shall, together with any applicable late payment fees and finance charges arising under the terms of the Electricity Invoice with respect to such Transition Charge, constitute non-bypassable indebtedness of the Retail Consumer to the Regulatory Asset Owners, each with respect to its respective interest in the Regulatory Asset.  Such indebtedness shall constitute a single and separate</w:t>
      </w:r>
      <w:r>
        <w:rPr>
          <w:rStyle w:val="FootnoteReference"/>
        </w:rPr>
        <w:footnoteReference w:id="8"/>
      </w:r>
      <w:r>
        <w:t xml:space="preserve"> debt obligation owing by the Retail Consumer, which subject to Article 5 may be enforced independently from any other payment obligation or indebtedness owing by the Retail Consumer under the Electricity Invoice or otherwise.</w:t>
      </w:r>
      <w:r>
        <w:rPr>
          <w:rStyle w:val="FootnoteReference"/>
        </w:rPr>
        <w:footnoteReference w:id="9"/>
      </w:r>
    </w:p>
    <w:p w:rsidR="00115F06" w:rsidRDefault="00566583">
      <w:pPr>
        <w:pStyle w:val="BodyText"/>
        <w:numPr>
          <w:ilvl w:val="0"/>
          <w:numId w:val="11"/>
        </w:numPr>
        <w:ind w:hanging="720"/>
        <w:rPr>
          <w:b/>
        </w:rPr>
      </w:pPr>
      <w:r>
        <w:rPr>
          <w:b/>
        </w:rPr>
        <w:t>No Set-Off or Reduction</w:t>
      </w:r>
      <w:r>
        <w:t xml:space="preserve"> –  A Retail Consumer may not set-off or reduce (by counterclaim, defense or otherwise) the amount payable by it in respect of any Transition Charge, including any set-off against or in respect of any amount owing or becoming payable to such Retail Consumer by its Electricity Distributor, any Regulatory Asset Owner or any other person.</w:t>
      </w:r>
    </w:p>
    <w:p w:rsidR="00115F06" w:rsidRDefault="00566583" w:rsidP="003153EC">
      <w:pPr>
        <w:pStyle w:val="BodyText"/>
        <w:numPr>
          <w:ilvl w:val="0"/>
          <w:numId w:val="11"/>
        </w:numPr>
        <w:rPr>
          <w:b/>
        </w:rPr>
      </w:pPr>
      <w:r>
        <w:rPr>
          <w:b/>
        </w:rPr>
        <w:t>Allocation of Retail Consumer Payments</w:t>
      </w:r>
      <w:r>
        <w:t xml:space="preserve"> – If an Electricity Distributor receives a payment made by or on behalf of a Retail Consumer in respect of amounts due and payable under one or more Electricity Invoices that is less than the total amount payable thereunder, such payment shall be allocated on a </w:t>
      </w:r>
      <w:r>
        <w:rPr>
          <w:i/>
        </w:rPr>
        <w:t>pro rata</w:t>
      </w:r>
      <w:r>
        <w:t xml:space="preserve"> basis to the payment of related Transition Charges and other invoiced amounts and the amount so allocated as a payment of related Transition Charges shall be deemed to constitute a Transition Charge Collection.</w:t>
      </w:r>
      <w:r w:rsidR="00C5362F" w:rsidRPr="00C5362F">
        <w:t xml:space="preserve"> </w:t>
      </w:r>
      <w:r w:rsidR="003153EC" w:rsidRPr="003153EC">
        <w:rPr>
          <w:b/>
          <w:highlight w:val="yellow"/>
        </w:rPr>
        <w:t>[NTD: We doubt that all LDCs have the ability to determine pro rata shares and that they might refuse to develop that ability.  We continue to advocate for payment in full of Transition Charges with all shortfall</w:t>
      </w:r>
      <w:r w:rsidR="00BA7686">
        <w:rPr>
          <w:b/>
          <w:highlight w:val="yellow"/>
        </w:rPr>
        <w:t>s</w:t>
      </w:r>
      <w:r w:rsidR="003153EC" w:rsidRPr="003153EC">
        <w:rPr>
          <w:b/>
          <w:highlight w:val="yellow"/>
        </w:rPr>
        <w:t xml:space="preserve"> being allocated to the non-Transition Charges.]</w:t>
      </w:r>
    </w:p>
    <w:p w:rsidR="00115F06" w:rsidRDefault="00566583" w:rsidP="00C5362F">
      <w:pPr>
        <w:pStyle w:val="BodyText"/>
        <w:numPr>
          <w:ilvl w:val="0"/>
          <w:numId w:val="11"/>
        </w:numPr>
      </w:pPr>
      <w:r>
        <w:rPr>
          <w:b/>
        </w:rPr>
        <w:t>Transition Charges are Irrevocable</w:t>
      </w:r>
      <w:r>
        <w:t xml:space="preserve"> – The Transition Charges arising under or in respect of Funding Obligations incurred under the Financing Plan (including any adjustments based on modifications to such Funding Obligations made in compliance with the Financing Plan or as a result of amendments to the Financing Plan made in accordance with Section 9(3)) </w:t>
      </w:r>
      <w:r w:rsidR="00C5362F" w:rsidRPr="00C5362F">
        <w:rPr>
          <w:b/>
          <w:highlight w:val="yellow"/>
        </w:rPr>
        <w:t>[NOTE: what about modifications as a result of usage/weather/bad debt write-offs?]</w:t>
      </w:r>
      <w:r w:rsidR="00C5362F" w:rsidRPr="00C5362F">
        <w:rPr>
          <w:b/>
        </w:rPr>
        <w:t xml:space="preserve"> </w:t>
      </w:r>
      <w:r>
        <w:t>are deemed to be irrevocable, final and effective without any further action, except to the extent of manifest calculation error.  For greater certainty, a Transition Charge may include Finance Amounts for a Reference Period whether or not the payment of such Finance Amounts are inconsistent with the Fair Allocation Plan applicable at the time such payments are due and payable, and whether or not the related Funding Obligation was properly incurred under the Financing Plan. In no case shall a Funding Obligation incurred under the Financing Plan be affected by a subsequent amendment to the Fair Allocation Plan.</w:t>
      </w:r>
    </w:p>
    <w:p w:rsidR="00C5362F" w:rsidRDefault="00C5362F" w:rsidP="00C5362F">
      <w:pPr>
        <w:pStyle w:val="BodyText"/>
        <w:numPr>
          <w:ilvl w:val="0"/>
          <w:numId w:val="11"/>
        </w:numPr>
      </w:pPr>
      <w:r w:rsidRPr="00C5362F">
        <w:rPr>
          <w:b/>
        </w:rPr>
        <w:t>True-Up of Transition Charges?</w:t>
      </w:r>
      <w:r w:rsidRPr="00C5362F">
        <w:t xml:space="preserve"> </w:t>
      </w:r>
      <w:r w:rsidRPr="00C5362F">
        <w:rPr>
          <w:highlight w:val="yellow"/>
        </w:rPr>
        <w:t>– include specifics regarding the true-up of the charges and the process for the true-up, but move to Regulations.</w:t>
      </w:r>
    </w:p>
    <w:p w:rsidR="00115F06" w:rsidRDefault="00566583">
      <w:pPr>
        <w:pStyle w:val="BodyText"/>
        <w:rPr>
          <w:b/>
        </w:rPr>
      </w:pPr>
      <w:r>
        <w:rPr>
          <w:b/>
        </w:rPr>
        <w:t xml:space="preserve">Article 4 – Invoicing of Transition Charges </w:t>
      </w:r>
      <w:r w:rsidR="00C5362F" w:rsidRPr="00C5362F">
        <w:rPr>
          <w:b/>
        </w:rPr>
        <w:t xml:space="preserve"> </w:t>
      </w:r>
      <w:r w:rsidR="00C5362F" w:rsidRPr="00C5362F">
        <w:rPr>
          <w:b/>
          <w:highlight w:val="yellow"/>
        </w:rPr>
        <w:t>[NTD:  Move all of Article 4  sections (1) to (4) to Reg</w:t>
      </w:r>
      <w:r w:rsidR="00BA7686">
        <w:rPr>
          <w:b/>
          <w:highlight w:val="yellow"/>
        </w:rPr>
        <w:t>ulations</w:t>
      </w:r>
      <w:r w:rsidR="00C5362F" w:rsidRPr="00C5362F">
        <w:rPr>
          <w:b/>
          <w:highlight w:val="yellow"/>
        </w:rPr>
        <w:t>.]</w:t>
      </w:r>
    </w:p>
    <w:p w:rsidR="00115F06" w:rsidRDefault="00566583">
      <w:pPr>
        <w:pStyle w:val="BodyText"/>
        <w:numPr>
          <w:ilvl w:val="0"/>
          <w:numId w:val="16"/>
        </w:numPr>
        <w:ind w:hanging="720"/>
        <w:rPr>
          <w:b/>
        </w:rPr>
      </w:pPr>
      <w:r>
        <w:rPr>
          <w:b/>
        </w:rPr>
        <w:t>Inclusion of Transition Charges in Electricity Invoices</w:t>
      </w:r>
      <w:r>
        <w:t xml:space="preserve"> – Each Electricity Distributor and if applicable any Alternative Servicer shall, as an agent of the Regulatory Asset Owners, specify the Transition Charge to be charged to a Retail Consumer pursuant to Section 4(4) in respect of a related Reference Period in each Electricity Invoice issued by the Electricity Distributor or if applicable by the Alternative Servicer to the Retail Consumer in respect of such Reference Period. Upon the inclusion of a Transition Charge in an Electricity Invoice, the obligation to pay such amount shall be binding on the applicable Retail Consumer.</w:t>
      </w:r>
      <w:r w:rsidR="00C62770">
        <w:t xml:space="preserve"> </w:t>
      </w:r>
      <w:r w:rsidR="00C62770" w:rsidRPr="00C62770">
        <w:rPr>
          <w:b/>
        </w:rPr>
        <w:t>[NTD: Must capture bills issued to eligible consumers served by unit sub-metering providers, retailers and the IESO – not just distributors]</w:t>
      </w:r>
    </w:p>
    <w:p w:rsidR="00115F06" w:rsidRDefault="00566583" w:rsidP="00EC2CB5">
      <w:pPr>
        <w:pStyle w:val="BodyText"/>
        <w:numPr>
          <w:ilvl w:val="0"/>
          <w:numId w:val="16"/>
        </w:numPr>
        <w:rPr>
          <w:b/>
        </w:rPr>
      </w:pPr>
      <w:r>
        <w:rPr>
          <w:b/>
        </w:rPr>
        <w:t xml:space="preserve">Calculation of the Period </w:t>
      </w:r>
      <w:r w:rsidR="00BA7686">
        <w:rPr>
          <w:b/>
        </w:rPr>
        <w:t>Finance</w:t>
      </w:r>
      <w:r>
        <w:rPr>
          <w:b/>
        </w:rPr>
        <w:t xml:space="preserve"> Charge </w:t>
      </w:r>
      <w:r>
        <w:t xml:space="preserve">– Not later than [35] days prior to the first day of a Reference Period, each Absolute Assignee (or the Financial Services </w:t>
      </w:r>
      <w:r w:rsidR="00EC2CB5" w:rsidRPr="00EC2CB5">
        <w:t>Manager</w:t>
      </w:r>
      <w:r>
        <w:t xml:space="preserve"> on its behalf) shall provide the OEB with written notice of each Estimate of a Finance Amount payable by it or on its behalf in respect of the Reference Period. Not later than one month prior to the first day of a Reference Period, the OEB shall calculate the Period </w:t>
      </w:r>
      <w:r w:rsidR="00BA7686">
        <w:t>Finance</w:t>
      </w:r>
      <w:r>
        <w:t xml:space="preserve"> Charge applicable to the Reference Period based on the calculations and information set forth in such written notices received from the Absolute Assignees and based on such amounts specified by IESO or Successor IESO, which calculations, information and amounts shall be determinative, except to the extent of manifest calculation error or misstatement.  </w:t>
      </w:r>
    </w:p>
    <w:p w:rsidR="00115F06" w:rsidRDefault="00566583">
      <w:pPr>
        <w:pStyle w:val="BodyText"/>
        <w:numPr>
          <w:ilvl w:val="0"/>
          <w:numId w:val="16"/>
        </w:numPr>
        <w:ind w:hanging="720"/>
        <w:rPr>
          <w:b/>
        </w:rPr>
      </w:pPr>
      <w:r>
        <w:rPr>
          <w:b/>
        </w:rPr>
        <w:t xml:space="preserve">Calculation and Attribution of Transition Charges </w:t>
      </w:r>
      <w:r>
        <w:t>– Not later than 25 days prior to the first day of a Reference Period, the OEB shall apply the Attribution Methodology to determine the Allocation Factor for each Retail Consumer of the applicable Retail Consumer Group.</w:t>
      </w:r>
      <w:r w:rsidR="003F30A7">
        <w:t xml:space="preserve"> </w:t>
      </w:r>
      <w:r w:rsidR="003F30A7" w:rsidRPr="003F30A7">
        <w:rPr>
          <w:b/>
        </w:rPr>
        <w:t>[NTD: We think the OEB would be determining the Fair Hydro recovery rate (on a volumetric basis) that distributors would then be required to charge to consumers]</w:t>
      </w:r>
    </w:p>
    <w:p w:rsidR="00115F06" w:rsidRDefault="00566583">
      <w:pPr>
        <w:pStyle w:val="BodyText"/>
        <w:numPr>
          <w:ilvl w:val="0"/>
          <w:numId w:val="16"/>
        </w:numPr>
        <w:ind w:hanging="720"/>
        <w:rPr>
          <w:b/>
        </w:rPr>
      </w:pPr>
      <w:r>
        <w:rPr>
          <w:b/>
        </w:rPr>
        <w:t>Notice of Transition Charges</w:t>
      </w:r>
      <w:r>
        <w:t xml:space="preserve"> – Not later than 20 days prior to the first day of a Reference Period, the OEB shall inform each Electricity Distributor and if applicable any Alternative Servicer of the Transition Charges to be specified in the Electricity Invoices to be issued to each Retail Consumer of the applicable Retail Consumer Group who </w:t>
      </w:r>
      <w:r w:rsidR="003F30A7">
        <w:t>is served by</w:t>
      </w:r>
      <w:r>
        <w:t xml:space="preserve"> the Electricity Distributor.</w:t>
      </w:r>
      <w:r w:rsidR="003F30A7">
        <w:t xml:space="preserve"> </w:t>
      </w:r>
    </w:p>
    <w:p w:rsidR="00115F06" w:rsidRDefault="00566583">
      <w:pPr>
        <w:pStyle w:val="BodyText"/>
        <w:numPr>
          <w:ilvl w:val="0"/>
          <w:numId w:val="16"/>
        </w:numPr>
        <w:ind w:hanging="720"/>
        <w:rPr>
          <w:b/>
        </w:rPr>
      </w:pPr>
      <w:r>
        <w:rPr>
          <w:b/>
        </w:rPr>
        <w:t xml:space="preserve">Adjustments </w:t>
      </w:r>
      <w:r>
        <w:t>– The amount of any Transition Charge charged to a Retail Consumer and specified as such in an Electricity Invoice shall be determinative of the amount of indebtedness created thereby and owing in respect of such Transition Charge, except to the extent of any manifest calculation error.</w:t>
      </w:r>
    </w:p>
    <w:p w:rsidR="00115F06" w:rsidRDefault="00566583">
      <w:pPr>
        <w:pStyle w:val="BodyText"/>
        <w:numPr>
          <w:ilvl w:val="0"/>
          <w:numId w:val="16"/>
        </w:numPr>
        <w:ind w:hanging="720"/>
      </w:pPr>
      <w:r>
        <w:rPr>
          <w:b/>
        </w:rPr>
        <w:t xml:space="preserve">Successors of Electricity Distributors </w:t>
      </w:r>
      <w:r>
        <w:t>– Any successor of an Electricity Distributor shall be bound by the requirements of Article 4 and shall perform and satisfy all duties and obligations of such Electricity Distributor under Article 4 in the same manner and to the same extent as such Electricity Distributor, including the obligation under Article 4 to impose, attribute, charge, bill and invoice the Transition Charges.</w:t>
      </w:r>
    </w:p>
    <w:p w:rsidR="00115F06" w:rsidRDefault="00566583">
      <w:pPr>
        <w:pStyle w:val="BodyText"/>
        <w:numPr>
          <w:ilvl w:val="0"/>
          <w:numId w:val="16"/>
        </w:numPr>
        <w:ind w:hanging="720"/>
      </w:pPr>
      <w:r>
        <w:rPr>
          <w:b/>
        </w:rPr>
        <w:t xml:space="preserve">IESO Successor </w:t>
      </w:r>
      <w:r>
        <w:t>– Any IESO Successor shall be bound by the requirements of Article 4 and shall perform and satisfy all duties and obligations of IESO under Article 4 in the same manner and to the same extent as IESO, including the obligation to calculate and provide notice of Transition Charges.</w:t>
      </w:r>
    </w:p>
    <w:p w:rsidR="00115F06" w:rsidRDefault="00566583">
      <w:pPr>
        <w:pStyle w:val="BodyText"/>
        <w:numPr>
          <w:ilvl w:val="0"/>
          <w:numId w:val="16"/>
        </w:numPr>
        <w:ind w:hanging="720"/>
      </w:pPr>
      <w:r>
        <w:rPr>
          <w:b/>
        </w:rPr>
        <w:t>Appointment of an Alternative Servicer</w:t>
      </w:r>
      <w:r>
        <w:t xml:space="preserve"> – If a Replacement Event occurs in respect of any Electricity Distributor, the Absolute Assignees shall, in accordance with the Collective Rights Agreement, be permitted, by an instrument in writing, to appoint an Alternative Servicer to perform some or all of the obligations and duties required to be undertaken by such Electricity Distributor under this Article 4, as and to the extent specified in such appointment.  Upon acceptance of such appointment, the Alternative Servicer shall become obligated to perform such assumed obligations in replacement of such Electricity Distributor.   Any Electricity Distributor that is replaced under this Section 4(8) shall promptly transfer all rights, powers, privileges and property interests in its possession or within its control in the performance of such obligations and duties to the Alternative Servicer and shall take such further actions, including the execution of instruments, necessary to give full and final effect to such transfer and to permit the Alternative Servicer to perform such obligations and duties on behalf of the Regulatory Asset Owners.</w:t>
      </w:r>
    </w:p>
    <w:p w:rsidR="00115F06" w:rsidRDefault="00566583" w:rsidP="0011079D">
      <w:pPr>
        <w:pStyle w:val="BodyText"/>
        <w:numPr>
          <w:ilvl w:val="0"/>
          <w:numId w:val="16"/>
        </w:numPr>
        <w:rPr>
          <w:b/>
        </w:rPr>
      </w:pPr>
      <w:r>
        <w:rPr>
          <w:b/>
        </w:rPr>
        <w:t xml:space="preserve">Absolute Assignees have Standing </w:t>
      </w:r>
      <w:r>
        <w:t>– The Absolute Assignees, acting together in accordance with the Collective Action Agreement, may bring actions against any Electricity Distributor, IESO,</w:t>
      </w:r>
      <w:r w:rsidR="0011079D">
        <w:t xml:space="preserve"> </w:t>
      </w:r>
      <w:r w:rsidR="0011079D" w:rsidRPr="0011079D">
        <w:rPr>
          <w:b/>
        </w:rPr>
        <w:t>[the OEB]</w:t>
      </w:r>
      <w:r w:rsidR="00BA7686" w:rsidRPr="00BA7686">
        <w:rPr>
          <w:b/>
          <w:highlight w:val="yellow"/>
        </w:rPr>
        <w:t xml:space="preserve"> </w:t>
      </w:r>
      <w:r w:rsidR="00BA7686" w:rsidRPr="0011079D">
        <w:rPr>
          <w:b/>
          <w:highlight w:val="yellow"/>
        </w:rPr>
        <w:t xml:space="preserve">[NTD: Consider adding OEB since they are collecting the Period </w:t>
      </w:r>
      <w:r w:rsidR="00BA7686">
        <w:rPr>
          <w:b/>
          <w:highlight w:val="yellow"/>
        </w:rPr>
        <w:t>Finance</w:t>
      </w:r>
      <w:r w:rsidR="00BA7686" w:rsidRPr="0011079D">
        <w:rPr>
          <w:b/>
          <w:highlight w:val="yellow"/>
        </w:rPr>
        <w:t xml:space="preserve"> Charge pursuant to Article 4(2)].</w:t>
      </w:r>
      <w:r w:rsidR="0011079D">
        <w:t>,</w:t>
      </w:r>
      <w:r>
        <w:t xml:space="preserve"> the Servicer, Alternative Servicer or any other person who may be authorized to issue Electricity Invoices to Retail Consumers for a failure to impose, attribute, charge, bill or invoice Transition Charges or to otherwise comply with this Act.  Any court of the Province shall have jurisdiction over any actions brought before it by the Absolute Assignees in relation to any such failure and may make any interim or final order it thinks fit in this regard.</w:t>
      </w:r>
      <w:r w:rsidR="0011079D">
        <w:t xml:space="preserve"> </w:t>
      </w:r>
      <w:r w:rsidR="0011079D" w:rsidRPr="0011079D">
        <w:rPr>
          <w:b/>
          <w:highlight w:val="yellow"/>
        </w:rPr>
        <w:t>[Note: We would like to see the sections on “Standing” to bring an action</w:t>
      </w:r>
      <w:r w:rsidR="00BA7686">
        <w:rPr>
          <w:b/>
          <w:highlight w:val="yellow"/>
        </w:rPr>
        <w:t xml:space="preserve"> to</w:t>
      </w:r>
      <w:r w:rsidR="0011079D" w:rsidRPr="0011079D">
        <w:rPr>
          <w:b/>
          <w:highlight w:val="yellow"/>
        </w:rPr>
        <w:t xml:space="preserve"> remain in the legislation (as opposed to being moved to the regulations as we believe we previously suggested) as we see those provisions as part of ensuring a rigorous enforcement scheme for the Financing Entity (and so something that should be difficult for the Province to change going forward).]</w:t>
      </w:r>
    </w:p>
    <w:p w:rsidR="00115F06" w:rsidRDefault="00566583">
      <w:pPr>
        <w:pStyle w:val="BodyText"/>
        <w:numPr>
          <w:ilvl w:val="0"/>
          <w:numId w:val="16"/>
        </w:numPr>
        <w:ind w:hanging="720"/>
        <w:rPr>
          <w:b/>
        </w:rPr>
      </w:pPr>
      <w:r>
        <w:rPr>
          <w:b/>
        </w:rPr>
        <w:t xml:space="preserve">No Set-Off or Reduction – </w:t>
      </w:r>
      <w:r>
        <w:t>No Servicer or Electricity Distributor may set off or reduce (by counterclaim, defence or otherwise) the amount payable by it pursuant to this Article 4.</w:t>
      </w:r>
    </w:p>
    <w:p w:rsidR="00115F06" w:rsidRDefault="00566583">
      <w:pPr>
        <w:pStyle w:val="BodyText"/>
        <w:numPr>
          <w:ilvl w:val="0"/>
          <w:numId w:val="16"/>
        </w:numPr>
        <w:ind w:hanging="720"/>
        <w:rPr>
          <w:b/>
        </w:rPr>
      </w:pPr>
      <w:r>
        <w:rPr>
          <w:b/>
        </w:rPr>
        <w:t>Regulations</w:t>
      </w:r>
      <w:r>
        <w:t xml:space="preserve"> – Regulations may be enacted for the purpose of specifying further rights, powers, privileges, duties and obligations that shall apply to IESO, any Electricity Distributor or any Alternative Servicer to ensure that Transition Charges are properly charged to Retail Consumers and specified as such in Electricity Invoices.</w:t>
      </w:r>
    </w:p>
    <w:p w:rsidR="00115F06" w:rsidRDefault="00566583">
      <w:pPr>
        <w:pStyle w:val="BodyText"/>
        <w:rPr>
          <w:b/>
        </w:rPr>
      </w:pPr>
      <w:r>
        <w:rPr>
          <w:b/>
        </w:rPr>
        <w:t xml:space="preserve">Article 5 – Collections and Remittances </w:t>
      </w:r>
      <w:r w:rsidR="00C5362F" w:rsidRPr="00C5362F">
        <w:rPr>
          <w:b/>
        </w:rPr>
        <w:t xml:space="preserve"> </w:t>
      </w:r>
      <w:r w:rsidR="00C5362F" w:rsidRPr="00C5362F">
        <w:rPr>
          <w:b/>
          <w:highlight w:val="yellow"/>
        </w:rPr>
        <w:t>[NTD:  Move all of Article 5 sections (3), (6), (9) to (14) to Reg</w:t>
      </w:r>
      <w:r w:rsidR="00BA7686">
        <w:rPr>
          <w:b/>
          <w:highlight w:val="yellow"/>
        </w:rPr>
        <w:t>ulations</w:t>
      </w:r>
      <w:r w:rsidR="00C5362F" w:rsidRPr="00C5362F">
        <w:rPr>
          <w:b/>
          <w:highlight w:val="yellow"/>
        </w:rPr>
        <w:t>.]</w:t>
      </w:r>
    </w:p>
    <w:p w:rsidR="00115F06" w:rsidRDefault="00566583">
      <w:pPr>
        <w:pStyle w:val="BodyText"/>
        <w:numPr>
          <w:ilvl w:val="0"/>
          <w:numId w:val="15"/>
        </w:numPr>
        <w:ind w:hanging="720"/>
      </w:pPr>
      <w:r>
        <w:rPr>
          <w:b/>
        </w:rPr>
        <w:t>Duty to Collect as Agent</w:t>
      </w:r>
      <w:r>
        <w:t xml:space="preserve"> – Electricity Distributors or if applicable any Alternative Collection Agent shall, as an agent of the </w:t>
      </w:r>
      <w:r w:rsidR="003153EC">
        <w:t>Servicer</w:t>
      </w:r>
      <w:r>
        <w:t>, collect amounts owing by Retail Consumers in respect of Transition Charges charged to such Retail Consumers in Electricity Invoices issued by the Electricity Distributor or if applicable such Alternative Collection Agent</w:t>
      </w:r>
      <w:r w:rsidR="003153EC">
        <w:t xml:space="preserve"> all in accordance with the Regulations</w:t>
      </w:r>
      <w:r>
        <w:t>.</w:t>
      </w:r>
      <w:r w:rsidR="003E40AE">
        <w:t xml:space="preserve"> </w:t>
      </w:r>
      <w:r w:rsidR="003E40AE" w:rsidRPr="003153EC">
        <w:rPr>
          <w:b/>
          <w:highlight w:val="yellow"/>
        </w:rPr>
        <w:t>[NTD: Consider building this into deemed condition of licenses for electricity distributors (and retailers and unit sub-metering providers)]</w:t>
      </w:r>
    </w:p>
    <w:p w:rsidR="00115F06" w:rsidRDefault="00566583">
      <w:pPr>
        <w:pStyle w:val="BodyText"/>
        <w:numPr>
          <w:ilvl w:val="0"/>
          <w:numId w:val="15"/>
        </w:numPr>
        <w:ind w:hanging="720"/>
      </w:pPr>
      <w:r>
        <w:rPr>
          <w:b/>
        </w:rPr>
        <w:t>Segregation of Transition Charge Collections</w:t>
      </w:r>
      <w:r>
        <w:t xml:space="preserve"> – An Electricity Distributor or if applicable any Alternative Collection Agent shall promptly segregate Transition Charge Collections from other payments received by it from Retail Consumers and deposit such Transition Charge Collections into its Regulatory Asset Account.</w:t>
      </w:r>
      <w:r>
        <w:rPr>
          <w:rStyle w:val="FootnoteReference"/>
        </w:rPr>
        <w:footnoteReference w:id="10"/>
      </w:r>
      <w:r>
        <w:t xml:space="preserve">  </w:t>
      </w:r>
      <w:r w:rsidR="003E40AE" w:rsidRPr="003E40AE">
        <w:rPr>
          <w:b/>
        </w:rPr>
        <w:t>[NTD: Determine if this is critical for rating and markets or if segregation can occur in the hands of the IESO]</w:t>
      </w:r>
      <w:r w:rsidR="003E40AE">
        <w:t xml:space="preserve"> </w:t>
      </w:r>
      <w:r>
        <w:t>Prior to and following a deposit of Transition Charge Collections having been made into its Regulatory Asset Account, the Electricity Distributor or if applicable any Alternative Collection Agent shall hold such amounts in trust for the Regulatory Asset Owners</w:t>
      </w:r>
      <w:r w:rsidR="00C5362F">
        <w:t xml:space="preserve"> or its Pledgee</w:t>
      </w:r>
      <w:r>
        <w:t>.</w:t>
      </w:r>
    </w:p>
    <w:p w:rsidR="00115F06" w:rsidRDefault="00566583">
      <w:pPr>
        <w:pStyle w:val="BodyText"/>
        <w:numPr>
          <w:ilvl w:val="0"/>
          <w:numId w:val="15"/>
        </w:numPr>
        <w:ind w:hanging="720"/>
      </w:pPr>
      <w:r>
        <w:rPr>
          <w:b/>
        </w:rPr>
        <w:t>Electricity Distributor Remittances</w:t>
      </w:r>
      <w:r>
        <w:t xml:space="preserve"> –  On each applicable Remittance Date, an Electricity Distributor shall remit all Transition Charge Collections received by it from Retail Consumers in respect of the related Reference Period to or to the account of IESO or if applicable the Alternative Collection Agent.</w:t>
      </w:r>
    </w:p>
    <w:p w:rsidR="00115F06" w:rsidRDefault="00566583">
      <w:pPr>
        <w:pStyle w:val="BodyText"/>
        <w:numPr>
          <w:ilvl w:val="0"/>
          <w:numId w:val="15"/>
        </w:numPr>
        <w:ind w:hanging="720"/>
      </w:pPr>
      <w:r>
        <w:rPr>
          <w:b/>
        </w:rPr>
        <w:t xml:space="preserve">Duty to Collect Electricity Distributor Remittances </w:t>
      </w:r>
      <w:r>
        <w:t>– IESO or if applicable any Alternative Collection Agent shall, as an agent of the Regulatory Asset Owners, undertake [diligent][reasonable] efforts to accept and collect Electricity Distributor Remittances from Electricity Distributors and Transition Charge Collections from Retail Consumers that pay their Electricity Invoices directly to IESO.</w:t>
      </w:r>
      <w:r>
        <w:rPr>
          <w:rStyle w:val="FootnoteReference"/>
        </w:rPr>
        <w:footnoteReference w:id="11"/>
      </w:r>
      <w:r>
        <w:t xml:space="preserve"> </w:t>
      </w:r>
    </w:p>
    <w:p w:rsidR="00115F06" w:rsidRDefault="00566583" w:rsidP="00C5362F">
      <w:pPr>
        <w:pStyle w:val="BodyText"/>
        <w:numPr>
          <w:ilvl w:val="0"/>
          <w:numId w:val="15"/>
        </w:numPr>
      </w:pPr>
      <w:r>
        <w:rPr>
          <w:b/>
        </w:rPr>
        <w:t>Segregation of Electricity Distributor Remittances</w:t>
      </w:r>
      <w:r>
        <w:t xml:space="preserve"> – IESO and if applicable the Alternative Collection Agent shall promptly segregate Electricity Distributor Remittances from other payments received or held by it and deposit such Electricity Distributor Remittances into its Regulatory Asset Account. Prior to and following a deposit of Electricity Distributor Remittances having been made into its Regulatory Asset Account, IESO or if applicable any Alternative Collection Agent shall hold such amounts in trust for the Regulatory Asset Owners</w:t>
      </w:r>
      <w:r w:rsidR="00C5362F" w:rsidRPr="00C5362F">
        <w:t xml:space="preserve"> or Pledgee</w:t>
      </w:r>
      <w:r>
        <w:t>.</w:t>
      </w:r>
    </w:p>
    <w:p w:rsidR="00115F06" w:rsidRDefault="00566583">
      <w:pPr>
        <w:pStyle w:val="BodyText"/>
        <w:numPr>
          <w:ilvl w:val="0"/>
          <w:numId w:val="15"/>
        </w:numPr>
        <w:ind w:hanging="720"/>
      </w:pPr>
      <w:r>
        <w:rPr>
          <w:b/>
        </w:rPr>
        <w:t>IESO Remittances</w:t>
      </w:r>
      <w:r>
        <w:t xml:space="preserve"> – On each Settlement Date</w:t>
      </w:r>
      <w:r>
        <w:rPr>
          <w:rStyle w:val="FootnoteReference"/>
        </w:rPr>
        <w:footnoteReference w:id="12"/>
      </w:r>
      <w:r>
        <w:t>, IESO and if applicable the</w:t>
      </w:r>
      <w:r w:rsidR="00BA7686">
        <w:t xml:space="preserve"> Alternative</w:t>
      </w:r>
      <w:r>
        <w:t xml:space="preserve"> </w:t>
      </w:r>
      <w:r w:rsidR="003153EC">
        <w:t>Servicer</w:t>
      </w:r>
      <w:r>
        <w:t xml:space="preserve"> shall remit all amounts on deposit in its Regulatory Asset Account to or to the account of the Absolute Assignees an amount equal to the Investment Remittance for the related month.</w:t>
      </w:r>
    </w:p>
    <w:p w:rsidR="00115F06" w:rsidRDefault="00566583">
      <w:pPr>
        <w:pStyle w:val="BodyText"/>
        <w:numPr>
          <w:ilvl w:val="0"/>
          <w:numId w:val="15"/>
        </w:numPr>
        <w:ind w:hanging="720"/>
      </w:pPr>
      <w:r>
        <w:rPr>
          <w:b/>
        </w:rPr>
        <w:t>Successors of Electricity Distributors</w:t>
      </w:r>
      <w:r>
        <w:t xml:space="preserve"> – Any successor of an Electricity Distributor shall be bound by the requirements of Article 5 and shall perform and satisfy all duties and obligations of such Electricity Distributor under Article 5 in the same manner and to the same extent as such Electricity Distributor, including the obligation under Article 5 to collect Transition Charges and make remittances of Electricity Distributor Remittances.</w:t>
      </w:r>
    </w:p>
    <w:p w:rsidR="00115F06" w:rsidRDefault="00566583">
      <w:pPr>
        <w:pStyle w:val="BodyText"/>
        <w:numPr>
          <w:ilvl w:val="0"/>
          <w:numId w:val="15"/>
        </w:numPr>
        <w:ind w:hanging="720"/>
      </w:pPr>
      <w:r>
        <w:rPr>
          <w:b/>
        </w:rPr>
        <w:t>IESO Successor</w:t>
      </w:r>
      <w:r w:rsidR="003153EC">
        <w:rPr>
          <w:b/>
        </w:rPr>
        <w:t>s</w:t>
      </w:r>
      <w:r>
        <w:t xml:space="preserve"> – IESO Successor</w:t>
      </w:r>
      <w:r w:rsidR="003153EC">
        <w:t>s</w:t>
      </w:r>
      <w:r>
        <w:t xml:space="preserve"> shall be bound by the requirements of Article 5 and shall perform and satisfy all duties and obligations of IESO under Article 5 in the same manner and to the same extent as IESO, including the obligation to collect Transition Charge Collections, Electricity Distributor Remittances and to remit IESO Remittances.</w:t>
      </w:r>
    </w:p>
    <w:p w:rsidR="00115F06" w:rsidRDefault="00566583">
      <w:pPr>
        <w:pStyle w:val="BodyText"/>
        <w:numPr>
          <w:ilvl w:val="0"/>
          <w:numId w:val="15"/>
        </w:numPr>
        <w:ind w:hanging="720"/>
      </w:pPr>
      <w:r>
        <w:rPr>
          <w:b/>
        </w:rPr>
        <w:t>Owners of Distribution Assets</w:t>
      </w:r>
      <w:r>
        <w:t xml:space="preserve"> -  If any person other than an Electricity Distributor acquires distribution system assets in the Province or  invoices or collects electricity distribution  rates in the Province</w:t>
      </w:r>
      <w:r>
        <w:rPr>
          <w:rStyle w:val="FootnoteReference"/>
        </w:rPr>
        <w:footnoteReference w:id="13"/>
      </w:r>
      <w:r w:rsidR="00A5468E">
        <w:t xml:space="preserve"> </w:t>
      </w:r>
      <w:r w:rsidR="00A5468E" w:rsidRPr="00A5468E">
        <w:rPr>
          <w:b/>
        </w:rPr>
        <w:t>[NTD: Such acquisition of a distribution system would require the person to be an electricity distributor]</w:t>
      </w:r>
      <w:r>
        <w:t>, then such person shall, if requested by the Absolute Assignees, be obligated to act diligently to (a) facilitate the invoicing and collection of any Transition Charges applicable to Retail Consumers in its applicable service area, including all consumers connected to the electricity distribution system assets and taking electric delivery service located within such service area; (b) allocate partial payments by Retail Consumers as provided in this Act; (c) exercise all enforcement rights of the Absolute Assignees for the benefit of an Absolute Assignee; and (d) remit any Transition Charge Collections to the Absolute Assignees or Pledgees, as applicable, each in accordance with its Investment Interest.</w:t>
      </w:r>
    </w:p>
    <w:p w:rsidR="00115F06" w:rsidRDefault="00566583">
      <w:pPr>
        <w:pStyle w:val="BodyText"/>
        <w:numPr>
          <w:ilvl w:val="0"/>
          <w:numId w:val="15"/>
        </w:numPr>
        <w:ind w:hanging="720"/>
      </w:pPr>
      <w:r>
        <w:rPr>
          <w:b/>
        </w:rPr>
        <w:t xml:space="preserve">Absolute Assignees have Standing </w:t>
      </w:r>
      <w:r>
        <w:t>– The Absolute Assignees, acting together in accordance with the Collective Action Agreement, may bring actions against any Electricity Distributor, IESO, the Alternative Collection Agent, any owner of electricity distribution system assets in the Province or any other person who may be authorized to collect electricity distribution and use charges from Retail Consumers for a failure to collect Transition Charges, remit or collect Electricity Distributor Remittances or remit IESO Remittances, as and to the extent applicable under Article 5, or to otherwise comply with this Act.  Any court of the Province shall have jurisdiction over any actions brought before it by the Absolute Assignees in relation to any such failure and may make any interim or final order it thinks fit in this regard.</w:t>
      </w:r>
      <w:r>
        <w:rPr>
          <w:rStyle w:val="FootnoteReference"/>
        </w:rPr>
        <w:t xml:space="preserve"> </w:t>
      </w:r>
    </w:p>
    <w:p w:rsidR="00115F06" w:rsidRDefault="00566583">
      <w:pPr>
        <w:pStyle w:val="BodyText"/>
        <w:numPr>
          <w:ilvl w:val="0"/>
          <w:numId w:val="15"/>
        </w:numPr>
        <w:ind w:hanging="720"/>
      </w:pPr>
      <w:r>
        <w:rPr>
          <w:b/>
        </w:rPr>
        <w:t>Appointment of an Alternative Collection Agent</w:t>
      </w:r>
      <w:r>
        <w:t xml:space="preserve"> – If a Replacement Event occurs in respect of any Electricity Distributor or IESO, the Absolute Assignees shall, in accordance with the Collective Rights Agreement, be permitted, by an instrument in writing, to appoint an Alternative Collection Agent to perform some or all of the collection, segregation and remittance obligations otherwise required to be undertaken by such Electricity Distributor or IESO, as applicable, under Article 5, as and to the extent specified in such appointment.  Upon acceptance of such appointment, the Alternative Collection Agent shall become obligated to perform such assumed obligations in replacement of such Electricity Distributor or IESO, as applicable.   Any Electricity Distributor or IESO, as applicable, that is replaced under this Section 5(11) shall promptly transfer all rights, powers, privileges and property interests in its possession or within its control in, to and over the Regulatory Asset, including its Regulatory Asset Account, to the Alternative Collection Agent and shall take such further actions, including the execution of instruments, necessary to give full and final effect to such transfer and to permit the Alternative Collection Agent to enforce the Regulatory Asset on behalf of the Absolute Assignees.</w:t>
      </w:r>
    </w:p>
    <w:p w:rsidR="00115F06" w:rsidRDefault="00566583">
      <w:pPr>
        <w:pStyle w:val="BodyText"/>
        <w:numPr>
          <w:ilvl w:val="0"/>
          <w:numId w:val="15"/>
        </w:numPr>
        <w:ind w:hanging="720"/>
      </w:pPr>
      <w:r>
        <w:rPr>
          <w:b/>
        </w:rPr>
        <w:t>No Set-off, etc.</w:t>
      </w:r>
      <w:r>
        <w:t xml:space="preserve"> - The Regulatory Asset, including rights in Transition Charges, Transition Charge Collections, and the interests of a Regulatory Asset Owner, an Absolute Assignee and a Pledgee therein, may not be setoff or reduced (including by counterclaim, surcharge or defense) by any Retail Consumer, any Electricity Distributor, IESO, Alternative Collection Agent or any owner of distribution system assets in the Province or any other person or in connection with any default, bankruptcy, reorganization or other insolvency proceeding of any Electricity Distributor, IESO, Alternative Collection Agent or any owner of distribution system assets in the Province, any affiliate or successor thereof or any other entity or otherwise.</w:t>
      </w:r>
      <w:r>
        <w:rPr>
          <w:rStyle w:val="FootnoteReference"/>
        </w:rPr>
        <w:footnoteReference w:id="14"/>
      </w:r>
    </w:p>
    <w:p w:rsidR="00115F06" w:rsidRDefault="00566583">
      <w:pPr>
        <w:pStyle w:val="BodyText"/>
        <w:numPr>
          <w:ilvl w:val="0"/>
          <w:numId w:val="15"/>
        </w:numPr>
        <w:ind w:hanging="720"/>
      </w:pPr>
      <w:r>
        <w:rPr>
          <w:b/>
        </w:rPr>
        <w:t>Sequestration</w:t>
      </w:r>
      <w:r>
        <w:t xml:space="preserve"> – If any Electricity Distributor, IESO, the Alternative Collection Agent or any owner of distribution system assets in the Province or any other person or entity authorized to collect Transition Charges, defaults on any required remittance of Transition Charge Collections, Electricity Distribution Remittances or IESO Remittances under Article 5, any court in the Province, upon application by and of the Absolute Assignees acting collectively under the Collective Action Agreement and without limiting any other remedies otherwise available to the Absolute Assignees or Pledgees, shall order the sequestration and payment of the Transition Charge Collections, Electricity Distribution Remittances and IESO Remittances, as applicable, for the benefit of the Absolute Assignees, each with respect to its Investment Interest, and the Pledgees as applicable.</w:t>
      </w:r>
      <w:r>
        <w:rPr>
          <w:rStyle w:val="FootnoteReference"/>
        </w:rPr>
        <w:footnoteReference w:id="15"/>
      </w:r>
      <w:r>
        <w:t xml:space="preserve"> </w:t>
      </w:r>
    </w:p>
    <w:p w:rsidR="00115F06" w:rsidRDefault="00566583">
      <w:pPr>
        <w:pStyle w:val="BodyText"/>
        <w:numPr>
          <w:ilvl w:val="0"/>
          <w:numId w:val="15"/>
        </w:numPr>
        <w:ind w:hanging="720"/>
        <w:rPr>
          <w:b/>
        </w:rPr>
      </w:pPr>
      <w:r>
        <w:rPr>
          <w:b/>
        </w:rPr>
        <w:t>Regulations</w:t>
      </w:r>
      <w:r>
        <w:t xml:space="preserve"> – Regulations may be enacted for the purpose of specifying further rights, powers, privileges, duties and obligations that shall apply to IESO, any Electricity Distributor or any Alternative Collection Agent to ensure that rights, interests, entitlements, benefits and proceeds in, to, under and from the Regulatory Asset are of fully realized by some or all of the Absolute Assignees and Pledgees.</w:t>
      </w:r>
    </w:p>
    <w:p w:rsidR="00115F06" w:rsidRDefault="00C5362F" w:rsidP="00A71CFD">
      <w:pPr>
        <w:pStyle w:val="BodyText"/>
        <w:spacing w:after="0"/>
        <w:rPr>
          <w:b/>
        </w:rPr>
      </w:pPr>
      <w:r w:rsidRPr="00A71CFD">
        <w:rPr>
          <w:b/>
          <w:highlight w:val="yellow"/>
        </w:rPr>
        <w:t>[NTD:  Suggest considering a more typical remedy such as the ability to appoint a receiver.  Concept should be moved to Reg</w:t>
      </w:r>
      <w:r w:rsidR="00BA7686">
        <w:rPr>
          <w:b/>
          <w:highlight w:val="yellow"/>
        </w:rPr>
        <w:t>ulations</w:t>
      </w:r>
      <w:r w:rsidRPr="00A71CFD">
        <w:rPr>
          <w:b/>
          <w:highlight w:val="yellow"/>
        </w:rPr>
        <w:t>.]</w:t>
      </w:r>
    </w:p>
    <w:p w:rsidR="00C5362F" w:rsidRDefault="00C5362F">
      <w:pPr>
        <w:pStyle w:val="BodyText"/>
        <w:spacing w:after="0"/>
        <w:ind w:left="418"/>
        <w:rPr>
          <w:rFonts w:ascii="Times New Roman" w:hAnsi="Times New Roman" w:cs="Times New Roman"/>
          <w:color w:val="A91228" w:themeColor="accent1" w:themeShade="BF"/>
        </w:rPr>
      </w:pPr>
    </w:p>
    <w:p w:rsidR="00115F06" w:rsidRDefault="00566583">
      <w:pPr>
        <w:pStyle w:val="BodyText"/>
        <w:rPr>
          <w:b/>
        </w:rPr>
      </w:pPr>
      <w:r>
        <w:rPr>
          <w:b/>
        </w:rPr>
        <w:t>Article 6 – The Regulatory Asset</w:t>
      </w:r>
    </w:p>
    <w:p w:rsidR="00C07727" w:rsidRDefault="00C07727">
      <w:pPr>
        <w:pStyle w:val="BodyText"/>
        <w:rPr>
          <w:b/>
        </w:rPr>
      </w:pPr>
      <w:r w:rsidRPr="00C07727">
        <w:rPr>
          <w:b/>
          <w:highlight w:val="yellow"/>
        </w:rPr>
        <w:t>[NTD: We believe that the statute should impose a time limit on the ability of IESO to create additional Regulatory Assets under this Act.]</w:t>
      </w:r>
    </w:p>
    <w:p w:rsidR="00115F06" w:rsidRDefault="00566583">
      <w:pPr>
        <w:pStyle w:val="BodyText"/>
        <w:numPr>
          <w:ilvl w:val="0"/>
          <w:numId w:val="12"/>
        </w:numPr>
        <w:ind w:hanging="720"/>
        <w:rPr>
          <w:b/>
        </w:rPr>
      </w:pPr>
      <w:r>
        <w:rPr>
          <w:b/>
        </w:rPr>
        <w:t xml:space="preserve">Composition </w:t>
      </w:r>
      <w:r>
        <w:t xml:space="preserve">– The Regulatory Asset shall constitute a current and irrevocable property right and interest consisting, collectively, of the following rights and interests (without duplication): </w:t>
      </w:r>
    </w:p>
    <w:p w:rsidR="00115F06" w:rsidRDefault="00566583">
      <w:pPr>
        <w:pStyle w:val="BodyText"/>
        <w:numPr>
          <w:ilvl w:val="1"/>
          <w:numId w:val="12"/>
        </w:numPr>
        <w:ind w:hanging="720"/>
      </w:pPr>
      <w:r>
        <w:t xml:space="preserve">the right of </w:t>
      </w:r>
      <w:r w:rsidR="003153EC">
        <w:t>a Regulatory Asset Owner to record its portion of the Regulatory Asset in its accounts</w:t>
      </w:r>
      <w:r>
        <w:t>;</w:t>
      </w:r>
    </w:p>
    <w:p w:rsidR="00115F06" w:rsidRDefault="00566583">
      <w:pPr>
        <w:pStyle w:val="BodyText"/>
        <w:numPr>
          <w:ilvl w:val="1"/>
          <w:numId w:val="12"/>
        </w:numPr>
        <w:ind w:hanging="720"/>
      </w:pPr>
      <w:r>
        <w:t>the right to impose, bill, invoice, collect and receive Transition Charges from Retail Consumers, including the right to determine the amount of Transition Charges in accordance with this Act;</w:t>
      </w:r>
      <w:r w:rsidR="00A5468E">
        <w:t xml:space="preserve"> </w:t>
      </w:r>
      <w:r w:rsidR="00A5468E" w:rsidRPr="000A40D6">
        <w:rPr>
          <w:b/>
          <w:highlight w:val="yellow"/>
        </w:rPr>
        <w:t>[NTD: We think this should be a fundamental right to recover such amounts, not merely a right to invoice and collect</w:t>
      </w:r>
      <w:r w:rsidR="004466A9" w:rsidRPr="000A40D6">
        <w:rPr>
          <w:b/>
          <w:highlight w:val="yellow"/>
        </w:rPr>
        <w:t>.  Instead of the right to determine the amount of Transmission Charges (which seems like it is a matter within OEB jurisdiction), this should probably be the right to provide notices to the OEB of the amounts required for recovery, which the OEB would then be required to accept for purposes of determining the amount of Transition Charges to be charged to consumers</w:t>
      </w:r>
      <w:r w:rsidR="00A5468E" w:rsidRPr="000A40D6">
        <w:rPr>
          <w:b/>
          <w:highlight w:val="yellow"/>
        </w:rPr>
        <w:t>]</w:t>
      </w:r>
    </w:p>
    <w:p w:rsidR="00115F06" w:rsidRDefault="00566583">
      <w:pPr>
        <w:pStyle w:val="BodyText"/>
        <w:numPr>
          <w:ilvl w:val="1"/>
          <w:numId w:val="12"/>
        </w:numPr>
        <w:ind w:hanging="720"/>
        <w:rPr>
          <w:b/>
        </w:rPr>
      </w:pPr>
      <w:r>
        <w:t>the right to enforce the obligations and indebtedness of each Retail Consumer to pay the Transition Charges charged to the Retail Consumer from time to time in accordance with Article 3, together with all related late payment fees or interest charges arising in respect thereof under the related Electricity Invoices;</w:t>
      </w:r>
      <w:r w:rsidR="004466A9">
        <w:t xml:space="preserve"> </w:t>
      </w:r>
      <w:r w:rsidR="004466A9" w:rsidRPr="000A40D6">
        <w:rPr>
          <w:b/>
          <w:highlight w:val="yellow"/>
        </w:rPr>
        <w:t>[NTD: Do we really want and need the ability for the Financing Entities to chase after individual consumers?]</w:t>
      </w:r>
    </w:p>
    <w:p w:rsidR="00115F06" w:rsidRDefault="00566583">
      <w:pPr>
        <w:pStyle w:val="BodyText"/>
        <w:numPr>
          <w:ilvl w:val="1"/>
          <w:numId w:val="12"/>
        </w:numPr>
        <w:ind w:hanging="720"/>
        <w:rPr>
          <w:b/>
        </w:rPr>
      </w:pPr>
      <w:r>
        <w:t>the right to enforce the duties and obligations of each Electricity Distributor and if applicable the Alternative Servicer to impose, attribute, charge, bill and invoice the Transition Charges in accordance with Article 4;</w:t>
      </w:r>
    </w:p>
    <w:p w:rsidR="00115F06" w:rsidRDefault="00566583">
      <w:pPr>
        <w:pStyle w:val="BodyText"/>
        <w:numPr>
          <w:ilvl w:val="1"/>
          <w:numId w:val="12"/>
        </w:numPr>
        <w:ind w:hanging="720"/>
        <w:rPr>
          <w:b/>
        </w:rPr>
      </w:pPr>
      <w:r>
        <w:t>the right to enforce the duties and obligations of each Electricity Distributor and if applicable the Alternative Collection Agent to collect, receive and remit amounts received by it in respect of Transition Charges as Electricity Distributor Remittances to or to the account of IESO or if applicable the Alternative Collection Agent in accordance with Article 5, including all collections and the proceeds of any enforcement action undertaken by the Electricity Distributor or if applicable the Alternative Collection Agent to recover payment of Transition Charges in accordance with Article 5;</w:t>
      </w:r>
    </w:p>
    <w:p w:rsidR="00115F06" w:rsidRDefault="00566583">
      <w:pPr>
        <w:pStyle w:val="BodyText"/>
        <w:numPr>
          <w:ilvl w:val="1"/>
          <w:numId w:val="12"/>
        </w:numPr>
        <w:ind w:hanging="720"/>
        <w:rPr>
          <w:b/>
        </w:rPr>
      </w:pPr>
      <w:r>
        <w:t>the right to enforce the duties and obligations of IESO and if applicable the Alternative Collection Agent to collect and receive Electricity Distributor Remittances and to remit IESO Remittances to or to the accounts of the Regulatory Asset Owners, each with respect to its respective interest in the Regulatory Asset, in each case in accordance with Article 5, including all collections and the proceeds of any enforcement action undertaken by it to recover payment of Electricity Distributor Remittances in accordance with Article 5;</w:t>
      </w:r>
    </w:p>
    <w:p w:rsidR="00115F06" w:rsidRDefault="00566583">
      <w:pPr>
        <w:pStyle w:val="BodyText"/>
        <w:numPr>
          <w:ilvl w:val="1"/>
          <w:numId w:val="12"/>
        </w:numPr>
        <w:ind w:hanging="720"/>
        <w:rPr>
          <w:b/>
        </w:rPr>
      </w:pPr>
      <w:r>
        <w:t>the right to receive and collect all Transition Charge Collections, all Electricity Distributor Remittances and all IESO Remittances in accordance with Article 5;</w:t>
      </w:r>
    </w:p>
    <w:p w:rsidR="00115F06" w:rsidRDefault="00566583">
      <w:pPr>
        <w:pStyle w:val="BodyText"/>
        <w:numPr>
          <w:ilvl w:val="1"/>
          <w:numId w:val="12"/>
        </w:numPr>
        <w:ind w:hanging="720"/>
        <w:rPr>
          <w:b/>
        </w:rPr>
      </w:pPr>
      <w:r>
        <w:t>all rights and entitlements under each Regulatory Asset Account and all amounts on deposit in any such Regulatory Asset Account;</w:t>
      </w:r>
    </w:p>
    <w:p w:rsidR="00115F06" w:rsidRDefault="00566583">
      <w:pPr>
        <w:pStyle w:val="BodyText"/>
        <w:numPr>
          <w:ilvl w:val="1"/>
          <w:numId w:val="12"/>
        </w:numPr>
        <w:ind w:hanging="720"/>
        <w:rPr>
          <w:b/>
        </w:rPr>
      </w:pPr>
      <w:r>
        <w:t>all Related Rights; and</w:t>
      </w:r>
    </w:p>
    <w:p w:rsidR="00115F06" w:rsidRDefault="00566583">
      <w:pPr>
        <w:pStyle w:val="BodyText"/>
        <w:numPr>
          <w:ilvl w:val="1"/>
          <w:numId w:val="12"/>
        </w:numPr>
        <w:ind w:hanging="720"/>
      </w:pPr>
      <w:r>
        <w:t>all revenue, collections, claims, payments, money and proceeds of or derived from the rights described in (a) through (i), regardless of whether such revenue, collections, claims, payments and proceeds are imposed, invoiced, collected and maintained together with or commingled with other revenue, collections, claims, payments, money and proceeds.</w:t>
      </w:r>
    </w:p>
    <w:p w:rsidR="00115F06" w:rsidRDefault="00566583">
      <w:pPr>
        <w:pStyle w:val="BodyText"/>
        <w:ind w:left="720"/>
        <w:rPr>
          <w:rFonts w:cstheme="minorHAnsi"/>
        </w:rPr>
      </w:pPr>
      <w:r>
        <w:rPr>
          <w:rFonts w:cstheme="minorHAnsi"/>
        </w:rPr>
        <w:t xml:space="preserve">A Regulatory Asset and the property rights and interests therein shall exist whether or not Transition Charges have been imposed, charged, invoiced, accrued or collected and notwithstanding that the imposition, attribution, invoicing and collection of Transition Charges will depend on further actions that may not have occurred. </w:t>
      </w:r>
      <w:r w:rsidR="0011079D">
        <w:rPr>
          <w:rFonts w:cstheme="minorHAnsi"/>
        </w:rPr>
        <w:t xml:space="preserve">The Regulatory Asset shall continue to exist until all Funding Obligations and Additional Funding Charges have been paid in full. </w:t>
      </w:r>
    </w:p>
    <w:p w:rsidR="00115F06" w:rsidRDefault="00566583" w:rsidP="003153EC">
      <w:pPr>
        <w:pStyle w:val="BodyText"/>
        <w:numPr>
          <w:ilvl w:val="0"/>
          <w:numId w:val="12"/>
        </w:numPr>
      </w:pPr>
      <w:r>
        <w:rPr>
          <w:b/>
        </w:rPr>
        <w:t xml:space="preserve">Validity of Dispositions </w:t>
      </w:r>
      <w:r>
        <w:t xml:space="preserve">– Despite any limitations or restrictions on a Disposition that may arise by contract or by operation of any applicable law of the Province or any consent </w:t>
      </w:r>
      <w:r w:rsidR="00747860">
        <w:t xml:space="preserve">or notice </w:t>
      </w:r>
      <w:r>
        <w:t xml:space="preserve">requirement applicable to a Disposition that may arise by operation of any applicable law of the Province, a Disposition by IESO </w:t>
      </w:r>
      <w:r w:rsidR="003153EC" w:rsidRPr="003153EC">
        <w:t xml:space="preserve">of all or any part of the IESO Funding Shortfall </w:t>
      </w:r>
      <w:r>
        <w:t xml:space="preserve">to an Absolute Assignee made under the Financing Plan, or </w:t>
      </w:r>
      <w:r w:rsidR="003153EC" w:rsidRPr="003153EC">
        <w:t xml:space="preserve">a Disposition of all or any part of an Investment Interest </w:t>
      </w:r>
      <w:r>
        <w:t xml:space="preserve">by one Absolute Assignee to another Absolute Assignee made under the Financing Plan, shall be permitted and when made shall be valid and enforceable in accordance with the terms of the related Disposition Document and shall be effective to confer upon the Absolute Assignee thereof a valid property right and interest in, to and under the </w:t>
      </w:r>
      <w:r w:rsidR="003153EC" w:rsidRPr="003153EC">
        <w:t xml:space="preserve">IESO Funding Shortfall or </w:t>
      </w:r>
      <w:r>
        <w:t>Investment Interest</w:t>
      </w:r>
      <w:r w:rsidR="003153EC">
        <w:t>, as applicable</w:t>
      </w:r>
      <w:r>
        <w:t xml:space="preserve"> (or relevant portion thereof) in accordance with the terms of such Disposition, provided that the parties to the applicable Disposition Document have expressly stated therein that such Disposition is a sale or other absolute transfer.   Without limiting the foregoing, any Disposition that by its terms is intended to constitute a sale or absolute transfer shall be treated for all purposes as a true sale and absolute transfer </w:t>
      </w:r>
      <w:r w:rsidR="003153EC" w:rsidRPr="003153EC">
        <w:t>of the IESO Funding Shortfall or an Absolute Assignee’s right, title and interest in, to and under an Investment Int</w:t>
      </w:r>
      <w:r w:rsidR="003153EC">
        <w:t>e</w:t>
      </w:r>
      <w:r w:rsidR="003153EC" w:rsidRPr="003153EC">
        <w:t>rest, as applicable</w:t>
      </w:r>
      <w:r>
        <w:t xml:space="preserve"> (or relevant portion thereof), and not merely as a Pledge thereof, and upon such Disposition the assigner or seller under the applicable Disposition Document shall retain no right, title or interest in the</w:t>
      </w:r>
      <w:r w:rsidR="003153EC" w:rsidRPr="003153EC">
        <w:t xml:space="preserve"> IESO Funding Shortfall or</w:t>
      </w:r>
      <w:r>
        <w:t xml:space="preserve"> Investment Interest </w:t>
      </w:r>
      <w:r w:rsidR="003153EC">
        <w:t xml:space="preserve">(or relevant portion thereof) </w:t>
      </w:r>
      <w:r>
        <w:t xml:space="preserve">subject to the Disposition, including all rights under the </w:t>
      </w:r>
      <w:r w:rsidR="00BA7686">
        <w:t xml:space="preserve">IESO </w:t>
      </w:r>
      <w:r w:rsidR="003153EC" w:rsidRPr="003153EC">
        <w:t xml:space="preserve">Funding Shortfall or </w:t>
      </w:r>
      <w:r>
        <w:t xml:space="preserve">Investment Interest arising after such Disposition.  </w:t>
      </w:r>
    </w:p>
    <w:p w:rsidR="00115F06" w:rsidRDefault="00566583">
      <w:pPr>
        <w:pStyle w:val="BodyText"/>
        <w:numPr>
          <w:ilvl w:val="0"/>
          <w:numId w:val="12"/>
        </w:numPr>
        <w:ind w:hanging="720"/>
      </w:pPr>
      <w:r>
        <w:rPr>
          <w:b/>
        </w:rPr>
        <w:t>Perfection and Priority of Dispositions</w:t>
      </w:r>
      <w:r>
        <w:t xml:space="preserve"> – Any Disposition of an interest in a Regulatory Asset shall be vested, valid, binding and perfected from the time when such Disposition is made. Such Disposition shall be perfected, vested, valid and binding as against the</w:t>
      </w:r>
      <w:r w:rsidR="003153EC">
        <w:t xml:space="preserve"> IESO or</w:t>
      </w:r>
      <w:r>
        <w:t xml:space="preserve"> transferring Regulatory Asset Owner</w:t>
      </w:r>
      <w:r w:rsidR="003153EC">
        <w:t>, as applicable,</w:t>
      </w:r>
      <w:r>
        <w:t xml:space="preserve"> and all other persons who have claims of any kind (whether in tort, contract or otherwise) against </w:t>
      </w:r>
      <w:r w:rsidR="000A40D6">
        <w:t xml:space="preserve">IESO or </w:t>
      </w:r>
      <w:r>
        <w:t>the transferring Regulatory Asset Owner,</w:t>
      </w:r>
      <w:r w:rsidR="000A40D6">
        <w:t xml:space="preserve"> as the case may be,</w:t>
      </w:r>
      <w:r>
        <w:t xml:space="preserve"> irrespective of whether such persons have notice of the Disposition and the property rights and interests acquired by the Absolute Assignee under such Disposition shall be free and clear of any liens in favour of such other persons.</w:t>
      </w:r>
    </w:p>
    <w:p w:rsidR="00115F06" w:rsidRDefault="00566583">
      <w:pPr>
        <w:pStyle w:val="BodyText"/>
        <w:numPr>
          <w:ilvl w:val="0"/>
          <w:numId w:val="12"/>
        </w:numPr>
        <w:ind w:hanging="720"/>
        <w:rPr>
          <w:b/>
        </w:rPr>
      </w:pPr>
      <w:r>
        <w:rPr>
          <w:b/>
        </w:rPr>
        <w:t xml:space="preserve">Validity of Pledges </w:t>
      </w:r>
      <w:r>
        <w:t>– Despite any limitations or restriction on a Pledge that may arise by contract or by operation of any applicable law of the Province or any consent</w:t>
      </w:r>
      <w:r w:rsidR="00747860">
        <w:t xml:space="preserve"> or notice</w:t>
      </w:r>
      <w:r>
        <w:t xml:space="preserve"> requirement applicable to a Pledge that may arise by operation of any applicable law of the Province, a Pledge by an Absolute Assignee may be made to secure any Funding Obligation and when made shall be valid and enforceable in accordance with its terms and shall be effective to confer upon the Pledgee a valid security interest in, to and in respect of the related Investment Interest in accordance with the terms of the Pledge.  </w:t>
      </w:r>
      <w:r w:rsidR="003153EC">
        <w:t>No</w:t>
      </w:r>
      <w:r>
        <w:t xml:space="preserve"> consent of</w:t>
      </w:r>
      <w:r w:rsidR="00747860">
        <w:t>, or notice to,</w:t>
      </w:r>
      <w:r>
        <w:t xml:space="preserve"> any person shall be required to give effect to a Pledge made to secure any Funding Obligation.</w:t>
      </w:r>
    </w:p>
    <w:p w:rsidR="00115F06" w:rsidRDefault="00566583">
      <w:pPr>
        <w:pStyle w:val="BodyText"/>
        <w:numPr>
          <w:ilvl w:val="0"/>
          <w:numId w:val="12"/>
        </w:numPr>
        <w:ind w:hanging="720"/>
      </w:pPr>
      <w:r>
        <w:rPr>
          <w:b/>
        </w:rPr>
        <w:t>Perfection and Priority of Pledges</w:t>
      </w:r>
      <w:r>
        <w:t xml:space="preserve"> -</w:t>
      </w:r>
      <w:r>
        <w:rPr>
          <w:rFonts w:ascii="Times New Roman" w:hAnsi="Times New Roman" w:cs="Times New Roman"/>
        </w:rPr>
        <w:t xml:space="preserve"> </w:t>
      </w:r>
      <w:r>
        <w:t xml:space="preserve">For purposes of the </w:t>
      </w:r>
      <w:r>
        <w:rPr>
          <w:i/>
        </w:rPr>
        <w:t>Personal Property Security Act</w:t>
      </w:r>
      <w:r>
        <w:t xml:space="preserve"> (the “</w:t>
      </w:r>
      <w:r>
        <w:rPr>
          <w:u w:val="single"/>
        </w:rPr>
        <w:t>PPSA</w:t>
      </w:r>
      <w:r>
        <w:t>”), the Regulatory Asset shall be intangible personal property and any Pledge made by an Absolute Assignee in respect of a Funding Obligation may be perfected by filing a financing statement under the PPSA on that basis. All proceeds of a related Investment Interest that are subject to such a Pledge that are received by the Absolute Assignee shall immediately be subject to the such Pledge, and the security interest in such proceeds shall be perfected pursuant to the PPSA.</w:t>
      </w:r>
      <w:r>
        <w:rPr>
          <w:rStyle w:val="FootnoteReference"/>
        </w:rPr>
        <w:footnoteReference w:id="16"/>
      </w:r>
      <w:r>
        <w:t xml:space="preserve">  A Pledge perfected under the PPSA shall be a continuously perfected security interest and shall have priority over any other lien or security interest, created by operation of law or otherwise, that may attach to the property rights and interests in the Investment Interest subject to the Pledge unless the Pledgee has otherwise agreed in writing.  </w:t>
      </w:r>
      <w:r w:rsidR="003153EC">
        <w:t>A</w:t>
      </w:r>
      <w:r>
        <w:t xml:space="preserve"> Pledgee shall have a perfected security interest in a related Investment Interest, including the Absolute Assignee’s rights and interests in and to Transition Charge Collections or other related proceeds in respect of the Investment Interest and that are deposited in any Regulatory Asset Account or other account of any Electricity Distributor, IESO, Alternative Collection Agent or other person who may have commingled such Transition Charge Collections or such other proceeds with other funds.  All provisions of the PPSA shall apply to the Regulatory Asset on the basis that it is intangible personal  property, except to the extent otherwise provided in this Section 6(5).</w:t>
      </w:r>
      <w:r>
        <w:rPr>
          <w:rStyle w:val="FootnoteReference"/>
        </w:rPr>
        <w:t xml:space="preserve"> </w:t>
      </w:r>
    </w:p>
    <w:p w:rsidR="00115F06" w:rsidRDefault="00566583">
      <w:pPr>
        <w:pStyle w:val="BodyText"/>
        <w:numPr>
          <w:ilvl w:val="0"/>
          <w:numId w:val="12"/>
        </w:numPr>
        <w:ind w:hanging="720"/>
        <w:rPr>
          <w:b/>
        </w:rPr>
      </w:pPr>
      <w:r>
        <w:rPr>
          <w:b/>
        </w:rPr>
        <w:t xml:space="preserve">Enforcement of Property Rights </w:t>
      </w:r>
      <w:r>
        <w:t>– The rights of any Regulatory Asset Owner to collect and enforce its rights and interests in, to or in respect of the Regulatory Asset shall be exercised in the manner set forth in Article 5.</w:t>
      </w:r>
    </w:p>
    <w:p w:rsidR="00115F06" w:rsidRDefault="00566583">
      <w:pPr>
        <w:pStyle w:val="BodyText"/>
        <w:numPr>
          <w:ilvl w:val="0"/>
          <w:numId w:val="12"/>
        </w:numPr>
        <w:ind w:hanging="720"/>
        <w:rPr>
          <w:b/>
        </w:rPr>
      </w:pPr>
      <w:r>
        <w:rPr>
          <w:b/>
        </w:rPr>
        <w:t>Owners of a Specified Portion of the Regulatory Asset</w:t>
      </w:r>
      <w:r>
        <w:t xml:space="preserve"> – A Regulatory Asset Owner may effect a Disposition to an Absolute Assignee of a specified portion of its rights and interests in the Regulatory Asset, including by way of a Disposition of a divided or an undivided interest therein as specified in a related Disposition Document, in each case under the Financing Plan.  In no circumstance may the specified portions of the rights and interests in the Regulatory Asset owned by all Regulatory Asset Owners be greater than all of the rights and interests that comprise the Regulatory Asset in the aggregate.</w:t>
      </w:r>
    </w:p>
    <w:p w:rsidR="00115F06" w:rsidRDefault="00566583" w:rsidP="000A40D6">
      <w:pPr>
        <w:pStyle w:val="BodyText"/>
        <w:numPr>
          <w:ilvl w:val="0"/>
          <w:numId w:val="12"/>
        </w:numPr>
        <w:rPr>
          <w:b/>
        </w:rPr>
      </w:pPr>
      <w:r>
        <w:rPr>
          <w:b/>
        </w:rPr>
        <w:t xml:space="preserve">Collective Action Required </w:t>
      </w:r>
      <w:r>
        <w:t>– If a Regulatory Asset Owner’s rights and interests in the Regulatory Asset comprises less than the entire property right and interest constituted by the Regulatory Asset, such Regulatory Asset Owner shall only enforce such right and interest on a collective and coordinated basis with each other Regulatory Asset Owner in accordance with the Collective Rights Agreement.</w:t>
      </w:r>
      <w:r w:rsidRPr="000A40D6">
        <w:rPr>
          <w:b/>
        </w:rPr>
        <w:t xml:space="preserve"> </w:t>
      </w:r>
      <w:r w:rsidR="000A40D6" w:rsidRPr="000A40D6">
        <w:rPr>
          <w:b/>
          <w:highlight w:val="yellow"/>
        </w:rPr>
        <w:t>[NTD:  Move to Regulations.]</w:t>
      </w:r>
    </w:p>
    <w:p w:rsidR="00115F06" w:rsidRDefault="00566583">
      <w:pPr>
        <w:pStyle w:val="BodyText"/>
        <w:rPr>
          <w:b/>
        </w:rPr>
      </w:pPr>
      <w:r>
        <w:rPr>
          <w:b/>
        </w:rPr>
        <w:t>Article 7 – Establishment of the Fair Allocation Plan</w:t>
      </w:r>
      <w:r>
        <w:rPr>
          <w:rStyle w:val="FootnoteReference"/>
          <w:b/>
        </w:rPr>
        <w:footnoteReference w:id="17"/>
      </w:r>
      <w:r w:rsidR="00906D7E" w:rsidRPr="00906D7E">
        <w:rPr>
          <w:b/>
        </w:rPr>
        <w:t xml:space="preserve"> </w:t>
      </w:r>
      <w:r w:rsidR="00906D7E" w:rsidRPr="00906D7E">
        <w:rPr>
          <w:b/>
          <w:highlight w:val="yellow"/>
        </w:rPr>
        <w:t>[NTD:  Move entire Article 7 to Regulations, other than 7(1).]</w:t>
      </w:r>
    </w:p>
    <w:p w:rsidR="00115F06" w:rsidRDefault="00566583">
      <w:pPr>
        <w:pStyle w:val="BodyText"/>
        <w:numPr>
          <w:ilvl w:val="0"/>
          <w:numId w:val="17"/>
        </w:numPr>
        <w:ind w:hanging="720"/>
        <w:rPr>
          <w:b/>
        </w:rPr>
      </w:pPr>
      <w:r>
        <w:rPr>
          <w:b/>
        </w:rPr>
        <w:t>Adoption of the Fair Allocation Plan</w:t>
      </w:r>
      <w:r>
        <w:t xml:space="preserve"> – The Delegate may, [by written declaration,] designate and adopt a Fair Allocation Plan in compliance with Article 7.  The Fair Allocation Plan so designated and adopted shall be the Fair Allocation Plan for all purposes of this Act, except if amended, amended and restated or terminated by a further written declaration made by the Delegate in compliance with Section 7(4).</w:t>
      </w:r>
    </w:p>
    <w:p w:rsidR="00115F06" w:rsidRDefault="00566583">
      <w:pPr>
        <w:pStyle w:val="BodyText"/>
        <w:numPr>
          <w:ilvl w:val="0"/>
          <w:numId w:val="17"/>
        </w:numPr>
        <w:ind w:hanging="720"/>
      </w:pPr>
      <w:r>
        <w:rPr>
          <w:b/>
        </w:rPr>
        <w:t>Principles and Parameters</w:t>
      </w:r>
      <w:r>
        <w:t xml:space="preserve"> – A Fair Allocation Plan shall seek to allocate Future Fair Share of Green Transition Benefits across present and future Retail Consumer Groups on a basis that the Delegate, in its sole and absolute discretion, determines to be equitable, having regard to the following principles and parameters:</w:t>
      </w:r>
    </w:p>
    <w:p w:rsidR="00115F06" w:rsidRDefault="00566583">
      <w:pPr>
        <w:pStyle w:val="BodyText"/>
        <w:numPr>
          <w:ilvl w:val="0"/>
          <w:numId w:val="18"/>
        </w:numPr>
        <w:ind w:left="1440" w:hanging="720"/>
      </w:pPr>
      <w:r>
        <w:t>Future Fair Share of Green Transition Benefits should be allocated over the period ending on the Program End Date.</w:t>
      </w:r>
    </w:p>
    <w:p w:rsidR="00115F06" w:rsidRDefault="00566583">
      <w:pPr>
        <w:pStyle w:val="BodyText"/>
        <w:numPr>
          <w:ilvl w:val="0"/>
          <w:numId w:val="18"/>
        </w:numPr>
        <w:ind w:left="1440" w:hanging="720"/>
      </w:pPr>
      <w:r>
        <w:t xml:space="preserve">The Fair Allocation Plan should specify the Reference Periods for the purpose of identifying applicable Retail Consumer Groups and allocating Future Fair Share of Green Transition Benefits among them on a relative basis over time. </w:t>
      </w:r>
    </w:p>
    <w:p w:rsidR="00115F06" w:rsidRDefault="00566583">
      <w:pPr>
        <w:pStyle w:val="BodyText"/>
        <w:numPr>
          <w:ilvl w:val="0"/>
          <w:numId w:val="18"/>
        </w:numPr>
        <w:ind w:left="1440" w:hanging="720"/>
      </w:pPr>
      <w:r>
        <w:t>The share of Future Fair Share of Green Transition Benefits allocable to a particular Retail Consumer Group in respect of a Reference Period should be proportionate to a reasonable assessment of the benefits of the Green Generation Initiative to the Retail Consumer Group over such Reference Period.</w:t>
      </w:r>
    </w:p>
    <w:p w:rsidR="00115F06" w:rsidRDefault="00566583">
      <w:pPr>
        <w:pStyle w:val="BodyText"/>
        <w:numPr>
          <w:ilvl w:val="0"/>
          <w:numId w:val="18"/>
        </w:numPr>
        <w:ind w:left="1440" w:hanging="720"/>
      </w:pPr>
      <w:r>
        <w:t>The share of Future Fair Share of Green Transition Benefits to be allocated to a Retail Consumer Group and any future Retail Consumer Group at a particular time should not exceed the Estimated Future Green Transition Benefits, measured in respect of the Reference Periods following such particular time and to the Program End Date.</w:t>
      </w:r>
    </w:p>
    <w:p w:rsidR="00115F06" w:rsidRDefault="00566583">
      <w:pPr>
        <w:pStyle w:val="BodyText"/>
        <w:numPr>
          <w:ilvl w:val="0"/>
          <w:numId w:val="18"/>
        </w:numPr>
        <w:ind w:left="1440" w:hanging="720"/>
      </w:pPr>
      <w:r>
        <w:t xml:space="preserve">No future Retail Consumer Group should be allocated an unreasonably disproportionate share of Estimated Future Green Transition Benefits.  Except in exceptional circumstances or in the case of any reallocation of an Over-Assessed Amount as contemplated in 7, below, the Future Fair Share of Green Transition Benefits to be allocated under a Fair Allocation Plan to any future Retail Consumer Group should have regard to </w:t>
      </w:r>
      <w:r>
        <w:rPr>
          <w:i/>
        </w:rPr>
        <w:t>[Insert formula if a year-over-year maximum amount is determined to be appropriate]</w:t>
      </w:r>
      <w:r>
        <w:t>.</w:t>
      </w:r>
      <w:r w:rsidR="001F4FF6" w:rsidRPr="001F4FF6">
        <w:rPr>
          <w:b/>
          <w:highlight w:val="yellow"/>
        </w:rPr>
        <w:t xml:space="preserve"> </w:t>
      </w:r>
      <w:r w:rsidR="001F4FF6" w:rsidRPr="00B65B12">
        <w:rPr>
          <w:b/>
          <w:highlight w:val="yellow"/>
        </w:rPr>
        <w:t>[NOTE: how would this work?</w:t>
      </w:r>
      <w:r w:rsidR="001F4FF6">
        <w:rPr>
          <w:b/>
        </w:rPr>
        <w:t>]</w:t>
      </w:r>
    </w:p>
    <w:p w:rsidR="00115F06" w:rsidRDefault="00566583">
      <w:pPr>
        <w:pStyle w:val="BodyText"/>
        <w:numPr>
          <w:ilvl w:val="0"/>
          <w:numId w:val="18"/>
        </w:numPr>
        <w:ind w:left="1440" w:hanging="720"/>
      </w:pPr>
      <w:r>
        <w:t>The time value of money should be reflected in the Fair Allocation Plan, in order to equate the relative values of the nominal allocations of Future Fair Share of Green Transition Benefits, calculated in current dollars, to future Retail Consumer Groups over time.</w:t>
      </w:r>
    </w:p>
    <w:p w:rsidR="00115F06" w:rsidRDefault="00566583">
      <w:pPr>
        <w:pStyle w:val="BodyText"/>
        <w:numPr>
          <w:ilvl w:val="0"/>
          <w:numId w:val="18"/>
        </w:numPr>
        <w:ind w:left="1440" w:hanging="720"/>
      </w:pPr>
      <w:r>
        <w:t xml:space="preserve">To the extent there has been an Over-Assessed Amount, the Fair Allocation Plan may determine that an adjustment should fairly be made to rebate Retail Consumers for such an amount, </w:t>
      </w:r>
      <w:r w:rsidR="006A292A" w:rsidRPr="006A292A">
        <w:rPr>
          <w:b/>
        </w:rPr>
        <w:t>[</w:t>
      </w:r>
      <w:r w:rsidRPr="006A292A">
        <w:rPr>
          <w:b/>
        </w:rPr>
        <w:t>by reducing the costs otherwise attributable under the Act to such Retail Consumers</w:t>
      </w:r>
      <w:r w:rsidR="006A292A" w:rsidRPr="006A292A">
        <w:rPr>
          <w:b/>
        </w:rPr>
        <w:t>][</w:t>
      </w:r>
      <w:r w:rsidR="006A292A" w:rsidRPr="006A292A">
        <w:rPr>
          <w:b/>
          <w:highlight w:val="yellow"/>
        </w:rPr>
        <w:t>NTD: Please explain. What costs are we talking about?]</w:t>
      </w:r>
      <w:r>
        <w:t xml:space="preserve">  The relative costs of the Green Generation Initiative are reflected under the Act by the attribution of Transition Charges to such Consumer Groups, based on the Financing Plan seeking to track the allocations of benefits under the Fair Allocation Plan.  </w:t>
      </w:r>
    </w:p>
    <w:p w:rsidR="00115F06" w:rsidRDefault="00566583">
      <w:pPr>
        <w:pStyle w:val="BodyText"/>
        <w:numPr>
          <w:ilvl w:val="0"/>
          <w:numId w:val="17"/>
        </w:numPr>
        <w:ind w:hanging="720"/>
      </w:pPr>
      <w:r>
        <w:rPr>
          <w:b/>
        </w:rPr>
        <w:t>Attribution Methodology</w:t>
      </w:r>
      <w:r>
        <w:t xml:space="preserve"> – The Fair Allocation Plan shall specify the Attribution Methodology for the purposes of allocating the Period </w:t>
      </w:r>
      <w:r w:rsidR="00780F1D">
        <w:t>Finance</w:t>
      </w:r>
      <w:r>
        <w:t xml:space="preserve"> Charges across the Retail Consumers of a particular Retail Consumer Group.  The Attribution Methodology shall result in an attribution of such Transition Charges that is considered by the Delegate to be equitable, and may have regard to such principles and parameters as may be further set forth in a Regulation.  </w:t>
      </w:r>
      <w:r w:rsidR="006A292A" w:rsidRPr="006A292A">
        <w:rPr>
          <w:b/>
          <w:highlight w:val="yellow"/>
        </w:rPr>
        <w:t>[NTD: Can the methodology be adjusted outside an amendment? If so, the rating agencies need to understand the limits of any adjustment.]</w:t>
      </w:r>
    </w:p>
    <w:p w:rsidR="00115F06" w:rsidRDefault="00566583">
      <w:pPr>
        <w:pStyle w:val="BodyText"/>
        <w:numPr>
          <w:ilvl w:val="0"/>
          <w:numId w:val="17"/>
        </w:numPr>
        <w:ind w:hanging="720"/>
      </w:pPr>
      <w:r>
        <w:rPr>
          <w:b/>
        </w:rPr>
        <w:t xml:space="preserve">Amendments of the Fair Allocation Plan </w:t>
      </w:r>
      <w:r>
        <w:t>– The Fair Allocation Plan may be amended, amended and restated or terminated by the Delegate, provided that such amendment, amendment and restatement or termination shall (a) not be inconsistent with the principles and parameters set forth in (2) or (3), above, or the Regulation and (b) comply with any restrictions or limitations specified with respect thereto in any Funding Obligation.</w:t>
      </w:r>
    </w:p>
    <w:p w:rsidR="00115F06" w:rsidRDefault="00566583">
      <w:pPr>
        <w:pStyle w:val="BodyText"/>
        <w:rPr>
          <w:b/>
        </w:rPr>
      </w:pPr>
      <w:r>
        <w:rPr>
          <w:b/>
        </w:rPr>
        <w:t xml:space="preserve">Article 8 – The IESO </w:t>
      </w:r>
      <w:r w:rsidR="00D25AD5">
        <w:rPr>
          <w:b/>
        </w:rPr>
        <w:t>Funding Shortfall</w:t>
      </w:r>
      <w:r>
        <w:rPr>
          <w:b/>
        </w:rPr>
        <w:t xml:space="preserve"> </w:t>
      </w:r>
    </w:p>
    <w:p w:rsidR="00115F06" w:rsidRDefault="00D25AD5">
      <w:pPr>
        <w:pStyle w:val="BodyText"/>
        <w:numPr>
          <w:ilvl w:val="0"/>
          <w:numId w:val="41"/>
        </w:numPr>
        <w:ind w:hanging="720"/>
        <w:rPr>
          <w:b/>
        </w:rPr>
      </w:pPr>
      <w:r w:rsidRPr="00D25AD5">
        <w:rPr>
          <w:b/>
        </w:rPr>
        <w:t xml:space="preserve">Recording of IESO Funding Shortfall </w:t>
      </w:r>
      <w:r w:rsidR="00BA7686">
        <w:t>--  IESO will record any I</w:t>
      </w:r>
      <w:r w:rsidRPr="00D25AD5">
        <w:t>ESO Funding Shortfall in its books.</w:t>
      </w:r>
    </w:p>
    <w:p w:rsidR="00115F06" w:rsidRDefault="00566583" w:rsidP="00D25AD5">
      <w:pPr>
        <w:pStyle w:val="BodyText"/>
        <w:numPr>
          <w:ilvl w:val="0"/>
          <w:numId w:val="41"/>
        </w:numPr>
        <w:rPr>
          <w:b/>
        </w:rPr>
      </w:pPr>
      <w:r>
        <w:rPr>
          <w:b/>
        </w:rPr>
        <w:t>Dispositions</w:t>
      </w:r>
      <w:r>
        <w:t xml:space="preserve"> – IESO may effect a Disposition </w:t>
      </w:r>
      <w:r w:rsidR="00D25AD5">
        <w:t>of all or any part of the I</w:t>
      </w:r>
      <w:r w:rsidR="00D25AD5" w:rsidRPr="00D25AD5">
        <w:t xml:space="preserve">ESO Funding Shortfall </w:t>
      </w:r>
      <w:r>
        <w:t>to an Absolute Assignee if (a) the Disposition is effected pursuant to a Disposition Agreement duly executed by IESO;</w:t>
      </w:r>
      <w:r w:rsidR="00D25AD5">
        <w:t xml:space="preserve"> and</w:t>
      </w:r>
      <w:r>
        <w:t xml:space="preserve"> (</w:t>
      </w:r>
      <w:r w:rsidR="00D25AD5">
        <w:t>b</w:t>
      </w:r>
      <w:r>
        <w:t xml:space="preserve">) the Financial Services </w:t>
      </w:r>
      <w:r w:rsidR="00EC2CB5" w:rsidRPr="00EC2CB5">
        <w:t>Manager</w:t>
      </w:r>
      <w:r>
        <w:t xml:space="preserve"> confirms in writing that the Disposition</w:t>
      </w:r>
      <w:r w:rsidR="006A292A">
        <w:t xml:space="preserve"> complies with any restrictions or limitations specified with respect thereto in any documents evidencing the Funding Obligations and</w:t>
      </w:r>
      <w:r>
        <w:t xml:space="preserve"> is permitted under the Financing Plan.</w:t>
      </w:r>
    </w:p>
    <w:p w:rsidR="00115F06" w:rsidRDefault="00566583">
      <w:pPr>
        <w:pStyle w:val="BodyText"/>
        <w:numPr>
          <w:ilvl w:val="0"/>
          <w:numId w:val="41"/>
        </w:numPr>
        <w:ind w:hanging="720"/>
        <w:rPr>
          <w:b/>
        </w:rPr>
      </w:pPr>
      <w:r>
        <w:rPr>
          <w:b/>
        </w:rPr>
        <w:t xml:space="preserve">No Continuing Interest in any Investment Interest </w:t>
      </w:r>
      <w:r>
        <w:t xml:space="preserve">– IESO shall have no continuing right or interest in any </w:t>
      </w:r>
      <w:r w:rsidR="00D25AD5">
        <w:t>IESO Funding Shortfall</w:t>
      </w:r>
      <w:r>
        <w:t xml:space="preserve"> subject to a Disposition effected by IESO under a Disposition Document to which IESO is a party.</w:t>
      </w:r>
    </w:p>
    <w:p w:rsidR="00115F06" w:rsidRDefault="00566583">
      <w:pPr>
        <w:pStyle w:val="BodyText"/>
        <w:rPr>
          <w:b/>
        </w:rPr>
      </w:pPr>
      <w:r>
        <w:rPr>
          <w:b/>
        </w:rPr>
        <w:t>Article 9 – The Financing Plan</w:t>
      </w:r>
      <w:r w:rsidR="001F4FF6">
        <w:rPr>
          <w:b/>
        </w:rPr>
        <w:t xml:space="preserve"> </w:t>
      </w:r>
      <w:r w:rsidR="001F4FF6">
        <w:rPr>
          <w:b/>
          <w:highlight w:val="yellow"/>
        </w:rPr>
        <w:t>[NTD:  Move all of Article 9 to Reg</w:t>
      </w:r>
      <w:r w:rsidR="00BA7686">
        <w:rPr>
          <w:b/>
          <w:highlight w:val="yellow"/>
        </w:rPr>
        <w:t>ulations</w:t>
      </w:r>
      <w:bookmarkStart w:id="0" w:name="_GoBack"/>
      <w:bookmarkEnd w:id="0"/>
      <w:r w:rsidR="001F4FF6">
        <w:rPr>
          <w:b/>
          <w:highlight w:val="yellow"/>
        </w:rPr>
        <w:t xml:space="preserve"> other than 9</w:t>
      </w:r>
      <w:r w:rsidR="001F4FF6" w:rsidRPr="001F4FF6">
        <w:rPr>
          <w:b/>
          <w:highlight w:val="yellow"/>
        </w:rPr>
        <w:t>(1).]</w:t>
      </w:r>
    </w:p>
    <w:p w:rsidR="00115F06" w:rsidRDefault="00566583" w:rsidP="00EC2CB5">
      <w:pPr>
        <w:pStyle w:val="BodyText"/>
        <w:numPr>
          <w:ilvl w:val="0"/>
          <w:numId w:val="20"/>
        </w:numPr>
        <w:rPr>
          <w:b/>
        </w:rPr>
      </w:pPr>
      <w:r>
        <w:rPr>
          <w:b/>
        </w:rPr>
        <w:t>Power to Prepare, Implement and Amend the Financing Plan</w:t>
      </w:r>
      <w:r>
        <w:t xml:space="preserve"> – The Financial Services </w:t>
      </w:r>
      <w:r w:rsidR="00EC2CB5" w:rsidRPr="00EC2CB5">
        <w:t>Manager</w:t>
      </w:r>
      <w:r>
        <w:t xml:space="preserve"> shall be authorized to prepare, implement and amend </w:t>
      </w:r>
      <w:r w:rsidR="00B65F12">
        <w:t xml:space="preserve">a financing plan for the Financing Entities and propose the adoption of such financing plan as </w:t>
      </w:r>
      <w:r>
        <w:t>the Financing Plan</w:t>
      </w:r>
      <w:r w:rsidR="00B65F12">
        <w:t xml:space="preserve"> for the purposes of this Act. T</w:t>
      </w:r>
      <w:r>
        <w:t xml:space="preserve">he Financial Services </w:t>
      </w:r>
      <w:r w:rsidR="00EC2CB5" w:rsidRPr="00EC2CB5">
        <w:t>Manager</w:t>
      </w:r>
      <w:r>
        <w:t xml:space="preserve"> </w:t>
      </w:r>
      <w:r w:rsidR="00B65F12">
        <w:t>shall have the right to withdraw its financing plan as the</w:t>
      </w:r>
      <w:r>
        <w:t xml:space="preserve"> Financing Plan</w:t>
      </w:r>
      <w:r w:rsidR="00B65F12">
        <w:t xml:space="preserve"> at any time if it determines that implementing the Financing Plan in such manner would not be in the best interests of a Financing Entity</w:t>
      </w:r>
      <w:r>
        <w:t>.</w:t>
      </w:r>
    </w:p>
    <w:p w:rsidR="00115F06" w:rsidRDefault="00B65F12" w:rsidP="00B65F12">
      <w:pPr>
        <w:pStyle w:val="BodyText"/>
        <w:numPr>
          <w:ilvl w:val="0"/>
          <w:numId w:val="20"/>
        </w:numPr>
        <w:rPr>
          <w:b/>
        </w:rPr>
      </w:pPr>
      <w:r>
        <w:rPr>
          <w:b/>
        </w:rPr>
        <w:t>Principles and Parameters</w:t>
      </w:r>
      <w:r w:rsidR="00566583">
        <w:rPr>
          <w:b/>
        </w:rPr>
        <w:t xml:space="preserve"> of the Financing Plan</w:t>
      </w:r>
      <w:r w:rsidR="00566583">
        <w:t xml:space="preserve"> – The Financing Plan shall establish the basis for each Absolute Assignee’s funding decisions</w:t>
      </w:r>
      <w:r>
        <w:t xml:space="preserve"> and have</w:t>
      </w:r>
      <w:r w:rsidR="00566583">
        <w:t xml:space="preserve"> regard to the principles and parameters set forth in Schedule 3.</w:t>
      </w:r>
    </w:p>
    <w:p w:rsidR="00115F06" w:rsidRDefault="00566583" w:rsidP="00EC2CB5">
      <w:pPr>
        <w:pStyle w:val="BodyText"/>
        <w:numPr>
          <w:ilvl w:val="0"/>
          <w:numId w:val="20"/>
        </w:numPr>
        <w:rPr>
          <w:b/>
        </w:rPr>
      </w:pPr>
      <w:r>
        <w:rPr>
          <w:b/>
        </w:rPr>
        <w:t>OEB Approval</w:t>
      </w:r>
      <w:r>
        <w:t xml:space="preserve"> – Any Additional Funding Charge payable to or for the benefit of the Financial Services </w:t>
      </w:r>
      <w:r w:rsidR="00EC2CB5" w:rsidRPr="00EC2CB5">
        <w:t>Manager</w:t>
      </w:r>
      <w:r>
        <w:t xml:space="preserve"> shall be subject to review and approval by the OEB.</w:t>
      </w:r>
      <w:r w:rsidR="00B65F12">
        <w:t xml:space="preserve"> </w:t>
      </w:r>
      <w:r w:rsidR="005156E2">
        <w:rPr>
          <w:b/>
        </w:rPr>
        <w:t>[NTD: What are the proposed mechanics of this process?]</w:t>
      </w:r>
    </w:p>
    <w:p w:rsidR="00115F06" w:rsidRDefault="00566583" w:rsidP="00B65F12">
      <w:pPr>
        <w:pStyle w:val="BodyText"/>
        <w:numPr>
          <w:ilvl w:val="0"/>
          <w:numId w:val="20"/>
        </w:numPr>
        <w:rPr>
          <w:b/>
        </w:rPr>
      </w:pPr>
      <w:r>
        <w:rPr>
          <w:b/>
        </w:rPr>
        <w:t>OEB Review</w:t>
      </w:r>
      <w:r>
        <w:t xml:space="preserve"> – The OEB [shall] undertake an annual review of the records maintained by the Financial Services </w:t>
      </w:r>
      <w:r w:rsidR="00EC2CB5" w:rsidRPr="00EC2CB5">
        <w:t>Manager</w:t>
      </w:r>
      <w:r>
        <w:t xml:space="preserve"> for the purpose of confirming that the Funding Obligations incurred and the Finance Amounts paid by or on behalf of the Absolute Assignees were incurred and paid, respectively, in material conformity with the Financing Plan. </w:t>
      </w:r>
      <w:r w:rsidR="00F96D6F" w:rsidRPr="00D25AD5">
        <w:rPr>
          <w:b/>
          <w:highlight w:val="yellow"/>
        </w:rPr>
        <w:t>[NTD: What are the proposed mechanics of this process?]</w:t>
      </w:r>
    </w:p>
    <w:p w:rsidR="00115F06" w:rsidRDefault="00566583" w:rsidP="0009733D">
      <w:pPr>
        <w:pStyle w:val="BodyText"/>
        <w:numPr>
          <w:ilvl w:val="0"/>
          <w:numId w:val="20"/>
        </w:numPr>
        <w:rPr>
          <w:b/>
        </w:rPr>
      </w:pPr>
      <w:r>
        <w:rPr>
          <w:b/>
        </w:rPr>
        <w:t xml:space="preserve">Replacement of the </w:t>
      </w:r>
      <w:r w:rsidR="0009733D">
        <w:rPr>
          <w:b/>
        </w:rPr>
        <w:t>Financial Services Manager</w:t>
      </w:r>
      <w:r>
        <w:t xml:space="preserve"> – If the OEB identifies deficiencies or makes recommendations in its review under Section 9(4), the </w:t>
      </w:r>
      <w:r w:rsidR="0009733D" w:rsidRPr="0009733D">
        <w:t>Financial Services Manager</w:t>
      </w:r>
      <w:r>
        <w:t xml:space="preserve"> shall take reasonable measures to remedy such deficiencies if remediable, and shall in any event have regard to the recommendations of the OEB in relation to further actions undertaken by the Financial Services </w:t>
      </w:r>
      <w:r w:rsidR="00EC2CB5" w:rsidRPr="00EC2CB5">
        <w:t xml:space="preserve">Manager </w:t>
      </w:r>
      <w:r>
        <w:t xml:space="preserve">under the Financing Plan.  If the Financial Services </w:t>
      </w:r>
      <w:r w:rsidR="00EC2CB5" w:rsidRPr="00EC2CB5">
        <w:t>Manager</w:t>
      </w:r>
      <w:r>
        <w:t xml:space="preserve"> is unwilling or unable to reflect such recommendations in relation to such further actions, the Delegate may by written declaration designate one or more other persons who shall thereafter become the Financial Services</w:t>
      </w:r>
      <w:r w:rsidR="00B65F12">
        <w:t xml:space="preserve"> Manager</w:t>
      </w:r>
      <w:r>
        <w:t xml:space="preserve">. </w:t>
      </w:r>
      <w:r w:rsidR="006A292A">
        <w:t xml:space="preserve">Any replacement must comply with the restrictions and limitations specified in </w:t>
      </w:r>
      <w:r w:rsidR="00BA7686">
        <w:t>the</w:t>
      </w:r>
      <w:r w:rsidR="006A292A">
        <w:t xml:space="preserve"> documents evidencing the Funding Obligations.</w:t>
      </w:r>
    </w:p>
    <w:p w:rsidR="00115F06" w:rsidRDefault="00566583" w:rsidP="00EC2CB5">
      <w:pPr>
        <w:pStyle w:val="BodyText"/>
        <w:numPr>
          <w:ilvl w:val="0"/>
          <w:numId w:val="20"/>
        </w:numPr>
      </w:pPr>
      <w:r>
        <w:rPr>
          <w:b/>
        </w:rPr>
        <w:t>Obligation to Apply IESO Remittances</w:t>
      </w:r>
      <w:r>
        <w:t xml:space="preserve"> – The Financial Services </w:t>
      </w:r>
      <w:r w:rsidR="00EC2CB5" w:rsidRPr="00EC2CB5">
        <w:t>Manager</w:t>
      </w:r>
      <w:r>
        <w:t xml:space="preserve"> shall ensure that amounts transferred to it under Article 5, as agent for and on behalf of the Absolute Assignees, or otherwise in respect of or as proceeds from an applicable Investment Interest shall only be applied or used to pay related Finance Amounts when they are due and payable and for no other purpose.</w:t>
      </w:r>
      <w:r w:rsidR="00B65F12">
        <w:t xml:space="preserve"> </w:t>
      </w:r>
      <w:r w:rsidR="00B65F12" w:rsidRPr="00B65F12">
        <w:rPr>
          <w:b/>
        </w:rPr>
        <w:t>[Delete: This can be dealt with by contract.]</w:t>
      </w:r>
    </w:p>
    <w:p w:rsidR="00115F06" w:rsidRDefault="00566583" w:rsidP="006A292A">
      <w:pPr>
        <w:pStyle w:val="BodyText"/>
        <w:numPr>
          <w:ilvl w:val="0"/>
          <w:numId w:val="20"/>
        </w:numPr>
      </w:pPr>
      <w:r>
        <w:rPr>
          <w:b/>
        </w:rPr>
        <w:t>Non-Recourse</w:t>
      </w:r>
      <w:r>
        <w:t xml:space="preserve"> – The Financing Plan shall be implemented so that Funding Obligations incurred shall be without recourse to or to any assets of the Electricity Distributors, IESO, any Alternative Servicer, any Alternative Collection Agent, the Financial Services </w:t>
      </w:r>
      <w:r w:rsidR="00EC2CB5" w:rsidRPr="00EC2CB5">
        <w:t>Manager</w:t>
      </w:r>
      <w:r>
        <w:t>, the OEB</w:t>
      </w:r>
      <w:r w:rsidR="006A292A">
        <w:t xml:space="preserve"> or</w:t>
      </w:r>
      <w:r w:rsidR="006A292A" w:rsidRPr="006A292A">
        <w:t xml:space="preserve"> Her Majesty in right of Ontario</w:t>
      </w:r>
      <w:r>
        <w:t xml:space="preserve">, other than if and to the extent that such persons or entities are liable for the performance of obligations or duties arising under this Act or expressly agree to become liable pursuant to any Funding Obligation or obligation in relation to a  Finance Amount.  </w:t>
      </w:r>
    </w:p>
    <w:p w:rsidR="00115F06" w:rsidRDefault="00566583">
      <w:pPr>
        <w:pStyle w:val="BodyText"/>
        <w:numPr>
          <w:ilvl w:val="0"/>
          <w:numId w:val="20"/>
        </w:numPr>
      </w:pPr>
      <w:r>
        <w:rPr>
          <w:b/>
        </w:rPr>
        <w:t>Incurrences are Binding</w:t>
      </w:r>
      <w:r>
        <w:t xml:space="preserve"> – Notwithstanding anything to the contrary in this Act, each Disposition made to or by an Absolute Assignee and all amounts payable or becoming due and payable by or on behalf of an Absolute Assignee under or in connection with any obligation purporting to be a Funding Obligation, shall be binding for the purposes of this Act and permitted by this Act, including in determining the amount of related Transition Charges, despite any impairment or defect resulting from any failure to adhere to the Fair Allocation Plan o</w:t>
      </w:r>
      <w:r w:rsidR="006A292A">
        <w:t>r</w:t>
      </w:r>
      <w:r>
        <w:t xml:space="preserve"> the Financing Plan. </w:t>
      </w:r>
    </w:p>
    <w:p w:rsidR="00115F06" w:rsidRDefault="00566583">
      <w:pPr>
        <w:pStyle w:val="BodyText"/>
        <w:rPr>
          <w:b/>
        </w:rPr>
      </w:pPr>
      <w:r>
        <w:rPr>
          <w:b/>
        </w:rPr>
        <w:t>[Article 10 – Compliance Matters</w:t>
      </w:r>
      <w:r>
        <w:rPr>
          <w:rStyle w:val="FootnoteReference"/>
          <w:b/>
        </w:rPr>
        <w:footnoteReference w:id="18"/>
      </w:r>
    </w:p>
    <w:p w:rsidR="00115F06" w:rsidRDefault="00566583">
      <w:pPr>
        <w:pStyle w:val="BodyText"/>
        <w:numPr>
          <w:ilvl w:val="0"/>
          <w:numId w:val="29"/>
        </w:numPr>
        <w:ind w:hanging="720"/>
        <w:rPr>
          <w:rFonts w:asciiTheme="majorHAnsi" w:hAnsiTheme="majorHAnsi" w:cstheme="majorHAnsi"/>
        </w:rPr>
      </w:pPr>
      <w:r>
        <w:rPr>
          <w:rFonts w:asciiTheme="majorHAnsi" w:hAnsiTheme="majorHAnsi" w:cstheme="majorHAnsi"/>
          <w:b/>
        </w:rPr>
        <w:t>Right of the [OEB] to Inspect Books and Records</w:t>
      </w:r>
      <w:r>
        <w:rPr>
          <w:rFonts w:asciiTheme="majorHAnsi" w:hAnsiTheme="majorHAnsi" w:cstheme="majorHAnsi"/>
        </w:rPr>
        <w:t xml:space="preserve"> - For the purpose of investigating compliance with the provisions of this Act, the OEB shall have the right, jurisdiction, power and authority to examine the books and records of </w:t>
      </w:r>
      <w:r>
        <w:rPr>
          <w:rFonts w:asciiTheme="majorHAnsi" w:hAnsiTheme="majorHAnsi" w:cstheme="majorHAnsi"/>
          <w:i/>
        </w:rPr>
        <w:t>[Insert names if any]</w:t>
      </w:r>
      <w:r>
        <w:rPr>
          <w:rFonts w:asciiTheme="majorHAnsi" w:hAnsiTheme="majorHAnsi" w:cstheme="majorHAnsi"/>
        </w:rPr>
        <w:t>.</w:t>
      </w:r>
    </w:p>
    <w:p w:rsidR="00115F06" w:rsidRDefault="00566583" w:rsidP="00EC2CB5">
      <w:pPr>
        <w:pStyle w:val="BodyText"/>
        <w:numPr>
          <w:ilvl w:val="0"/>
          <w:numId w:val="29"/>
        </w:numPr>
        <w:rPr>
          <w:b/>
          <w:color w:val="FF0000"/>
        </w:rPr>
      </w:pPr>
      <w:r>
        <w:rPr>
          <w:rFonts w:asciiTheme="majorHAnsi" w:hAnsiTheme="majorHAnsi" w:cstheme="majorHAnsi"/>
          <w:b/>
        </w:rPr>
        <w:t xml:space="preserve">[OPG’s Rate Settings </w:t>
      </w:r>
      <w:r>
        <w:rPr>
          <w:rFonts w:asciiTheme="majorHAnsi" w:hAnsiTheme="majorHAnsi" w:cstheme="majorHAnsi"/>
        </w:rPr>
        <w:t xml:space="preserve">– When setting other rates for or in respect of OPG, the OEB shall not take into account (a) the administrative or servicing fees charged by OPG as Financial Services </w:t>
      </w:r>
      <w:r w:rsidR="00EC2CB5" w:rsidRPr="00EC2CB5">
        <w:rPr>
          <w:rFonts w:asciiTheme="majorHAnsi" w:hAnsiTheme="majorHAnsi" w:cstheme="majorHAnsi"/>
        </w:rPr>
        <w:t>Manager</w:t>
      </w:r>
      <w:r>
        <w:rPr>
          <w:rFonts w:asciiTheme="majorHAnsi" w:hAnsiTheme="majorHAnsi" w:cstheme="majorHAnsi"/>
        </w:rPr>
        <w:t xml:space="preserve"> [in excess of the actual incremental costs incurred by such person of providing administrative or servicing services]; (b) the cost consequences to OPG of being the Financial Services </w:t>
      </w:r>
      <w:r w:rsidR="00EC2CB5" w:rsidRPr="00EC2CB5">
        <w:rPr>
          <w:rFonts w:asciiTheme="majorHAnsi" w:hAnsiTheme="majorHAnsi" w:cstheme="majorHAnsi"/>
        </w:rPr>
        <w:t>Manager</w:t>
      </w:r>
      <w:r>
        <w:rPr>
          <w:rFonts w:asciiTheme="majorHAnsi" w:hAnsiTheme="majorHAnsi" w:cstheme="majorHAnsi"/>
        </w:rPr>
        <w:t>; or (c) the consequence of OPG consolidating the assets and liabilities of any Financing Entity for OPG’s accounting purposes, in each case in setting any regulated payment amounts</w:t>
      </w:r>
      <w:r>
        <w:t xml:space="preserve"> for OPG.]</w:t>
      </w:r>
      <w:r>
        <w:rPr>
          <w:rStyle w:val="FootnoteReference"/>
        </w:rPr>
        <w:footnoteReference w:id="19"/>
      </w:r>
    </w:p>
    <w:p w:rsidR="00115F06" w:rsidRDefault="00566583">
      <w:pPr>
        <w:pStyle w:val="BodyText"/>
        <w:rPr>
          <w:b/>
        </w:rPr>
      </w:pPr>
      <w:r>
        <w:rPr>
          <w:b/>
        </w:rPr>
        <w:t xml:space="preserve">Article 11 – Undertaking of the </w:t>
      </w:r>
      <w:r w:rsidR="006A292A">
        <w:rPr>
          <w:b/>
        </w:rPr>
        <w:t>Her Majesty in right of Ontario</w:t>
      </w:r>
      <w:r>
        <w:rPr>
          <w:rStyle w:val="FootnoteReference"/>
          <w:b/>
        </w:rPr>
        <w:footnoteReference w:id="20"/>
      </w:r>
    </w:p>
    <w:p w:rsidR="00115F06" w:rsidRDefault="00566583">
      <w:pPr>
        <w:pStyle w:val="BodyText"/>
        <w:numPr>
          <w:ilvl w:val="0"/>
          <w:numId w:val="30"/>
        </w:numPr>
        <w:ind w:hanging="720"/>
        <w:rPr>
          <w:rFonts w:cstheme="minorHAnsi"/>
        </w:rPr>
      </w:pPr>
      <w:r>
        <w:rPr>
          <w:rFonts w:cstheme="minorHAnsi"/>
          <w:b/>
        </w:rPr>
        <w:t>No Action to limit, alter, or impair or terminate Transition Charges, the Regulatory Asset or Collections</w:t>
      </w:r>
      <w:r>
        <w:rPr>
          <w:rFonts w:cstheme="minorHAnsi"/>
        </w:rPr>
        <w:t xml:space="preserve"> – Her Majesty in right of Ontario shall not in any way take or permit (including by any agency or administrative body) any action to reduce, impair, postpone or terminate the obligation of Retail Consumers to pay Transition Charges or to impair the Regulatory Asset or the collection or recovery of Transition Charge Collections, Electricity Distributor Remittances or IESO Remittances, either directly or indirectly, including through the introduction of any bill or the passing of any legislation or regulation having such effect. The amount of Transition Charges determined under this Act shall not be subject in any way to reduction, impairment, postponement or termination as a result of any action taken or failure by Her Majesty in right of Ontario (including by any agency or administrative body), including through the introduction of any bill or the passing of any legislation or regulation having such effect. </w:t>
      </w:r>
    </w:p>
    <w:p w:rsidR="00115F06" w:rsidRDefault="00566583">
      <w:pPr>
        <w:pStyle w:val="BodyText"/>
        <w:numPr>
          <w:ilvl w:val="0"/>
          <w:numId w:val="30"/>
        </w:numPr>
        <w:ind w:hanging="720"/>
        <w:rPr>
          <w:rFonts w:cstheme="minorHAnsi"/>
        </w:rPr>
      </w:pPr>
      <w:r>
        <w:rPr>
          <w:b/>
        </w:rPr>
        <w:t>Undertaking</w:t>
      </w:r>
      <w:r>
        <w:rPr>
          <w:rFonts w:cstheme="minorHAnsi"/>
          <w:b/>
        </w:rPr>
        <w:t xml:space="preserve"> and Agreement</w:t>
      </w:r>
      <w:r>
        <w:rPr>
          <w:rFonts w:cstheme="minorHAnsi"/>
        </w:rPr>
        <w:t xml:space="preserve"> – Her Majesty in right of Ontario shall not:</w:t>
      </w:r>
    </w:p>
    <w:p w:rsidR="00115F06" w:rsidRDefault="00566583">
      <w:pPr>
        <w:pStyle w:val="BodyText"/>
        <w:numPr>
          <w:ilvl w:val="0"/>
          <w:numId w:val="42"/>
        </w:numPr>
        <w:rPr>
          <w:rFonts w:cstheme="minorHAnsi"/>
        </w:rPr>
      </w:pPr>
      <w:r>
        <w:rPr>
          <w:rFonts w:cstheme="minorHAnsi"/>
        </w:rPr>
        <w:t>in any way take or permit any action that limits, alters or impairs the value of any Investment Interest;</w:t>
      </w:r>
    </w:p>
    <w:p w:rsidR="00115F06" w:rsidRDefault="00566583">
      <w:pPr>
        <w:pStyle w:val="BodyText"/>
        <w:numPr>
          <w:ilvl w:val="0"/>
          <w:numId w:val="42"/>
        </w:numPr>
        <w:rPr>
          <w:rFonts w:cstheme="minorHAnsi"/>
        </w:rPr>
      </w:pPr>
      <w:r>
        <w:rPr>
          <w:rFonts w:cstheme="minorHAnsi"/>
        </w:rPr>
        <w:t>except as required by the estimates and adjustments made in determining the True-up Amount, reduce, alter or impair Transition Charges that are imposed, billed, invoiced, collected and remitted for the benefit of the Absolute Assignees or any Pledgee from time to time;</w:t>
      </w:r>
    </w:p>
    <w:p w:rsidR="00115F06" w:rsidRDefault="00566583">
      <w:pPr>
        <w:pStyle w:val="BodyText"/>
        <w:numPr>
          <w:ilvl w:val="0"/>
          <w:numId w:val="42"/>
        </w:numPr>
        <w:rPr>
          <w:rFonts w:cstheme="minorHAnsi"/>
        </w:rPr>
      </w:pPr>
      <w:r>
        <w:rPr>
          <w:rFonts w:cstheme="minorHAnsi"/>
        </w:rPr>
        <w:t>permit the amendment, amendment and restatement or termination of the Fair Allocation Plan if such amendment , amendment and restatement or termination would adversely affect the validity or enforceability of any Funding Obligation or the rights of an Absolute Assignee or Pledgee thereunder</w:t>
      </w:r>
      <w:r w:rsidR="00BA7686">
        <w:rPr>
          <w:rFonts w:cstheme="minorHAnsi"/>
        </w:rPr>
        <w:t>,</w:t>
      </w:r>
      <w:r w:rsidR="006A292A">
        <w:rPr>
          <w:rFonts w:cstheme="minorHAnsi"/>
        </w:rPr>
        <w:t xml:space="preserve"> or would not otherwise comply with the restrictions and limitations specified in </w:t>
      </w:r>
      <w:r w:rsidR="00BA7686">
        <w:rPr>
          <w:rFonts w:cstheme="minorHAnsi"/>
        </w:rPr>
        <w:t>the</w:t>
      </w:r>
      <w:r w:rsidR="006A292A">
        <w:rPr>
          <w:rFonts w:cstheme="minorHAnsi"/>
        </w:rPr>
        <w:t xml:space="preserve"> documents evidencing the Funding Obligations</w:t>
      </w:r>
      <w:r>
        <w:rPr>
          <w:rFonts w:cstheme="minorHAnsi"/>
        </w:rPr>
        <w:t xml:space="preserve">,  </w:t>
      </w:r>
    </w:p>
    <w:p w:rsidR="00115F06" w:rsidRDefault="00566583">
      <w:pPr>
        <w:pStyle w:val="BodyText"/>
        <w:ind w:left="720"/>
        <w:rPr>
          <w:rFonts w:cstheme="minorHAnsi"/>
        </w:rPr>
      </w:pPr>
      <w:r>
        <w:rPr>
          <w:rFonts w:cstheme="minorHAnsi"/>
        </w:rPr>
        <w:t>in each case including through the introduction of any bill or the passing of any legislation or regulation having such effect.</w:t>
      </w:r>
    </w:p>
    <w:p w:rsidR="00115F06" w:rsidRDefault="00566583">
      <w:pPr>
        <w:pStyle w:val="BodyText"/>
        <w:numPr>
          <w:ilvl w:val="0"/>
          <w:numId w:val="30"/>
        </w:numPr>
        <w:ind w:hanging="720"/>
        <w:rPr>
          <w:rFonts w:cstheme="minorHAnsi"/>
        </w:rPr>
      </w:pPr>
      <w:r>
        <w:rPr>
          <w:rFonts w:cstheme="minorHAnsi"/>
          <w:b/>
        </w:rPr>
        <w:t>Successor IESO</w:t>
      </w:r>
      <w:r>
        <w:rPr>
          <w:rFonts w:cstheme="minorHAnsi"/>
        </w:rPr>
        <w:t xml:space="preserve"> – If IESO is restructured, dissolved or becomes insolvent or is otherwise incapable of performing its obligations under this Act,</w:t>
      </w:r>
      <w:r w:rsidR="00D25AD5">
        <w:rPr>
          <w:rFonts w:cstheme="minorHAnsi"/>
        </w:rPr>
        <w:t xml:space="preserve"> an IESO</w:t>
      </w:r>
      <w:r>
        <w:rPr>
          <w:rFonts w:cstheme="minorHAnsi"/>
        </w:rPr>
        <w:t xml:space="preserve"> Successor shall immediately be established by Her Majesty in right of Ontario to perform such obligations.  </w:t>
      </w:r>
    </w:p>
    <w:p w:rsidR="00115F06" w:rsidRDefault="00566583">
      <w:pPr>
        <w:pStyle w:val="BodyText"/>
        <w:numPr>
          <w:ilvl w:val="0"/>
          <w:numId w:val="30"/>
        </w:numPr>
        <w:ind w:hanging="720"/>
        <w:rPr>
          <w:rFonts w:cstheme="minorHAnsi"/>
        </w:rPr>
      </w:pPr>
      <w:r>
        <w:rPr>
          <w:rFonts w:cstheme="minorHAnsi"/>
          <w:b/>
        </w:rPr>
        <w:t xml:space="preserve">Compensation for Failure </w:t>
      </w:r>
      <w:r>
        <w:rPr>
          <w:rFonts w:cstheme="minorHAnsi"/>
        </w:rPr>
        <w:t>– Absolute Assignees shall be compensated by Her Majesty in right of Ontario for any losses suffered by them as a result of any failure by Her Majesty in right of Ontario to comply with its undertakings and agreements in this Article 11.</w:t>
      </w:r>
      <w:r>
        <w:rPr>
          <w:rStyle w:val="FootnoteReference"/>
          <w:rFonts w:cstheme="minorHAnsi"/>
        </w:rPr>
        <w:footnoteReference w:id="21"/>
      </w:r>
    </w:p>
    <w:p w:rsidR="00115F06" w:rsidRDefault="00566583" w:rsidP="00D25AD5">
      <w:pPr>
        <w:pStyle w:val="BodyText"/>
        <w:numPr>
          <w:ilvl w:val="0"/>
          <w:numId w:val="30"/>
        </w:numPr>
      </w:pPr>
      <w:r>
        <w:rPr>
          <w:rFonts w:cstheme="minorHAnsi"/>
          <w:b/>
        </w:rPr>
        <w:t>No</w:t>
      </w:r>
      <w:r>
        <w:rPr>
          <w:b/>
        </w:rPr>
        <w:t xml:space="preserve"> Wind-up of Financing Entity</w:t>
      </w:r>
      <w:r>
        <w:t>. No Financing Entity may be voluntarily wound up, liquidated or dissolved until one year after all of its Funding Obligations are repaid.</w:t>
      </w:r>
      <w:r w:rsidR="00D25AD5">
        <w:t xml:space="preserve"> </w:t>
      </w:r>
      <w:r w:rsidR="00D25AD5" w:rsidRPr="00D25AD5">
        <w:rPr>
          <w:b/>
          <w:highlight w:val="yellow"/>
        </w:rPr>
        <w:t xml:space="preserve">[NTD: </w:t>
      </w:r>
      <w:r w:rsidR="00D25AD5">
        <w:rPr>
          <w:b/>
          <w:highlight w:val="yellow"/>
        </w:rPr>
        <w:t xml:space="preserve">Please delete. </w:t>
      </w:r>
      <w:r w:rsidR="00D25AD5" w:rsidRPr="00D25AD5">
        <w:rPr>
          <w:b/>
          <w:highlight w:val="yellow"/>
        </w:rPr>
        <w:t>This conc</w:t>
      </w:r>
      <w:r w:rsidR="00BA7686">
        <w:rPr>
          <w:b/>
          <w:highlight w:val="yellow"/>
        </w:rPr>
        <w:t>ept can be contained in the Regulations</w:t>
      </w:r>
      <w:r w:rsidR="00D25AD5" w:rsidRPr="00D25AD5">
        <w:rPr>
          <w:b/>
          <w:highlight w:val="yellow"/>
        </w:rPr>
        <w:t>.]</w:t>
      </w:r>
    </w:p>
    <w:p w:rsidR="00115F06" w:rsidRDefault="00566583">
      <w:pPr>
        <w:pStyle w:val="BodyText"/>
        <w:numPr>
          <w:ilvl w:val="0"/>
          <w:numId w:val="30"/>
        </w:numPr>
        <w:ind w:hanging="720"/>
        <w:rPr>
          <w:rFonts w:cstheme="minorHAnsi"/>
        </w:rPr>
      </w:pPr>
      <w:r>
        <w:rPr>
          <w:rFonts w:cstheme="minorHAnsi"/>
          <w:b/>
        </w:rPr>
        <w:t xml:space="preserve">References to the </w:t>
      </w:r>
      <w:r>
        <w:rPr>
          <w:b/>
        </w:rPr>
        <w:t>Undertaking</w:t>
      </w:r>
      <w:r>
        <w:rPr>
          <w:rFonts w:cstheme="minorHAnsi"/>
          <w:b/>
        </w:rPr>
        <w:t xml:space="preserve"> and Agreement</w:t>
      </w:r>
      <w:r>
        <w:rPr>
          <w:rFonts w:cstheme="minorHAnsi"/>
        </w:rPr>
        <w:t xml:space="preserve"> –  Any non-confidential reference to the Undertaking of the </w:t>
      </w:r>
      <w:r w:rsidR="006A292A">
        <w:t>Her Majesty in right of Ontario</w:t>
      </w:r>
      <w:r>
        <w:rPr>
          <w:rFonts w:cstheme="minorHAnsi"/>
        </w:rPr>
        <w:t>, including in marketing materials and other documentation authorized for use by the Administrative in connection with any Funding Obligation, may be made provided that [</w:t>
      </w:r>
      <w:r>
        <w:rPr>
          <w:rFonts w:cstheme="minorHAnsi"/>
          <w:i/>
        </w:rPr>
        <w:t>Add conditions to protect the Province</w:t>
      </w:r>
      <w:r>
        <w:rPr>
          <w:rFonts w:cstheme="minorHAnsi"/>
        </w:rPr>
        <w:t>].</w:t>
      </w:r>
    </w:p>
    <w:p w:rsidR="00115F06" w:rsidRDefault="00566583">
      <w:pPr>
        <w:pStyle w:val="BodyText"/>
        <w:rPr>
          <w:b/>
        </w:rPr>
      </w:pPr>
      <w:r>
        <w:rPr>
          <w:b/>
        </w:rPr>
        <w:t>Article 12 – Regulations</w:t>
      </w:r>
    </w:p>
    <w:p w:rsidR="00115F06" w:rsidRDefault="00566583">
      <w:pPr>
        <w:pStyle w:val="BodyText"/>
      </w:pPr>
      <w:r>
        <w:t xml:space="preserve">Regulations may be made under this Act for the purposes described in Sections </w:t>
      </w:r>
      <w:r>
        <w:rPr>
          <w:rFonts w:cstheme="minorHAnsi"/>
        </w:rPr>
        <w:t>•,•,• and • and may be promulgated for any of the following purposes:</w:t>
      </w:r>
    </w:p>
    <w:p w:rsidR="00115F06" w:rsidRDefault="00566583">
      <w:pPr>
        <w:pStyle w:val="BodyText"/>
        <w:numPr>
          <w:ilvl w:val="0"/>
          <w:numId w:val="26"/>
        </w:numPr>
        <w:ind w:left="1440" w:hanging="720"/>
      </w:pPr>
      <w:r>
        <w:t>to set standards and measures regarding the commercially reasonable requirements of the Province associated with an Absolute Assignee incurring Funding Obligations or becoming obligated to pay any Finance Amount, including to establish guidelines regarding all-in funding costs; permitted Additional Funding Charges; required maturities and redemption and termination rights of Funding Obligations; liquidity requirements, in each case to a Financing Plan that is consistent in its effect with the Fair Allocation Plan;</w:t>
      </w:r>
    </w:p>
    <w:p w:rsidR="00115F06" w:rsidRDefault="00566583">
      <w:pPr>
        <w:pStyle w:val="BodyText"/>
        <w:numPr>
          <w:ilvl w:val="0"/>
          <w:numId w:val="26"/>
        </w:numPr>
        <w:ind w:left="1440" w:hanging="720"/>
      </w:pPr>
      <w:r>
        <w:t>to establish and empower one or more regulated entities to undertake decision-making activities with respect to this Act;</w:t>
      </w:r>
    </w:p>
    <w:p w:rsidR="00115F06" w:rsidRDefault="00566583">
      <w:pPr>
        <w:pStyle w:val="BodyText"/>
        <w:numPr>
          <w:ilvl w:val="0"/>
          <w:numId w:val="26"/>
        </w:numPr>
        <w:ind w:left="1440" w:hanging="720"/>
      </w:pPr>
      <w:r>
        <w:t xml:space="preserve">to set out reasonable requirements regarding the appointment or retention of advisors, agents, service providers, contract counterparties, including in relation to ‘market terms and conditions’ parameters; </w:t>
      </w:r>
    </w:p>
    <w:p w:rsidR="00115F06" w:rsidRDefault="00566583">
      <w:pPr>
        <w:pStyle w:val="BodyText"/>
        <w:numPr>
          <w:ilvl w:val="0"/>
          <w:numId w:val="26"/>
        </w:numPr>
        <w:ind w:left="1440" w:hanging="720"/>
      </w:pPr>
      <w:r>
        <w:t xml:space="preserve">to provide for audit and compliance standards applicable to those persons </w:t>
      </w:r>
      <w:r>
        <w:rPr>
          <w:rFonts w:asciiTheme="majorHAnsi" w:hAnsiTheme="majorHAnsi" w:cstheme="majorHAnsi"/>
        </w:rPr>
        <w:t>who are or may become obligated or have duties that arise under this Act [or under any Funding Obligation]</w:t>
      </w:r>
      <w:r>
        <w:t>;</w:t>
      </w:r>
    </w:p>
    <w:p w:rsidR="00115F06" w:rsidRDefault="00566583">
      <w:pPr>
        <w:pStyle w:val="BodyText"/>
        <w:numPr>
          <w:ilvl w:val="0"/>
          <w:numId w:val="26"/>
        </w:numPr>
        <w:ind w:left="1440" w:hanging="720"/>
      </w:pPr>
      <w:r>
        <w:t>to provide for any pre-vetting and approval requirements in relation to any incurrence by an Absolute Assignee of any Funding Obligation or obligation to pay any Finance Amount; and</w:t>
      </w:r>
    </w:p>
    <w:p w:rsidR="00115F06" w:rsidRDefault="00566583">
      <w:pPr>
        <w:pStyle w:val="BodyText"/>
        <w:numPr>
          <w:ilvl w:val="0"/>
          <w:numId w:val="26"/>
        </w:numPr>
        <w:ind w:left="1440" w:hanging="720"/>
        <w:rPr>
          <w:b/>
        </w:rPr>
      </w:pPr>
      <w:r>
        <w:t>to provide for appeal and due process considerations in connection with the establishment, adoption, implementation and review of the Fair Allocation Plan or the Financing Plan.</w:t>
      </w:r>
    </w:p>
    <w:p w:rsidR="00115F06" w:rsidRDefault="00566583">
      <w:pPr>
        <w:pStyle w:val="BodyText"/>
        <w:rPr>
          <w:b/>
        </w:rPr>
      </w:pPr>
      <w:r>
        <w:rPr>
          <w:b/>
        </w:rPr>
        <w:t>Article 13- Miscellaneous</w:t>
      </w:r>
      <w:r>
        <w:rPr>
          <w:rStyle w:val="FootnoteReference"/>
          <w:b/>
        </w:rPr>
        <w:footnoteReference w:id="22"/>
      </w:r>
    </w:p>
    <w:p w:rsidR="00115F06" w:rsidRDefault="00566583">
      <w:pPr>
        <w:pStyle w:val="BodyText"/>
        <w:numPr>
          <w:ilvl w:val="0"/>
          <w:numId w:val="31"/>
        </w:numPr>
        <w:ind w:hanging="720"/>
        <w:rPr>
          <w:rFonts w:cstheme="minorHAnsi"/>
          <w:b/>
        </w:rPr>
      </w:pPr>
      <w:r>
        <w:rPr>
          <w:rFonts w:cstheme="minorHAnsi"/>
          <w:b/>
        </w:rPr>
        <w:t>Choice of law</w:t>
      </w:r>
      <w:r>
        <w:rPr>
          <w:rFonts w:cstheme="minorHAnsi"/>
        </w:rPr>
        <w:t xml:space="preserve"> – The law governing, as applicable, the validity, enforceability, attachment, perfection, priority and exercise of remedies with respect to the transfer of an interest or right or creation of a security interest in the Regulatory Asset, any Transition Charge or the Undertaking of the Province shall be the laws of the Province.</w:t>
      </w:r>
    </w:p>
    <w:p w:rsidR="00115F06" w:rsidRDefault="00566583">
      <w:pPr>
        <w:pStyle w:val="BodyText"/>
        <w:numPr>
          <w:ilvl w:val="0"/>
          <w:numId w:val="31"/>
        </w:numPr>
        <w:ind w:hanging="720"/>
        <w:rPr>
          <w:rFonts w:cstheme="minorHAnsi"/>
        </w:rPr>
      </w:pPr>
      <w:r>
        <w:rPr>
          <w:rFonts w:cstheme="minorHAnsi"/>
          <w:b/>
        </w:rPr>
        <w:t xml:space="preserve">Conflict of law </w:t>
      </w:r>
      <w:r>
        <w:rPr>
          <w:rFonts w:cstheme="minorHAnsi"/>
        </w:rPr>
        <w:t xml:space="preserve">– In the event of conflict between this Act and any other law of the Province regarding the attachment, assignment or perfection, or the effect of perfection, or priority of any Disposition or Pledge, this Act shall govern to the extent of the conflict. </w:t>
      </w:r>
    </w:p>
    <w:p w:rsidR="00115F06" w:rsidRDefault="00566583">
      <w:pPr>
        <w:pStyle w:val="BodyText"/>
        <w:numPr>
          <w:ilvl w:val="0"/>
          <w:numId w:val="31"/>
        </w:numPr>
        <w:ind w:hanging="720"/>
        <w:rPr>
          <w:rFonts w:cstheme="minorHAnsi"/>
        </w:rPr>
      </w:pPr>
      <w:r>
        <w:rPr>
          <w:rFonts w:cstheme="minorHAnsi"/>
          <w:b/>
        </w:rPr>
        <w:t xml:space="preserve">No further acts or approvals required </w:t>
      </w:r>
      <w:r>
        <w:rPr>
          <w:rFonts w:cstheme="minorHAnsi"/>
        </w:rPr>
        <w:t>- Notwithstanding any provisions of any law of the Province to the contrary, no approvals, notices or authorizations other than those specified in this Act shall be required with respect to the actions to be taken in compliance with this Act, including under the Financing Plan or in relation to the establishment of the Fair Allocation Plan, and the transactions and contracts authorized in or contemplated by this Act or the Financing Plan, including the incurrence of any Funding Obligation, any Disposition, any Pledge or in the payment and performance of any attendant or incidental contract and any related expenses incurred to facilitate the preparation and implementation of the Financing Plan.</w:t>
      </w:r>
    </w:p>
    <w:p w:rsidR="00115F06" w:rsidRDefault="00566583">
      <w:pPr>
        <w:pStyle w:val="BodyText"/>
        <w:numPr>
          <w:ilvl w:val="0"/>
          <w:numId w:val="31"/>
        </w:numPr>
        <w:ind w:hanging="720"/>
        <w:rPr>
          <w:rFonts w:cstheme="minorHAnsi"/>
        </w:rPr>
      </w:pPr>
      <w:r>
        <w:rPr>
          <w:rFonts w:cstheme="minorHAnsi"/>
          <w:b/>
        </w:rPr>
        <w:t>Effect of invalidity after the Incurrence of any Funding Obligation</w:t>
      </w:r>
      <w:r>
        <w:rPr>
          <w:rFonts w:cstheme="minorHAnsi"/>
        </w:rPr>
        <w:t xml:space="preserve"> - Effective on the date that a Funding Obligation is incurred under this Act, if any provision of this Act is held to be invalid or is invalidated, superseded, replaced, repealed or expires for any reason, that occurrence shall not affect any action allowed under this Act that is taken by any person </w:t>
      </w:r>
      <w:r>
        <w:rPr>
          <w:rFonts w:asciiTheme="majorHAnsi" w:hAnsiTheme="majorHAnsi" w:cstheme="majorHAnsi"/>
        </w:rPr>
        <w:t xml:space="preserve">who is or may become obligated or have duties that arise under this Act </w:t>
      </w:r>
      <w:r>
        <w:rPr>
          <w:rFonts w:cstheme="minorHAnsi"/>
        </w:rPr>
        <w:t xml:space="preserve"> and any such action shall remain in full force and effect.</w:t>
      </w:r>
    </w:p>
    <w:p w:rsidR="00115F06" w:rsidRDefault="00566583">
      <w:pPr>
        <w:pStyle w:val="BodyText"/>
        <w:numPr>
          <w:ilvl w:val="0"/>
          <w:numId w:val="31"/>
        </w:numPr>
        <w:ind w:hanging="720"/>
        <w:rPr>
          <w:b/>
        </w:rPr>
      </w:pPr>
      <w:r>
        <w:rPr>
          <w:rFonts w:cstheme="minorHAnsi"/>
          <w:b/>
        </w:rPr>
        <w:t>Severability</w:t>
      </w:r>
      <w:r>
        <w:rPr>
          <w:rFonts w:cstheme="minorHAnsi"/>
        </w:rPr>
        <w:t xml:space="preserve"> - If any Article, Section, paragraph or subparagraph of this Act or the application thereof to any person, circumstance or transaction is held by a court of competent jurisdiction to be unconstitutional or invalid, the unconstitutionality or invalidity shall not affect the constitutionality or validity of any other Article, Section, paragraph or subparagraph of this act or its application or validity to any person, circumstance or transaction, including the irrevocability of Transition Charges, the validity of the Regulatory Asset, the incurrence of any Funding Obligation, any Disposition, any Pledge, or the collection and recovery of Transition Charge Collections.  To these ends, the Legislature hereby declares that the provisions of this Act are intended to be severable and that the Legislature would have enacted this Act even if any Article, Section, paragraph or subparagraph of this Act held to be unconstitutional or invalid had not been included in this Act.</w:t>
      </w:r>
      <w:r>
        <w:rPr>
          <w:b/>
        </w:rPr>
        <w:t xml:space="preserve"> </w:t>
      </w:r>
    </w:p>
    <w:p w:rsidR="00115F06" w:rsidRDefault="00566583">
      <w:pPr>
        <w:rPr>
          <w:b/>
        </w:rPr>
      </w:pPr>
      <w:r>
        <w:rPr>
          <w:b/>
        </w:rPr>
        <w:br w:type="page"/>
      </w:r>
    </w:p>
    <w:p w:rsidR="00115F06" w:rsidRDefault="00566583">
      <w:pPr>
        <w:pStyle w:val="BodyText"/>
        <w:jc w:val="center"/>
        <w:rPr>
          <w:b/>
        </w:rPr>
      </w:pPr>
      <w:r>
        <w:rPr>
          <w:b/>
        </w:rPr>
        <w:t xml:space="preserve">Schedule </w:t>
      </w:r>
      <w:r>
        <w:rPr>
          <w:rFonts w:cstheme="minorHAnsi"/>
          <w:b/>
        </w:rPr>
        <w:t>1</w:t>
      </w:r>
    </w:p>
    <w:p w:rsidR="00115F06" w:rsidRDefault="00566583">
      <w:pPr>
        <w:pStyle w:val="BodyText"/>
        <w:jc w:val="center"/>
        <w:rPr>
          <w:b/>
          <w:u w:val="single"/>
        </w:rPr>
      </w:pPr>
      <w:r>
        <w:rPr>
          <w:b/>
          <w:u w:val="single"/>
        </w:rPr>
        <w:t>Guidelines for Estimates</w:t>
      </w:r>
    </w:p>
    <w:p w:rsidR="00115F06" w:rsidRDefault="00566583">
      <w:pPr>
        <w:pStyle w:val="BodyText"/>
        <w:ind w:left="720"/>
        <w:jc w:val="left"/>
      </w:pPr>
      <w:r>
        <w:t>[To be considered.]</w:t>
      </w:r>
    </w:p>
    <w:p w:rsidR="00115F06" w:rsidRDefault="00115F06">
      <w:pPr>
        <w:pStyle w:val="BodyText"/>
        <w:ind w:left="720"/>
        <w:jc w:val="center"/>
        <w:rPr>
          <w:b/>
          <w:u w:val="single"/>
        </w:rPr>
      </w:pPr>
    </w:p>
    <w:p w:rsidR="00115F06" w:rsidRDefault="00566583">
      <w:pPr>
        <w:rPr>
          <w:b/>
          <w:u w:val="single"/>
        </w:rPr>
      </w:pPr>
      <w:r>
        <w:rPr>
          <w:b/>
          <w:u w:val="single"/>
        </w:rPr>
        <w:br w:type="page"/>
      </w:r>
    </w:p>
    <w:p w:rsidR="00115F06" w:rsidRDefault="00566583">
      <w:pPr>
        <w:pStyle w:val="BodyText"/>
        <w:jc w:val="center"/>
        <w:rPr>
          <w:b/>
        </w:rPr>
      </w:pPr>
      <w:r>
        <w:rPr>
          <w:b/>
        </w:rPr>
        <w:t xml:space="preserve">Schedule </w:t>
      </w:r>
      <w:r>
        <w:rPr>
          <w:rFonts w:cstheme="minorHAnsi"/>
          <w:b/>
        </w:rPr>
        <w:t>2</w:t>
      </w:r>
    </w:p>
    <w:p w:rsidR="00115F06" w:rsidRDefault="00566583">
      <w:pPr>
        <w:pStyle w:val="BodyText"/>
        <w:jc w:val="center"/>
        <w:rPr>
          <w:b/>
          <w:u w:val="single"/>
        </w:rPr>
      </w:pPr>
      <w:r>
        <w:rPr>
          <w:b/>
        </w:rPr>
        <w:t>Requirements Applicable to Alternative</w:t>
      </w:r>
      <w:r>
        <w:rPr>
          <w:b/>
        </w:rPr>
        <w:br/>
      </w:r>
      <w:r>
        <w:rPr>
          <w:b/>
          <w:u w:val="single"/>
        </w:rPr>
        <w:t>Invoicing Agent/ Alternative Collection Agent</w:t>
      </w:r>
    </w:p>
    <w:p w:rsidR="00115F06" w:rsidRDefault="00566583">
      <w:pPr>
        <w:pStyle w:val="BodyText"/>
        <w:ind w:left="720"/>
        <w:jc w:val="left"/>
      </w:pPr>
      <w:r>
        <w:t>[To be considered.]</w:t>
      </w:r>
    </w:p>
    <w:p w:rsidR="00115F06" w:rsidRDefault="00566583">
      <w:pPr>
        <w:rPr>
          <w:b/>
        </w:rPr>
      </w:pPr>
      <w:r>
        <w:rPr>
          <w:b/>
        </w:rPr>
        <w:br w:type="page"/>
      </w:r>
    </w:p>
    <w:p w:rsidR="00115F06" w:rsidRDefault="00566583">
      <w:pPr>
        <w:pStyle w:val="BodyText"/>
        <w:jc w:val="center"/>
        <w:rPr>
          <w:b/>
        </w:rPr>
      </w:pPr>
      <w:r>
        <w:rPr>
          <w:b/>
        </w:rPr>
        <w:t xml:space="preserve">Schedule </w:t>
      </w:r>
      <w:r>
        <w:rPr>
          <w:rFonts w:cstheme="minorHAnsi"/>
          <w:b/>
        </w:rPr>
        <w:t>3</w:t>
      </w:r>
    </w:p>
    <w:p w:rsidR="00115F06" w:rsidRDefault="00566583">
      <w:pPr>
        <w:pStyle w:val="BodyText"/>
        <w:jc w:val="center"/>
        <w:rPr>
          <w:b/>
          <w:u w:val="single"/>
        </w:rPr>
      </w:pPr>
      <w:r>
        <w:rPr>
          <w:b/>
          <w:u w:val="single"/>
        </w:rPr>
        <w:t>Principles and  Parameters for Establishing the Financing Plan</w:t>
      </w:r>
    </w:p>
    <w:p w:rsidR="00115F06" w:rsidRDefault="00566583">
      <w:pPr>
        <w:pStyle w:val="BodyText"/>
        <w:rPr>
          <w:b/>
        </w:rPr>
      </w:pPr>
      <w:r>
        <w:t>The following principles and parameters provide a guideline as to what a Financing Plan should address:</w:t>
      </w:r>
    </w:p>
    <w:p w:rsidR="00115F06" w:rsidRDefault="00566583">
      <w:pPr>
        <w:pStyle w:val="BodyText"/>
        <w:numPr>
          <w:ilvl w:val="0"/>
          <w:numId w:val="20"/>
        </w:numPr>
        <w:ind w:hanging="720"/>
      </w:pPr>
      <w:r>
        <w:t>consider quantities, maturities, payment obligations, prepayment or redemption rights and such other features of Funding Obligations so that payments made for a Reference Period reasonably correspond to the allocations of Future Fair Share of Green Transition Benefits to the applicable Reference Group under the Fair Allocation Plan;</w:t>
      </w:r>
    </w:p>
    <w:p w:rsidR="00115F06" w:rsidRDefault="00566583">
      <w:pPr>
        <w:pStyle w:val="BodyText"/>
        <w:numPr>
          <w:ilvl w:val="0"/>
          <w:numId w:val="39"/>
        </w:numPr>
        <w:ind w:hanging="720"/>
      </w:pPr>
      <w:r>
        <w:t>if the anticipated amount of any Repayment (together with payments of other Finance Amounts) to be made in respect of a Reference Period would materially exceed the allocation of the costs and benefits of the Green Generation Initiative to the applicable Retail Consumer Group under the then current Fair Allocation Plan, diligent efforts should be made to determine whether a Refinancing or deferral of such Repayment may be reasonably and cost-effectively effected based on then prevailing market terms, conditions an circumstances;</w:t>
      </w:r>
    </w:p>
    <w:p w:rsidR="00115F06" w:rsidRDefault="00566583">
      <w:pPr>
        <w:pStyle w:val="BodyText"/>
        <w:numPr>
          <w:ilvl w:val="0"/>
          <w:numId w:val="39"/>
        </w:numPr>
        <w:ind w:hanging="720"/>
      </w:pPr>
      <w:r>
        <w:t xml:space="preserve">reflect the assumptions and requirements specified in any contemplated Funding Obligation (e.g., any limit on the maximum amount of Transition Charges charged to a hypothetical Retail Consumer relative to his or her monthly electricity bill, as prescribed by any rating agency that ascribes its credit rating to or in respect of the Funding Obligation </w:t>
      </w:r>
      <w:r w:rsidR="00B65F12" w:rsidRPr="00B65F12">
        <w:rPr>
          <w:b/>
          <w:highlight w:val="yellow"/>
        </w:rPr>
        <w:t>[</w:t>
      </w:r>
      <w:r w:rsidR="00C1529C">
        <w:rPr>
          <w:b/>
          <w:highlight w:val="yellow"/>
        </w:rPr>
        <w:t xml:space="preserve">having regard to the </w:t>
      </w:r>
      <w:r w:rsidRPr="00B65F12">
        <w:rPr>
          <w:b/>
          <w:highlight w:val="yellow"/>
        </w:rPr>
        <w:t>application of the Allocation Methodology</w:t>
      </w:r>
      <w:r w:rsidR="00B65F12" w:rsidRPr="00B65F12">
        <w:rPr>
          <w:b/>
          <w:highlight w:val="yellow"/>
        </w:rPr>
        <w:t>][NTD: Are the words in square brackets necessary?]</w:t>
      </w:r>
      <w:r>
        <w:t>);</w:t>
      </w:r>
    </w:p>
    <w:p w:rsidR="00115F06" w:rsidRDefault="00C1529C" w:rsidP="00C1529C">
      <w:pPr>
        <w:pStyle w:val="BodyText"/>
        <w:numPr>
          <w:ilvl w:val="0"/>
          <w:numId w:val="39"/>
        </w:numPr>
        <w:ind w:hanging="720"/>
      </w:pPr>
      <w:r>
        <w:t xml:space="preserve">require </w:t>
      </w:r>
      <w:r w:rsidR="00B65F12" w:rsidRPr="00B65F12">
        <w:t>the Financial Services Manager, for an</w:t>
      </w:r>
      <w:r w:rsidR="006A292A">
        <w:t>d</w:t>
      </w:r>
      <w:r w:rsidR="00B65F12" w:rsidRPr="00B65F12">
        <w:t xml:space="preserve"> on behalf of each Regulatory Asset Owner, </w:t>
      </w:r>
      <w:r>
        <w:t>to</w:t>
      </w:r>
      <w:r w:rsidR="00B65F12" w:rsidRPr="00B65F12">
        <w:t xml:space="preserve"> use diligent efforts to manage Finance Amounts to be borne by Ratepayers</w:t>
      </w:r>
      <w:r>
        <w:t>;</w:t>
      </w:r>
    </w:p>
    <w:p w:rsidR="00115F06" w:rsidRPr="00C1529C" w:rsidRDefault="00C1529C">
      <w:pPr>
        <w:pStyle w:val="BodyText"/>
        <w:numPr>
          <w:ilvl w:val="0"/>
          <w:numId w:val="39"/>
        </w:numPr>
        <w:ind w:hanging="720"/>
      </w:pPr>
      <w:r w:rsidRPr="00C1529C">
        <w:t>include a proposal regarding the compensation of the Financial Services Manager that reflects market terms and conditions</w:t>
      </w:r>
      <w:r>
        <w:t>; and</w:t>
      </w:r>
    </w:p>
    <w:p w:rsidR="00115F06" w:rsidRDefault="00C1529C" w:rsidP="00C1529C">
      <w:pPr>
        <w:pStyle w:val="BodyText"/>
        <w:numPr>
          <w:ilvl w:val="0"/>
          <w:numId w:val="39"/>
        </w:numPr>
        <w:ind w:hanging="720"/>
      </w:pPr>
      <w:r>
        <w:t>r</w:t>
      </w:r>
      <w:r w:rsidRPr="00C1529C">
        <w:t>equire that the Financial Services Manager report annually to the Ministry of Energy on the operation of the Financing Plan including, in particular, with respect to the amount and terms of the Funding Obligations incurred and the sufficiency of such Funding Obligations for the purpose of funding the estimated Funding Shortfalls in accordance with the Fair Allocation Plan.</w:t>
      </w:r>
      <w:r w:rsidR="00566583">
        <w:t xml:space="preserve"> </w:t>
      </w:r>
    </w:p>
    <w:p w:rsidR="005232AB" w:rsidRDefault="005232AB" w:rsidP="005232AB">
      <w:pPr>
        <w:pStyle w:val="BodyText"/>
      </w:pPr>
    </w:p>
    <w:p w:rsidR="005232AB" w:rsidRPr="005232AB" w:rsidRDefault="005232AB" w:rsidP="005232AB">
      <w:pPr>
        <w:pStyle w:val="BodyText"/>
        <w:rPr>
          <w:b/>
        </w:rPr>
      </w:pPr>
    </w:p>
    <w:sectPr w:rsidR="005232AB" w:rsidRPr="005232AB">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s>
  <wne:toolbars>
    <wne:acdManifest>
      <wne:acdEntry wne:acdName="acd0"/>
      <wne:acdEntry wne:acdName="acd1"/>
      <wne:acdEntry wne:acdName="acd2"/>
    </wne:acdManifest>
  </wne:toolbars>
  <wne:acds>
    <wne:acd wne:argValue="AgBNAHUAbAB0AGkATABlAHYAZQBsAF8ATAAxAA==" wne:acdName="acd0" wne:fciIndexBasedOn="0065"/>
    <wne:acd wne:argValue="AgBNAHUAbAB0AGkATABlAHYAZQBsAF8ATAAyAA==" wne:acdName="acd1" wne:fciIndexBasedOn="0065"/>
    <wne:acd wne:argValue="AgBNAHUAbAB0AGkATABlAHYAZQBsAF8ATAAzAA==" wne:acdName="acd2"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CB2" w:rsidRDefault="00F56CB2">
      <w:pPr>
        <w:spacing w:after="0"/>
      </w:pPr>
      <w:r>
        <w:separator/>
      </w:r>
    </w:p>
  </w:endnote>
  <w:endnote w:type="continuationSeparator" w:id="0">
    <w:p w:rsidR="00F56CB2" w:rsidRDefault="00F56C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CB2" w:rsidRDefault="00D25AD5">
    <w:pPr>
      <w:pStyle w:val="BlakesDocID"/>
    </w:pPr>
    <w:fldSimple w:instr=" DOCPROPERTY DOCXDOCID DMS=HummingbirdDM5 Format=&lt;&lt;NUM&gt;&gt;.&lt;&lt;VER&gt;&gt; PRESERVELOCATION \* MERGEFORMAT ">
      <w:r w:rsidR="00F56CB2">
        <w:t>23107566.9</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CB2" w:rsidRDefault="00D25AD5">
    <w:pPr>
      <w:pStyle w:val="BlakesDocID"/>
    </w:pPr>
    <w:fldSimple w:instr=" DOCPROPERTY DOCXDOCID DMS=HummingbirdDM5 Format=&lt;&lt;NUM&gt;&gt;.&lt;&lt;VER&gt;&gt; PRESERVELOCATION \* MERGEFORMAT ">
      <w:r w:rsidR="00F56CB2">
        <w:t>23107566.9</w:t>
      </w:r>
    </w:fldSimple>
  </w:p>
  <w:p w:rsidR="00F56CB2" w:rsidRDefault="00BA7686">
    <w:pPr>
      <w:pStyle w:val="Footer"/>
    </w:pPr>
    <w:r>
      <w:rPr>
        <w:noProof/>
        <w:lang w:eastAsia="en-CA"/>
      </w:rPr>
      <w:pict>
        <v:shapetype id="_x0000_t202" coordsize="21600,21600" o:spt="202" path="m,l,21600r21600,l21600,xe">
          <v:stroke joinstyle="miter"/>
          <v:path gradientshapeok="t" o:connecttype="rect"/>
        </v:shapetype>
        <v:shape id="zzmpTrailer_1078_19" o:spid="_x0000_s1027" type="#_x0000_t202" style="position:absolute;left:0;text-align:left;margin-left:0;margin-top:10.8pt;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vb3urAIAAKkFAAAOAAAAZHJzL2Uyb0RvYy54bWysVG1vmzAQ/j5p/8Hyd8pLIQ2opEpCmCZ1 L1K7H+CACdbAZrYT6Kb9951NSJNWk6ZtfLAO+/zcPXeP7/ZuaBt0oFIxwVPsX3kYUV6IkvFdir88 5s4cI6UJL0kjOE3xE1X4bvH2zW3fJTQQtWhKKhGAcJX0XYprrbvEdVVR05aoK9FRDoeVkC3R8Ct3 bilJD+ht4waeN3N7IctOioIqBbvZeIgXFr+qaKE/VZWiGjUphty0XaVdt2Z1F7ck2UnS1aw4pkH+ IouWMA5BT1AZ0QTtJXsF1bJCCiUqfVWI1hVVxQpqOQAb33vB5qEmHbVcoDiqO5VJ/T/Y4uPhs0Ss THGAEScttOiRDhqtxIACU52+Uwk4PXTgpgfYhi5bpqq7F8VXhbhY14Tv6FJK0deUlJCdb266Z1dH HGVAtv0HUUIYstfCAg2VbE3poBgI0KFLT6fOmFQK2AyimXcdwFEBZ0EUxV5kQ5Bkut1Jpd9R0SJj pFhC5y06OdwrbbIhyeRignGRs6ax3W/4xQY4jjsQG66aM5OFbeaP2Is38808dMJgtnFCL8ucZb4O nVnu30TZdbZeZ/5PE9cPk5qVJeUmzCQsP/yzxh0lPkriJC0lGlYaOJOSkrvtupHoQEDYuf2OBTlz cy/TsEUALi8o+UHorYLYyWfzGyfMw8iJb7y54/nxKp55YRxm+SWle8bpv1NCfYrjKIhGMf2Wm2e/ 19xI0jINo6NhbYrnJyeSGAlueGlbqwlrRvusFCb951JAu6dGW8EajY5q1cN2ABSj4q0on0C6UoCy QIQw78CohfyOUQ+zI8Xq255IilHznoP8zaCZDDkZ28kgvICrKdYYjeZajwNp30m2qwF5fGBcLOGJ VMyq9zmL48OCeWBJHGeXGTjn/9brecIufgEAAP//AwBQSwMEFAAGAAgAAAAhAIslTwfcAAAABgEA AA8AAABkcnMvZG93bnJldi54bWxMj8FOwzAQRO9I/IO1SNyok4AiGrKpKgQnJEQaDhydeJtYjdch dtvw95gTPY5mNPOm3Cx2FCeavXGMkK4SEMSd04Z7hM/m9e4RhA+KtRodE8IPedhU11elKrQ7c02n XehFLGFfKIQhhKmQ0ncDWeVXbiKO3t7NVoUo517qWZ1juR1lliS5tMpwXBjURM8DdYfd0SJsv7h+ Md/v7Ue9r03TrBN+yw+ItzfL9glEoCX8h+EPP6JDFZlad2TtxYgQjwSELM1BRPchuc9AtAh5ugZZ lfISv/oFAAD//wMAUEsBAi0AFAAGAAgAAAAhALaDOJL+AAAA4QEAABMAAAAAAAAAAAAAAAAAAAAA AFtDb250ZW50X1R5cGVzXS54bWxQSwECLQAUAAYACAAAACEAOP0h/9YAAACUAQAACwAAAAAAAAAA AAAAAAAvAQAAX3JlbHMvLnJlbHNQSwECLQAUAAYACAAAACEAob297qwCAACpBQAADgAAAAAAAAAA AAAAAAAuAgAAZHJzL2Uyb0RvYy54bWxQSwECLQAUAAYACAAAACEAiyVPB9wAAAAGAQAADwAAAAAA AAAAAAAAAAAGBQAAZHJzL2Rvd25yZXYueG1sUEsFBgAAAAAEAAQA8wAAAA8GAAAAAA== " filled="f" stroked="f">
          <v:textbox inset="0,0,0,0">
            <w:txbxContent>
              <w:p w:rsidR="00F56CB2" w:rsidRDefault="00F56CB2">
                <w:pPr>
                  <w:pStyle w:val="MacPacTrailer"/>
                </w:pPr>
                <w:r>
                  <w:t>23319939.2</w:t>
                </w:r>
              </w:p>
              <w:p w:rsidR="00F56CB2" w:rsidRDefault="00F56CB2">
                <w:pPr>
                  <w:pStyle w:val="MacPacTrailer"/>
                </w:pPr>
              </w:p>
            </w:txbxContent>
          </v:textbox>
          <w10:wrap anchorx="margin"/>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CB2" w:rsidRDefault="00D25AD5">
    <w:pPr>
      <w:pStyle w:val="BlakesDocID"/>
    </w:pPr>
    <w:fldSimple w:instr=" DOCPROPERTY DOCXDOCID DMS=HummingbirdDM5 Format=&lt;&lt;NUM&gt;&gt;.&lt;&lt;VER&gt;&gt; PRESERVELOCATION \* MERGEFORMAT ">
      <w:r w:rsidR="00F56CB2">
        <w:t>23107566.9</w:t>
      </w:r>
    </w:fldSimple>
  </w:p>
  <w:p w:rsidR="00F56CB2" w:rsidRDefault="00BA7686">
    <w:pPr>
      <w:pStyle w:val="Footer"/>
    </w:pPr>
    <w:r>
      <w:rPr>
        <w:noProof/>
        <w:lang w:eastAsia="en-CA"/>
      </w:rPr>
      <w:pict>
        <v:shapetype id="_x0000_t202" coordsize="21600,21600" o:spt="202" path="m,l,21600r21600,l21600,xe">
          <v:stroke joinstyle="miter"/>
          <v:path gradientshapeok="t" o:connecttype="rect"/>
        </v:shapetype>
        <v:shape id="zzmpTrailer_1078_1B" o:spid="_x0000_s1028" type="#_x0000_t202" style="position:absolute;left:0;text-align:left;margin-left:0;margin-top:10.8pt;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IbeWYrQIAALAFAAAOAAAAZHJzL2Uyb0RvYy54bWysVG1vmzAQ/j5p/8Hyd8pLIQ2opEpCmCZ1 L1K7H+CACdbAZrYT6Kb9951NSJNWk6ZtfEBn+/zcPXeP7/ZuaBt0oFIxwVPsX3kYUV6IkvFdir88 5s4cI6UJL0kjOE3xE1X4bvH2zW3fJTQQtWhKKhGAcJX0XYprrbvEdVVR05aoK9FRDoeVkC3RsJQ7 t5SkB/S2cQPPm7m9kGUnRUGVgt1sPMQLi19VtNCfqkpRjZoUQ27a/qX9b83fXdySZCdJV7PimAb5 iyxawjgEPUFlRBO0l+wVVMsKKZSo9FUhWldUFSuo5QBsfO8Fm4eadNRygeKo7lQm9f9gi4+HzxKx EnqHEScttOiRDhqtxIB8U52+Uwk4PXTgpgfYNp6GqeruRfFVIS7WNeE7upRS9DUlJWRnb7pnV0cc ZUC2/QdRQhiy18ICDZVsDSAUAwE6dOnp1BmTSgGbQTTzrgM4KuAsiKLYi0xyLkmm251U+h0VLTJG iiV03qKTw73So+vkYoJxkbOmsd1v+MUGYI47EBuumjOThW3mj9iLN/PNPHTCYLZxQi/LnGW+Dp1Z 7t9E2XW2Xmf+TxPXD5OalSXlJswkLD/8s8YdJT5K4iQtJRpWGjiTkpK77bqR6EBA2Ln9jgU5c3Mv 07D1Ai4vKPlB6K2C2Mln8xsnzMPIiW+8ueP58SqeeWEcZvklpXvG6b9TQn2K4yiIRjH9lptnv9fc SNIyDaOjYW2K5ycnkhgJbnhpW6sJa0b7rBQm/edSQLunRlvBGo2OatXDdji+DAAzYt6K8gkULAUI DLQIYw+MWsjvGPUwQlKsvu2JpBg17zm8AjNvJkNOxnYyCC/gaoo1RqO51uNc2neS7WpAHt8ZF0t4 KRWzIn7OAhiYBYwFy+U4wszcOV9br+dBu/gFAAD//wMAUEsDBBQABgAIAAAAIQCLJU8H3AAAAAYB AAAPAAAAZHJzL2Rvd25yZXYueG1sTI/BTsMwEETvSPyDtUjcqJOAIhqyqSoEJyREGg4cnXibWI3X IXbb8PeYEz2OZjTzptwsdhQnmr1xjJCuEhDEndOGe4TP5vXuEYQPirUaHRPCD3nYVNdXpSq0O3NN p13oRSxhXyiEIYSpkNJ3A1nlV24ijt7ezVaFKOde6lmdY7kdZZYkubTKcFwY1ETPA3WH3dEibL+4 fjHf7+1Hva9N06wTfssPiLc3y/YJRKAl/IfhDz+iQxWZWndk7cWIEI8EhCzNQUT3IbnPQLQIeboG WZXyEr/6BQAA//8DAFBLAQItABQABgAIAAAAIQC2gziS/gAAAOEBAAATAAAAAAAAAAAAAAAAAAAA AABbQ29udGVudF9UeXBlc10ueG1sUEsBAi0AFAAGAAgAAAAhADj9If/WAAAAlAEAAAsAAAAAAAAA AAAAAAAALwEAAF9yZWxzLy5yZWxzUEsBAi0AFAAGAAgAAAAhAIht5ZitAgAAsAUAAA4AAAAAAAAA AAAAAAAALgIAAGRycy9lMm9Eb2MueG1sUEsBAi0AFAAGAAgAAAAhAIslTwfcAAAABgEAAA8AAAAA AAAAAAAAAAAABwUAAGRycy9kb3ducmV2LnhtbFBLBQYAAAAABAAEAPMAAAAQBgAAAAA= " filled="f" stroked="f">
          <v:textbox inset="0,0,0,0">
            <w:txbxContent>
              <w:p w:rsidR="00F56CB2" w:rsidRDefault="00F56CB2">
                <w:pPr>
                  <w:pStyle w:val="MacPacTrailer"/>
                </w:pPr>
                <w:r>
                  <w:t>23319939.2</w:t>
                </w:r>
              </w:p>
              <w:p w:rsidR="00F56CB2" w:rsidRDefault="00F56CB2">
                <w:pPr>
                  <w:pStyle w:val="MacPacTrailer"/>
                </w:pP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CB2" w:rsidRDefault="00F56CB2">
      <w:r>
        <w:separator/>
      </w:r>
    </w:p>
  </w:footnote>
  <w:footnote w:type="continuationSeparator" w:id="0">
    <w:p w:rsidR="00F56CB2" w:rsidRDefault="00F56CB2">
      <w:r>
        <w:continuationSeparator/>
      </w:r>
    </w:p>
  </w:footnote>
  <w:footnote w:type="continuationNotice" w:id="1">
    <w:p w:rsidR="00F56CB2" w:rsidRDefault="00F56CB2">
      <w:pPr>
        <w:spacing w:after="0"/>
      </w:pPr>
    </w:p>
  </w:footnote>
  <w:footnote w:id="2">
    <w:p w:rsidR="00F56CB2" w:rsidRDefault="00F56CB2">
      <w:pPr>
        <w:pStyle w:val="FootnoteText"/>
        <w:rPr>
          <w:sz w:val="18"/>
          <w:szCs w:val="18"/>
        </w:rPr>
      </w:pPr>
      <w:r>
        <w:rPr>
          <w:rStyle w:val="FootnoteReference"/>
        </w:rPr>
        <w:footnoteRef/>
      </w:r>
      <w:r>
        <w:t xml:space="preserve"> </w:t>
      </w:r>
      <w:r>
        <w:rPr>
          <w:sz w:val="18"/>
          <w:szCs w:val="18"/>
        </w:rPr>
        <w:t>Confirm that this will be based on forecast volumes of demand (like RPP).  To the extent amounts do not get recovered due to differences between forecast and actual, those may be identified and caught by the True-Up.</w:t>
      </w:r>
    </w:p>
  </w:footnote>
  <w:footnote w:id="3">
    <w:p w:rsidR="00F56CB2" w:rsidRDefault="00F56CB2">
      <w:pPr>
        <w:pStyle w:val="FootnoteText"/>
        <w:rPr>
          <w:sz w:val="18"/>
          <w:szCs w:val="18"/>
          <w:lang w:val="en-US"/>
        </w:rPr>
      </w:pPr>
      <w:r>
        <w:rPr>
          <w:rStyle w:val="FootnoteReference"/>
          <w:sz w:val="18"/>
          <w:szCs w:val="18"/>
        </w:rPr>
        <w:footnoteRef/>
      </w:r>
      <w:r>
        <w:rPr>
          <w:sz w:val="18"/>
          <w:szCs w:val="18"/>
        </w:rPr>
        <w:t xml:space="preserve"> This </w:t>
      </w:r>
      <w:r>
        <w:rPr>
          <w:sz w:val="18"/>
          <w:szCs w:val="18"/>
          <w:lang w:val="en-US"/>
        </w:rPr>
        <w:t>allocation may be volumetric or some combination of a flat amount and a volumetric charge.  Further discussion is required. H&amp;W has raised a concern regarding possible adverse changes after the fact and rating agency considerations.  Consider whether hard-coding in the legislation makes sense.</w:t>
      </w:r>
    </w:p>
  </w:footnote>
  <w:footnote w:id="4">
    <w:p w:rsidR="00F56CB2" w:rsidRDefault="00F56CB2">
      <w:pPr>
        <w:pStyle w:val="FootnoteText"/>
        <w:rPr>
          <w:sz w:val="18"/>
          <w:szCs w:val="18"/>
        </w:rPr>
      </w:pPr>
      <w:r>
        <w:rPr>
          <w:rStyle w:val="FootnoteReference"/>
          <w:sz w:val="18"/>
          <w:szCs w:val="18"/>
        </w:rPr>
        <w:footnoteRef/>
      </w:r>
      <w:r>
        <w:rPr>
          <w:sz w:val="18"/>
          <w:szCs w:val="18"/>
        </w:rPr>
        <w:t xml:space="preserve"> This would pick up adjustments based on actual collection experience, changes in the retail consumer base, changes in the actual costs (versus earlier estimates) included in the Transition Charge calculation, etc.</w:t>
      </w:r>
    </w:p>
  </w:footnote>
  <w:footnote w:id="5">
    <w:p w:rsidR="00F56CB2" w:rsidRDefault="00F56CB2">
      <w:pPr>
        <w:pStyle w:val="FootnoteText"/>
        <w:rPr>
          <w:sz w:val="18"/>
          <w:szCs w:val="18"/>
        </w:rPr>
      </w:pPr>
      <w:r>
        <w:rPr>
          <w:rStyle w:val="FootnoteReference"/>
          <w:sz w:val="18"/>
          <w:szCs w:val="18"/>
        </w:rPr>
        <w:footnoteRef/>
      </w:r>
      <w:r>
        <w:rPr>
          <w:sz w:val="18"/>
          <w:szCs w:val="18"/>
        </w:rPr>
        <w:t xml:space="preserve"> Discuss whether to accommodate multiple Financial Services </w:t>
      </w:r>
      <w:r w:rsidRPr="00EC2CB5">
        <w:rPr>
          <w:sz w:val="18"/>
          <w:szCs w:val="18"/>
        </w:rPr>
        <w:t>Manager</w:t>
      </w:r>
      <w:r>
        <w:rPr>
          <w:sz w:val="18"/>
          <w:szCs w:val="18"/>
        </w:rPr>
        <w:t>s. MOE to consider.</w:t>
      </w:r>
    </w:p>
  </w:footnote>
  <w:footnote w:id="6">
    <w:p w:rsidR="00F56CB2" w:rsidRDefault="00F56CB2">
      <w:pPr>
        <w:pStyle w:val="FootnoteText"/>
      </w:pPr>
      <w:r>
        <w:rPr>
          <w:rStyle w:val="FootnoteReference"/>
        </w:rPr>
        <w:footnoteRef/>
      </w:r>
      <w:r>
        <w:t xml:space="preserve">  MOE to confirm that the legislation will provide that any Financing Entity that is a wholly-owned subsidiary of OPG (1) would not be subject to Part VI of the </w:t>
      </w:r>
      <w:r>
        <w:rPr>
          <w:i/>
        </w:rPr>
        <w:t>Electricity Act</w:t>
      </w:r>
      <w:r>
        <w:t xml:space="preserve"> (Ontario) and (2) in the case of any Financing Entity that is a trust, any income of such trust (for purposes of the </w:t>
      </w:r>
      <w:r>
        <w:rPr>
          <w:i/>
        </w:rPr>
        <w:t>Income Tax Act</w:t>
      </w:r>
      <w:r>
        <w:t xml:space="preserve"> (Canada) or the </w:t>
      </w:r>
      <w:r>
        <w:rPr>
          <w:i/>
        </w:rPr>
        <w:t>Taxation Act, 2007</w:t>
      </w:r>
      <w:r>
        <w:t xml:space="preserve"> Ontario)) which is paid or made payable to OPG or a wholly-owned subsidiary of OPG as a beneficiary of such trust will not be taken into account in calculating the amount of a payment required to be made by OPG (or such subsidiary) by section 89 or 90 of the Electricity Act. </w:t>
      </w:r>
    </w:p>
  </w:footnote>
  <w:footnote w:id="7">
    <w:p w:rsidR="00F56CB2" w:rsidRDefault="00F56CB2">
      <w:pPr>
        <w:pStyle w:val="FootnoteText"/>
        <w:rPr>
          <w:sz w:val="18"/>
          <w:szCs w:val="18"/>
        </w:rPr>
      </w:pPr>
      <w:r>
        <w:rPr>
          <w:rStyle w:val="FootnoteReference"/>
        </w:rPr>
        <w:footnoteRef/>
      </w:r>
      <w:r>
        <w:t xml:space="preserve"> </w:t>
      </w:r>
      <w:r>
        <w:rPr>
          <w:sz w:val="18"/>
          <w:szCs w:val="18"/>
        </w:rPr>
        <w:t>This has been recast to recognize that the shortfall in the first 4.5 years could exceed the entire GA amount.  A more refined approach to describing the concept may be considered.</w:t>
      </w:r>
    </w:p>
  </w:footnote>
  <w:footnote w:id="8">
    <w:p w:rsidR="00F56CB2" w:rsidRDefault="00F56CB2">
      <w:pPr>
        <w:pStyle w:val="FootnoteText"/>
        <w:rPr>
          <w:sz w:val="18"/>
          <w:szCs w:val="18"/>
        </w:rPr>
      </w:pPr>
      <w:r>
        <w:rPr>
          <w:rStyle w:val="FootnoteReference"/>
          <w:sz w:val="18"/>
          <w:szCs w:val="18"/>
        </w:rPr>
        <w:footnoteRef/>
      </w:r>
      <w:r>
        <w:rPr>
          <w:sz w:val="18"/>
          <w:szCs w:val="18"/>
        </w:rPr>
        <w:t xml:space="preserve"> Determine if this is critical for rating and markets.  Logistics under consideration.</w:t>
      </w:r>
    </w:p>
  </w:footnote>
  <w:footnote w:id="9">
    <w:p w:rsidR="00F56CB2" w:rsidRDefault="00F56CB2">
      <w:pPr>
        <w:pStyle w:val="FootnoteText"/>
        <w:rPr>
          <w:sz w:val="18"/>
          <w:szCs w:val="18"/>
        </w:rPr>
      </w:pPr>
      <w:r>
        <w:rPr>
          <w:rStyle w:val="FootnoteReference"/>
        </w:rPr>
        <w:footnoteRef/>
      </w:r>
      <w:r>
        <w:t xml:space="preserve"> </w:t>
      </w:r>
      <w:r>
        <w:rPr>
          <w:sz w:val="18"/>
          <w:szCs w:val="18"/>
        </w:rPr>
        <w:t>Torys has also suggested that deemed conditions of licenses for distributors, retailers and unit sub-metering providers, could be included as conditions, to require them to collect and remit amounts in accordance with this legislation. Consider if it is helpful to integrate the existing regulatory scheme for invoicing and collections (regarding RPP) in the legislation.</w:t>
      </w:r>
    </w:p>
  </w:footnote>
  <w:footnote w:id="10">
    <w:p w:rsidR="00F56CB2" w:rsidRDefault="00F56CB2">
      <w:pPr>
        <w:pStyle w:val="FootnoteText"/>
        <w:rPr>
          <w:sz w:val="18"/>
          <w:szCs w:val="18"/>
        </w:rPr>
      </w:pPr>
      <w:r>
        <w:rPr>
          <w:rStyle w:val="FootnoteReference"/>
          <w:sz w:val="18"/>
          <w:szCs w:val="18"/>
        </w:rPr>
        <w:footnoteRef/>
      </w:r>
      <w:r>
        <w:rPr>
          <w:sz w:val="18"/>
          <w:szCs w:val="18"/>
        </w:rPr>
        <w:t xml:space="preserve"> Consider trying to attach to existing LDC credit enhancements and provide parallel coverage for customer losses.</w:t>
      </w:r>
    </w:p>
  </w:footnote>
  <w:footnote w:id="11">
    <w:p w:rsidR="00F56CB2" w:rsidRDefault="00F56CB2">
      <w:pPr>
        <w:pStyle w:val="BodyText"/>
        <w:rPr>
          <w:sz w:val="18"/>
          <w:szCs w:val="18"/>
        </w:rPr>
      </w:pPr>
      <w:r>
        <w:rPr>
          <w:rStyle w:val="FootnoteReference"/>
        </w:rPr>
        <w:footnoteRef/>
      </w:r>
      <w:r>
        <w:t xml:space="preserve"> </w:t>
      </w:r>
      <w:r>
        <w:rPr>
          <w:sz w:val="18"/>
          <w:szCs w:val="18"/>
        </w:rPr>
        <w:t>Consider building this obligation into a deemed condition of licence for the IESO.</w:t>
      </w:r>
    </w:p>
  </w:footnote>
  <w:footnote w:id="12">
    <w:p w:rsidR="00F56CB2" w:rsidRDefault="00F56CB2">
      <w:pPr>
        <w:pStyle w:val="FootnoteText"/>
        <w:rPr>
          <w:sz w:val="18"/>
          <w:szCs w:val="18"/>
        </w:rPr>
      </w:pPr>
      <w:r>
        <w:rPr>
          <w:rStyle w:val="FootnoteReference"/>
          <w:sz w:val="18"/>
          <w:szCs w:val="18"/>
        </w:rPr>
        <w:footnoteRef/>
      </w:r>
      <w:r>
        <w:rPr>
          <w:sz w:val="18"/>
          <w:szCs w:val="18"/>
        </w:rPr>
        <w:t xml:space="preserve"> Consider frequency of remittances in light of rating requirements. US rating agencies favour daily remittances.</w:t>
      </w:r>
    </w:p>
  </w:footnote>
  <w:footnote w:id="13">
    <w:p w:rsidR="00F56CB2" w:rsidRDefault="00F56CB2">
      <w:pPr>
        <w:pStyle w:val="FootnoteText"/>
        <w:rPr>
          <w:sz w:val="18"/>
          <w:szCs w:val="18"/>
        </w:rPr>
      </w:pPr>
      <w:r>
        <w:rPr>
          <w:rStyle w:val="FootnoteReference"/>
          <w:sz w:val="18"/>
          <w:szCs w:val="18"/>
        </w:rPr>
        <w:footnoteRef/>
      </w:r>
      <w:r>
        <w:rPr>
          <w:sz w:val="18"/>
          <w:szCs w:val="18"/>
        </w:rPr>
        <w:t xml:space="preserve"> This is in anticipation of a possible future restructuring of the distribution system.</w:t>
      </w:r>
    </w:p>
  </w:footnote>
  <w:footnote w:id="14">
    <w:p w:rsidR="00F56CB2" w:rsidRDefault="00F56CB2">
      <w:pPr>
        <w:pStyle w:val="FootnoteText"/>
        <w:rPr>
          <w:sz w:val="18"/>
          <w:szCs w:val="18"/>
        </w:rPr>
      </w:pPr>
      <w:r>
        <w:rPr>
          <w:rStyle w:val="FootnoteReference"/>
        </w:rPr>
        <w:footnoteRef/>
      </w:r>
      <w:r>
        <w:t xml:space="preserve"> </w:t>
      </w:r>
      <w:r>
        <w:rPr>
          <w:sz w:val="18"/>
          <w:szCs w:val="18"/>
        </w:rPr>
        <w:t>Consider whether it makes sense to create a “deemed collection” payment obligation on Electricity Distributors to the extent a Retail Consumer reduces its payment of Transition Charges, despite this language.  Same for Electricity Distributor Remittances and IESO Remittances.</w:t>
      </w:r>
    </w:p>
  </w:footnote>
  <w:footnote w:id="15">
    <w:p w:rsidR="00F56CB2" w:rsidRDefault="00F56CB2">
      <w:pPr>
        <w:pStyle w:val="FootnoteText"/>
        <w:rPr>
          <w:sz w:val="18"/>
          <w:szCs w:val="18"/>
        </w:rPr>
      </w:pPr>
      <w:r>
        <w:rPr>
          <w:rStyle w:val="FootnoteReference"/>
          <w:sz w:val="18"/>
          <w:szCs w:val="18"/>
        </w:rPr>
        <w:footnoteRef/>
      </w:r>
      <w:r>
        <w:rPr>
          <w:sz w:val="18"/>
          <w:szCs w:val="18"/>
        </w:rPr>
        <w:t xml:space="preserve"> Consider adding or substituting this provision for a right to appoint a receiver.</w:t>
      </w:r>
    </w:p>
  </w:footnote>
  <w:footnote w:id="16">
    <w:p w:rsidR="00F56CB2" w:rsidRDefault="00F56CB2">
      <w:pPr>
        <w:pStyle w:val="FootnoteText"/>
        <w:rPr>
          <w:sz w:val="18"/>
          <w:szCs w:val="18"/>
        </w:rPr>
      </w:pPr>
      <w:r>
        <w:rPr>
          <w:rStyle w:val="FootnoteReference"/>
        </w:rPr>
        <w:footnoteRef/>
      </w:r>
      <w:r>
        <w:t xml:space="preserve"> </w:t>
      </w:r>
      <w:r>
        <w:rPr>
          <w:sz w:val="18"/>
          <w:szCs w:val="18"/>
        </w:rPr>
        <w:t>Consider whether to simply leave this and have a financing statement be filed under the PPSA.  This would normalize the security interest and reduce any adverse suggestion that security would not otherwise arise.</w:t>
      </w:r>
    </w:p>
  </w:footnote>
  <w:footnote w:id="17">
    <w:p w:rsidR="00F56CB2" w:rsidRDefault="00F56CB2">
      <w:pPr>
        <w:pStyle w:val="FootnoteText"/>
      </w:pPr>
      <w:r>
        <w:rPr>
          <w:sz w:val="18"/>
          <w:szCs w:val="18"/>
        </w:rPr>
        <w:footnoteRef/>
      </w:r>
      <w:r>
        <w:rPr>
          <w:sz w:val="18"/>
          <w:szCs w:val="18"/>
        </w:rPr>
        <w:t xml:space="preserve"> The idea is that the Fair Allocation Plan will be set once at the outset based on the principles and parameters described here, all as applied based on information available and the reasonable expectations and discretion of the delegate at such time.  If the expectations are not fulfilled (e.g., generators may choose to retire their facilities at the end of their current procurement contracts and not invest in extending service lives to secure further procurement contracts), the Fair Allocation Plan will be unaffected, unless it is specifically amended (assuming amendments will be permitted by the legislation).</w:t>
      </w:r>
    </w:p>
  </w:footnote>
  <w:footnote w:id="18">
    <w:p w:rsidR="00F56CB2" w:rsidRDefault="00F56CB2">
      <w:pPr>
        <w:pStyle w:val="FootnoteText"/>
        <w:rPr>
          <w:sz w:val="18"/>
          <w:szCs w:val="18"/>
          <w:lang w:val="en-US"/>
        </w:rPr>
      </w:pPr>
      <w:r>
        <w:rPr>
          <w:rStyle w:val="FootnoteReference"/>
          <w:sz w:val="18"/>
          <w:szCs w:val="18"/>
        </w:rPr>
        <w:footnoteRef/>
      </w:r>
      <w:r>
        <w:rPr>
          <w:sz w:val="18"/>
          <w:szCs w:val="18"/>
        </w:rPr>
        <w:t xml:space="preserve"> </w:t>
      </w:r>
      <w:r>
        <w:rPr>
          <w:sz w:val="18"/>
          <w:szCs w:val="18"/>
          <w:lang w:val="en-US"/>
        </w:rPr>
        <w:t xml:space="preserve">As noted above, the outcome of any regulatory action undertaken by the OEB will not affect Funding Obligations that have been incurred under the Financing Plan.  This Article and any potential role for the Auditor General is still under consideration. </w:t>
      </w:r>
    </w:p>
  </w:footnote>
  <w:footnote w:id="19">
    <w:p w:rsidR="00F56CB2" w:rsidRDefault="00F56CB2">
      <w:pPr>
        <w:pStyle w:val="FootnoteText"/>
        <w:rPr>
          <w:sz w:val="18"/>
          <w:szCs w:val="18"/>
        </w:rPr>
      </w:pPr>
      <w:r>
        <w:rPr>
          <w:rStyle w:val="FootnoteReference"/>
        </w:rPr>
        <w:footnoteRef/>
      </w:r>
      <w:r>
        <w:t xml:space="preserve"> As an alternative to this provision, consider </w:t>
      </w:r>
      <w:r>
        <w:rPr>
          <w:sz w:val="18"/>
          <w:szCs w:val="18"/>
        </w:rPr>
        <w:t xml:space="preserve">clarifying under s. 78.1(4) of the OEB Act (which currently gives the OEB discretion in setting payment amounts subject to O. Reg. 53/05) that the OEB in setting OPG payment amounts for prescribed generation shall not consider OPG’s role as </w:t>
      </w:r>
      <w:r w:rsidRPr="0009733D">
        <w:rPr>
          <w:sz w:val="18"/>
          <w:szCs w:val="18"/>
        </w:rPr>
        <w:t>Financial Services Manager</w:t>
      </w:r>
      <w:r>
        <w:rPr>
          <w:sz w:val="18"/>
          <w:szCs w:val="18"/>
        </w:rPr>
        <w:t xml:space="preserve"> of any Financing Entities associated with the Fair Hydro initiative, perhaps with the exception of any operating fees that may be received by OPG for performing that role.</w:t>
      </w:r>
    </w:p>
  </w:footnote>
  <w:footnote w:id="20">
    <w:p w:rsidR="00F56CB2" w:rsidRDefault="00F56CB2">
      <w:pPr>
        <w:pStyle w:val="FootnoteText"/>
        <w:rPr>
          <w:sz w:val="18"/>
          <w:szCs w:val="18"/>
          <w:lang w:val="en-US"/>
        </w:rPr>
      </w:pPr>
      <w:r>
        <w:rPr>
          <w:rStyle w:val="FootnoteReference"/>
          <w:sz w:val="18"/>
          <w:szCs w:val="18"/>
        </w:rPr>
        <w:footnoteRef/>
      </w:r>
      <w:r>
        <w:rPr>
          <w:sz w:val="18"/>
          <w:szCs w:val="18"/>
        </w:rPr>
        <w:t xml:space="preserve"> Under consideration, including the dealers’ request for a “servicer guarantee” and a “contractual guarantee” to address a “Change of Law” or if all or a portion of the legislation is </w:t>
      </w:r>
      <w:r>
        <w:rPr>
          <w:i/>
          <w:sz w:val="18"/>
          <w:szCs w:val="18"/>
        </w:rPr>
        <w:t>ultra vires</w:t>
      </w:r>
      <w:r>
        <w:rPr>
          <w:sz w:val="18"/>
          <w:szCs w:val="18"/>
        </w:rPr>
        <w:t xml:space="preserve">, requiring (at the lenders option), the Province to pay principal and interest on the outstanding debt </w:t>
      </w:r>
      <w:r>
        <w:rPr>
          <w:sz w:val="18"/>
          <w:szCs w:val="18"/>
          <w:u w:val="single"/>
        </w:rPr>
        <w:t>until maturity</w:t>
      </w:r>
      <w:r>
        <w:rPr>
          <w:sz w:val="18"/>
          <w:szCs w:val="18"/>
        </w:rPr>
        <w:t xml:space="preserve"> or payout the entire debt </w:t>
      </w:r>
      <w:r>
        <w:rPr>
          <w:sz w:val="18"/>
          <w:szCs w:val="18"/>
          <w:u w:val="single"/>
        </w:rPr>
        <w:t>including any make-wholes</w:t>
      </w:r>
      <w:r>
        <w:rPr>
          <w:sz w:val="18"/>
          <w:szCs w:val="18"/>
        </w:rPr>
        <w:t>.</w:t>
      </w:r>
    </w:p>
  </w:footnote>
  <w:footnote w:id="21">
    <w:p w:rsidR="00F56CB2" w:rsidRDefault="00F56CB2">
      <w:pPr>
        <w:pStyle w:val="FootnoteText"/>
        <w:rPr>
          <w:sz w:val="18"/>
          <w:szCs w:val="18"/>
          <w:lang w:val="en-US"/>
        </w:rPr>
      </w:pPr>
      <w:r>
        <w:rPr>
          <w:rStyle w:val="FootnoteReference"/>
          <w:sz w:val="18"/>
          <w:szCs w:val="18"/>
        </w:rPr>
        <w:footnoteRef/>
      </w:r>
      <w:r>
        <w:rPr>
          <w:sz w:val="18"/>
          <w:szCs w:val="18"/>
        </w:rPr>
        <w:t xml:space="preserve"> </w:t>
      </w:r>
      <w:r>
        <w:rPr>
          <w:sz w:val="18"/>
          <w:szCs w:val="18"/>
          <w:lang w:val="en-US"/>
        </w:rPr>
        <w:t>Requested by</w:t>
      </w:r>
      <w:r w:rsidR="006A292A">
        <w:rPr>
          <w:sz w:val="18"/>
          <w:szCs w:val="18"/>
          <w:lang w:val="en-US"/>
        </w:rPr>
        <w:t xml:space="preserve"> Dealers</w:t>
      </w:r>
      <w:r>
        <w:rPr>
          <w:sz w:val="18"/>
          <w:szCs w:val="18"/>
          <w:lang w:val="en-US"/>
        </w:rPr>
        <w:t>. For discussion.</w:t>
      </w:r>
    </w:p>
  </w:footnote>
  <w:footnote w:id="22">
    <w:p w:rsidR="00F56CB2" w:rsidRDefault="00F56CB2">
      <w:pPr>
        <w:rPr>
          <w:sz w:val="18"/>
          <w:szCs w:val="18"/>
        </w:rPr>
      </w:pPr>
      <w:r>
        <w:rPr>
          <w:rStyle w:val="FootnoteReference"/>
        </w:rPr>
        <w:footnoteRef/>
      </w:r>
      <w:r>
        <w:t xml:space="preserve"> </w:t>
      </w:r>
      <w:r>
        <w:rPr>
          <w:sz w:val="18"/>
          <w:szCs w:val="18"/>
        </w:rPr>
        <w:t>OPG would like the specific amendments related to OPG to be included in the Bill.]</w:t>
      </w:r>
    </w:p>
    <w:p w:rsidR="00F56CB2" w:rsidRDefault="00F56CB2">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686" w:rsidRDefault="00BA76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CB2" w:rsidRDefault="00F56CB2">
    <w:pPr>
      <w:pStyle w:val="Header"/>
      <w:jc w:val="center"/>
      <w:rPr>
        <w:sz w:val="20"/>
        <w:szCs w:val="20"/>
      </w:rPr>
    </w:pPr>
    <w:r>
      <w:rPr>
        <w:sz w:val="20"/>
        <w:szCs w:val="20"/>
      </w:rPr>
      <w:t xml:space="preserve">- </w:t>
    </w:r>
    <w:r>
      <w:rPr>
        <w:sz w:val="20"/>
        <w:szCs w:val="20"/>
      </w:rPr>
      <w:fldChar w:fldCharType="begin"/>
    </w:r>
    <w:r>
      <w:rPr>
        <w:sz w:val="20"/>
        <w:szCs w:val="20"/>
      </w:rPr>
      <w:instrText xml:space="preserve"> PAGE  \* MERGEFORMAT </w:instrText>
    </w:r>
    <w:r>
      <w:rPr>
        <w:sz w:val="20"/>
        <w:szCs w:val="20"/>
      </w:rPr>
      <w:fldChar w:fldCharType="separate"/>
    </w:r>
    <w:r w:rsidR="00BA7686">
      <w:rPr>
        <w:noProof/>
        <w:sz w:val="20"/>
        <w:szCs w:val="20"/>
      </w:rPr>
      <w:t>23</w:t>
    </w:r>
    <w:r>
      <w:rPr>
        <w:sz w:val="20"/>
        <w:szCs w:val="20"/>
      </w:rPr>
      <w:fldChar w:fldCharType="end"/>
    </w:r>
    <w:r>
      <w:rPr>
        <w:sz w:val="20"/>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CB2" w:rsidRDefault="00F56CB2">
    <w:pPr>
      <w:pStyle w:val="Header"/>
      <w:jc w:val="right"/>
      <w:rPr>
        <w:b/>
        <w:sz w:val="20"/>
        <w:szCs w:val="20"/>
      </w:rPr>
    </w:pPr>
    <w:r>
      <w:rPr>
        <w:b/>
        <w:sz w:val="20"/>
        <w:szCs w:val="20"/>
        <w:u w:val="single"/>
      </w:rPr>
      <w:t>Torys’ Comments</w:t>
    </w:r>
    <w:r>
      <w:rPr>
        <w:b/>
        <w:sz w:val="20"/>
        <w:szCs w:val="20"/>
      </w:rPr>
      <w:t>:  April 11, 2017</w:t>
    </w:r>
  </w:p>
  <w:p w:rsidR="007B3A3F" w:rsidRDefault="007B3A3F">
    <w:pPr>
      <w:pStyle w:val="Header"/>
      <w:jc w:val="right"/>
      <w:rPr>
        <w:b/>
        <w:sz w:val="20"/>
        <w:szCs w:val="20"/>
      </w:rPr>
    </w:pPr>
  </w:p>
  <w:p w:rsidR="00F56CB2" w:rsidRDefault="00F56CB2">
    <w:pPr>
      <w:pStyle w:val="Header"/>
      <w:rPr>
        <w:b/>
        <w:u w:val="double"/>
      </w:rPr>
    </w:pPr>
    <w:r>
      <w:rPr>
        <w:b/>
        <w:u w:val="double"/>
      </w:rPr>
      <w:t>CONFIDENTIAL AND PRIVILEGED</w:t>
    </w:r>
  </w:p>
  <w:p w:rsidR="00F56CB2" w:rsidRDefault="00F56CB2">
    <w:pPr>
      <w:pStyle w:val="Header"/>
      <w:rPr>
        <w:b/>
      </w:rPr>
    </w:pPr>
    <w:r>
      <w:rPr>
        <w:b/>
      </w:rPr>
      <w:t>Preliminary Draft for Discussion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E86974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3A0543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128BF9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93C167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3A040C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DE9E6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578B33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74CD26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3A97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6F02C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A2B2D"/>
    <w:multiLevelType w:val="hybridMultilevel"/>
    <w:tmpl w:val="56BE29FE"/>
    <w:lvl w:ilvl="0" w:tplc="8952784A">
      <w:start w:val="1"/>
      <w:numFmt w:val="lowerLetter"/>
      <w:lvlText w:val="(%1)"/>
      <w:lvlJc w:val="left"/>
      <w:pPr>
        <w:ind w:left="1080" w:hanging="360"/>
      </w:pPr>
      <w:rPr>
        <w:rFonts w:hint="default"/>
      </w:rPr>
    </w:lvl>
    <w:lvl w:ilvl="1" w:tplc="28EAE32A" w:tentative="1">
      <w:start w:val="1"/>
      <w:numFmt w:val="lowerLetter"/>
      <w:lvlText w:val="%2."/>
      <w:lvlJc w:val="left"/>
      <w:pPr>
        <w:ind w:left="1800" w:hanging="360"/>
      </w:pPr>
    </w:lvl>
    <w:lvl w:ilvl="2" w:tplc="7F2C4D28" w:tentative="1">
      <w:start w:val="1"/>
      <w:numFmt w:val="lowerRoman"/>
      <w:lvlText w:val="%3."/>
      <w:lvlJc w:val="right"/>
      <w:pPr>
        <w:ind w:left="2520" w:hanging="180"/>
      </w:pPr>
    </w:lvl>
    <w:lvl w:ilvl="3" w:tplc="5ED8EC82" w:tentative="1">
      <w:start w:val="1"/>
      <w:numFmt w:val="decimal"/>
      <w:lvlText w:val="%4."/>
      <w:lvlJc w:val="left"/>
      <w:pPr>
        <w:ind w:left="3240" w:hanging="360"/>
      </w:pPr>
    </w:lvl>
    <w:lvl w:ilvl="4" w:tplc="BF687818" w:tentative="1">
      <w:start w:val="1"/>
      <w:numFmt w:val="lowerLetter"/>
      <w:lvlText w:val="%5."/>
      <w:lvlJc w:val="left"/>
      <w:pPr>
        <w:ind w:left="3960" w:hanging="360"/>
      </w:pPr>
    </w:lvl>
    <w:lvl w:ilvl="5" w:tplc="B62654A0" w:tentative="1">
      <w:start w:val="1"/>
      <w:numFmt w:val="lowerRoman"/>
      <w:lvlText w:val="%6."/>
      <w:lvlJc w:val="right"/>
      <w:pPr>
        <w:ind w:left="4680" w:hanging="180"/>
      </w:pPr>
    </w:lvl>
    <w:lvl w:ilvl="6" w:tplc="11182D4C" w:tentative="1">
      <w:start w:val="1"/>
      <w:numFmt w:val="decimal"/>
      <w:lvlText w:val="%7."/>
      <w:lvlJc w:val="left"/>
      <w:pPr>
        <w:ind w:left="5400" w:hanging="360"/>
      </w:pPr>
    </w:lvl>
    <w:lvl w:ilvl="7" w:tplc="16A666F4" w:tentative="1">
      <w:start w:val="1"/>
      <w:numFmt w:val="lowerLetter"/>
      <w:lvlText w:val="%8."/>
      <w:lvlJc w:val="left"/>
      <w:pPr>
        <w:ind w:left="6120" w:hanging="360"/>
      </w:pPr>
    </w:lvl>
    <w:lvl w:ilvl="8" w:tplc="124E78FC" w:tentative="1">
      <w:start w:val="1"/>
      <w:numFmt w:val="lowerRoman"/>
      <w:lvlText w:val="%9."/>
      <w:lvlJc w:val="right"/>
      <w:pPr>
        <w:ind w:left="6840" w:hanging="180"/>
      </w:pPr>
    </w:lvl>
  </w:abstractNum>
  <w:abstractNum w:abstractNumId="11" w15:restartNumberingAfterBreak="0">
    <w:nsid w:val="07683E1A"/>
    <w:multiLevelType w:val="multilevel"/>
    <w:tmpl w:val="6B46C0B0"/>
    <w:name w:val="zzmpMultiLevel||Multi-Level|2|4|1|1|2|0||1|0|0||1|0|0||1|0|0||1|0|0||1|0|0||1|0|0||1|0|0||1|0|0||"/>
    <w:lvl w:ilvl="0">
      <w:start w:val="1"/>
      <w:numFmt w:val="decimal"/>
      <w:pStyle w:val="MultiLevelL1"/>
      <w:lvlText w:val="%1."/>
      <w:lvlJc w:val="left"/>
      <w:pPr>
        <w:tabs>
          <w:tab w:val="num" w:pos="720"/>
        </w:tabs>
        <w:ind w:left="720" w:hanging="720"/>
      </w:pPr>
      <w:rPr>
        <w:rFonts w:ascii="Arial" w:hAnsi="Arial" w:cs="Arial"/>
        <w:b w:val="0"/>
        <w:i w:val="0"/>
        <w:caps w:val="0"/>
        <w:sz w:val="22"/>
        <w:u w:val="none"/>
      </w:rPr>
    </w:lvl>
    <w:lvl w:ilvl="1">
      <w:start w:val="1"/>
      <w:numFmt w:val="lowerLetter"/>
      <w:pStyle w:val="MultiLevelL2"/>
      <w:lvlText w:val="(%2)"/>
      <w:lvlJc w:val="left"/>
      <w:pPr>
        <w:tabs>
          <w:tab w:val="num" w:pos="1440"/>
        </w:tabs>
        <w:ind w:left="1440" w:hanging="720"/>
      </w:pPr>
      <w:rPr>
        <w:rFonts w:ascii="Arial" w:hAnsi="Arial" w:cs="Arial"/>
        <w:b w:val="0"/>
        <w:i w:val="0"/>
        <w:caps w:val="0"/>
        <w:sz w:val="22"/>
        <w:u w:val="none"/>
      </w:rPr>
    </w:lvl>
    <w:lvl w:ilvl="2">
      <w:start w:val="1"/>
      <w:numFmt w:val="lowerRoman"/>
      <w:pStyle w:val="MultiLevelL3"/>
      <w:lvlText w:val="(%3)"/>
      <w:lvlJc w:val="left"/>
      <w:pPr>
        <w:tabs>
          <w:tab w:val="num" w:pos="2160"/>
        </w:tabs>
        <w:ind w:left="2160" w:hanging="720"/>
      </w:pPr>
      <w:rPr>
        <w:rFonts w:ascii="Arial" w:hAnsi="Arial" w:cs="Arial"/>
        <w:b w:val="0"/>
        <w:i w:val="0"/>
        <w:caps w:val="0"/>
        <w:sz w:val="22"/>
        <w:u w:val="none"/>
      </w:rPr>
    </w:lvl>
    <w:lvl w:ilvl="3">
      <w:start w:val="1"/>
      <w:numFmt w:val="upperLetter"/>
      <w:pStyle w:val="MultiLevelL4"/>
      <w:lvlText w:val="(%4)"/>
      <w:lvlJc w:val="left"/>
      <w:pPr>
        <w:tabs>
          <w:tab w:val="num" w:pos="2880"/>
        </w:tabs>
        <w:ind w:left="2880" w:hanging="720"/>
      </w:pPr>
      <w:rPr>
        <w:rFonts w:ascii="Arial" w:hAnsi="Arial" w:cs="Arial"/>
        <w:b w:val="0"/>
        <w:i w:val="0"/>
        <w:caps w:val="0"/>
        <w:sz w:val="22"/>
        <w:u w:val="none"/>
      </w:rPr>
    </w:lvl>
    <w:lvl w:ilvl="4">
      <w:start w:val="1"/>
      <w:numFmt w:val="upperRoman"/>
      <w:pStyle w:val="MultiLevelL5"/>
      <w:lvlText w:val="(%5)"/>
      <w:lvlJc w:val="left"/>
      <w:pPr>
        <w:tabs>
          <w:tab w:val="num" w:pos="3600"/>
        </w:tabs>
        <w:ind w:left="3600" w:hanging="720"/>
      </w:pPr>
      <w:rPr>
        <w:rFonts w:ascii="Arial" w:hAnsi="Arial" w:cs="Arial"/>
        <w:b w:val="0"/>
        <w:i w:val="0"/>
        <w:caps w:val="0"/>
        <w:sz w:val="22"/>
        <w:u w:val="none"/>
      </w:rPr>
    </w:lvl>
    <w:lvl w:ilvl="5">
      <w:start w:val="1"/>
      <w:numFmt w:val="lowerLetter"/>
      <w:pStyle w:val="MultiLevelL6"/>
      <w:lvlText w:val="%6."/>
      <w:lvlJc w:val="left"/>
      <w:pPr>
        <w:tabs>
          <w:tab w:val="num" w:pos="4320"/>
        </w:tabs>
        <w:ind w:left="4320" w:hanging="720"/>
      </w:pPr>
      <w:rPr>
        <w:rFonts w:ascii="Arial" w:hAnsi="Arial" w:cs="Arial"/>
        <w:b w:val="0"/>
        <w:i w:val="0"/>
        <w:caps w:val="0"/>
        <w:sz w:val="22"/>
        <w:u w:val="none"/>
      </w:rPr>
    </w:lvl>
    <w:lvl w:ilvl="6">
      <w:start w:val="1"/>
      <w:numFmt w:val="lowerRoman"/>
      <w:pStyle w:val="MultiLevelL7"/>
      <w:lvlText w:val="%7."/>
      <w:lvlJc w:val="left"/>
      <w:pPr>
        <w:tabs>
          <w:tab w:val="num" w:pos="5040"/>
        </w:tabs>
        <w:ind w:left="5040" w:hanging="720"/>
      </w:pPr>
      <w:rPr>
        <w:rFonts w:ascii="Arial" w:hAnsi="Arial" w:cs="Arial"/>
        <w:b w:val="0"/>
        <w:i w:val="0"/>
        <w:caps w:val="0"/>
        <w:sz w:val="22"/>
        <w:u w:val="none"/>
      </w:rPr>
    </w:lvl>
    <w:lvl w:ilvl="7">
      <w:start w:val="1"/>
      <w:numFmt w:val="bullet"/>
      <w:lvlRestart w:val="0"/>
      <w:pStyle w:val="MultiLevelL8"/>
      <w:lvlText w:val="·"/>
      <w:lvlJc w:val="left"/>
      <w:pPr>
        <w:tabs>
          <w:tab w:val="num" w:pos="720"/>
        </w:tabs>
        <w:ind w:left="720" w:hanging="720"/>
      </w:pPr>
      <w:rPr>
        <w:rFonts w:ascii="Symbol" w:hAnsi="Symbol" w:hint="default"/>
        <w:b w:val="0"/>
        <w:i w:val="0"/>
        <w:caps w:val="0"/>
        <w:sz w:val="24"/>
        <w:u w:val="none"/>
      </w:rPr>
    </w:lvl>
    <w:lvl w:ilvl="8">
      <w:start w:val="1"/>
      <w:numFmt w:val="bullet"/>
      <w:lvlRestart w:val="0"/>
      <w:pStyle w:val="MultiLevelL9"/>
      <w:lvlText w:val="·"/>
      <w:lvlJc w:val="left"/>
      <w:pPr>
        <w:tabs>
          <w:tab w:val="num" w:pos="1440"/>
        </w:tabs>
        <w:ind w:left="1440" w:hanging="720"/>
      </w:pPr>
      <w:rPr>
        <w:rFonts w:ascii="Symbol" w:hAnsi="Symbol" w:hint="default"/>
        <w:b w:val="0"/>
        <w:i w:val="0"/>
        <w:caps w:val="0"/>
        <w:u w:val="none"/>
      </w:rPr>
    </w:lvl>
  </w:abstractNum>
  <w:abstractNum w:abstractNumId="12" w15:restartNumberingAfterBreak="0">
    <w:nsid w:val="09E25AB7"/>
    <w:multiLevelType w:val="hybridMultilevel"/>
    <w:tmpl w:val="0AF81E12"/>
    <w:lvl w:ilvl="0" w:tplc="B35A2E4A">
      <w:start w:val="1"/>
      <w:numFmt w:val="decimal"/>
      <w:lvlText w:val="(%1)"/>
      <w:lvlJc w:val="left"/>
      <w:pPr>
        <w:ind w:left="720" w:hanging="360"/>
      </w:pPr>
      <w:rPr>
        <w:rFonts w:hint="default"/>
        <w:b/>
      </w:rPr>
    </w:lvl>
    <w:lvl w:ilvl="1" w:tplc="3C54EF6E">
      <w:start w:val="1"/>
      <w:numFmt w:val="lowerLetter"/>
      <w:lvlText w:val="%2."/>
      <w:lvlJc w:val="left"/>
      <w:pPr>
        <w:ind w:left="1440" w:hanging="360"/>
      </w:pPr>
    </w:lvl>
    <w:lvl w:ilvl="2" w:tplc="D9C61C78" w:tentative="1">
      <w:start w:val="1"/>
      <w:numFmt w:val="lowerRoman"/>
      <w:lvlText w:val="%3."/>
      <w:lvlJc w:val="right"/>
      <w:pPr>
        <w:ind w:left="2160" w:hanging="180"/>
      </w:pPr>
    </w:lvl>
    <w:lvl w:ilvl="3" w:tplc="799E31A0" w:tentative="1">
      <w:start w:val="1"/>
      <w:numFmt w:val="decimal"/>
      <w:lvlText w:val="%4."/>
      <w:lvlJc w:val="left"/>
      <w:pPr>
        <w:ind w:left="2880" w:hanging="360"/>
      </w:pPr>
    </w:lvl>
    <w:lvl w:ilvl="4" w:tplc="4252A278" w:tentative="1">
      <w:start w:val="1"/>
      <w:numFmt w:val="lowerLetter"/>
      <w:lvlText w:val="%5."/>
      <w:lvlJc w:val="left"/>
      <w:pPr>
        <w:ind w:left="3600" w:hanging="360"/>
      </w:pPr>
    </w:lvl>
    <w:lvl w:ilvl="5" w:tplc="4508BD62" w:tentative="1">
      <w:start w:val="1"/>
      <w:numFmt w:val="lowerRoman"/>
      <w:lvlText w:val="%6."/>
      <w:lvlJc w:val="right"/>
      <w:pPr>
        <w:ind w:left="4320" w:hanging="180"/>
      </w:pPr>
    </w:lvl>
    <w:lvl w:ilvl="6" w:tplc="0320231A" w:tentative="1">
      <w:start w:val="1"/>
      <w:numFmt w:val="decimal"/>
      <w:lvlText w:val="%7."/>
      <w:lvlJc w:val="left"/>
      <w:pPr>
        <w:ind w:left="5040" w:hanging="360"/>
      </w:pPr>
    </w:lvl>
    <w:lvl w:ilvl="7" w:tplc="138A1096" w:tentative="1">
      <w:start w:val="1"/>
      <w:numFmt w:val="lowerLetter"/>
      <w:lvlText w:val="%8."/>
      <w:lvlJc w:val="left"/>
      <w:pPr>
        <w:ind w:left="5760" w:hanging="360"/>
      </w:pPr>
    </w:lvl>
    <w:lvl w:ilvl="8" w:tplc="AA38A598" w:tentative="1">
      <w:start w:val="1"/>
      <w:numFmt w:val="lowerRoman"/>
      <w:lvlText w:val="%9."/>
      <w:lvlJc w:val="right"/>
      <w:pPr>
        <w:ind w:left="6480" w:hanging="180"/>
      </w:pPr>
    </w:lvl>
  </w:abstractNum>
  <w:abstractNum w:abstractNumId="13" w15:restartNumberingAfterBreak="0">
    <w:nsid w:val="0C2D4957"/>
    <w:multiLevelType w:val="hybridMultilevel"/>
    <w:tmpl w:val="20C4763E"/>
    <w:lvl w:ilvl="0" w:tplc="CE1A3304">
      <w:start w:val="1"/>
      <w:numFmt w:val="decimal"/>
      <w:lvlText w:val="%1."/>
      <w:lvlJc w:val="left"/>
      <w:pPr>
        <w:ind w:left="720" w:hanging="360"/>
      </w:pPr>
      <w:rPr>
        <w:rFonts w:hint="default"/>
        <w:b w:val="0"/>
        <w:i w:val="0"/>
      </w:rPr>
    </w:lvl>
    <w:lvl w:ilvl="1" w:tplc="8A765BB0">
      <w:start w:val="1"/>
      <w:numFmt w:val="lowerLetter"/>
      <w:lvlText w:val="%2."/>
      <w:lvlJc w:val="left"/>
      <w:pPr>
        <w:ind w:left="1440" w:hanging="360"/>
      </w:pPr>
    </w:lvl>
    <w:lvl w:ilvl="2" w:tplc="0A3C1A6C">
      <w:start w:val="1"/>
      <w:numFmt w:val="lowerRoman"/>
      <w:lvlText w:val="%3."/>
      <w:lvlJc w:val="right"/>
      <w:pPr>
        <w:ind w:left="2160" w:hanging="180"/>
      </w:pPr>
    </w:lvl>
    <w:lvl w:ilvl="3" w:tplc="E13A2578" w:tentative="1">
      <w:start w:val="1"/>
      <w:numFmt w:val="decimal"/>
      <w:lvlText w:val="%4."/>
      <w:lvlJc w:val="left"/>
      <w:pPr>
        <w:ind w:left="2880" w:hanging="360"/>
      </w:pPr>
    </w:lvl>
    <w:lvl w:ilvl="4" w:tplc="B382F2D0" w:tentative="1">
      <w:start w:val="1"/>
      <w:numFmt w:val="lowerLetter"/>
      <w:lvlText w:val="%5."/>
      <w:lvlJc w:val="left"/>
      <w:pPr>
        <w:ind w:left="3600" w:hanging="360"/>
      </w:pPr>
    </w:lvl>
    <w:lvl w:ilvl="5" w:tplc="A81E384A" w:tentative="1">
      <w:start w:val="1"/>
      <w:numFmt w:val="lowerRoman"/>
      <w:lvlText w:val="%6."/>
      <w:lvlJc w:val="right"/>
      <w:pPr>
        <w:ind w:left="4320" w:hanging="180"/>
      </w:pPr>
    </w:lvl>
    <w:lvl w:ilvl="6" w:tplc="C484A2EE" w:tentative="1">
      <w:start w:val="1"/>
      <w:numFmt w:val="decimal"/>
      <w:lvlText w:val="%7."/>
      <w:lvlJc w:val="left"/>
      <w:pPr>
        <w:ind w:left="5040" w:hanging="360"/>
      </w:pPr>
    </w:lvl>
    <w:lvl w:ilvl="7" w:tplc="0D888F1C" w:tentative="1">
      <w:start w:val="1"/>
      <w:numFmt w:val="lowerLetter"/>
      <w:lvlText w:val="%8."/>
      <w:lvlJc w:val="left"/>
      <w:pPr>
        <w:ind w:left="5760" w:hanging="360"/>
      </w:pPr>
    </w:lvl>
    <w:lvl w:ilvl="8" w:tplc="A8B25B96" w:tentative="1">
      <w:start w:val="1"/>
      <w:numFmt w:val="lowerRoman"/>
      <w:lvlText w:val="%9."/>
      <w:lvlJc w:val="right"/>
      <w:pPr>
        <w:ind w:left="6480" w:hanging="180"/>
      </w:pPr>
    </w:lvl>
  </w:abstractNum>
  <w:abstractNum w:abstractNumId="14" w15:restartNumberingAfterBreak="0">
    <w:nsid w:val="0F2117D1"/>
    <w:multiLevelType w:val="hybridMultilevel"/>
    <w:tmpl w:val="AF12BED0"/>
    <w:lvl w:ilvl="0" w:tplc="A322C216">
      <w:start w:val="1"/>
      <w:numFmt w:val="decimal"/>
      <w:lvlText w:val="%1."/>
      <w:lvlJc w:val="left"/>
      <w:pPr>
        <w:ind w:left="720" w:hanging="360"/>
      </w:pPr>
      <w:rPr>
        <w:rFonts w:hint="default"/>
      </w:rPr>
    </w:lvl>
    <w:lvl w:ilvl="1" w:tplc="654EE7B4">
      <w:start w:val="1"/>
      <w:numFmt w:val="lowerLetter"/>
      <w:lvlText w:val="%2."/>
      <w:lvlJc w:val="left"/>
      <w:pPr>
        <w:ind w:left="1440" w:hanging="360"/>
      </w:pPr>
    </w:lvl>
    <w:lvl w:ilvl="2" w:tplc="9D287AD2">
      <w:start w:val="1"/>
      <w:numFmt w:val="lowerRoman"/>
      <w:lvlText w:val="%3."/>
      <w:lvlJc w:val="right"/>
      <w:pPr>
        <w:ind w:left="2160" w:hanging="180"/>
      </w:pPr>
    </w:lvl>
    <w:lvl w:ilvl="3" w:tplc="2DACA9E2" w:tentative="1">
      <w:start w:val="1"/>
      <w:numFmt w:val="decimal"/>
      <w:lvlText w:val="%4."/>
      <w:lvlJc w:val="left"/>
      <w:pPr>
        <w:ind w:left="2880" w:hanging="360"/>
      </w:pPr>
    </w:lvl>
    <w:lvl w:ilvl="4" w:tplc="C3D0BAB0" w:tentative="1">
      <w:start w:val="1"/>
      <w:numFmt w:val="lowerLetter"/>
      <w:lvlText w:val="%5."/>
      <w:lvlJc w:val="left"/>
      <w:pPr>
        <w:ind w:left="3600" w:hanging="360"/>
      </w:pPr>
    </w:lvl>
    <w:lvl w:ilvl="5" w:tplc="8C5ABE10" w:tentative="1">
      <w:start w:val="1"/>
      <w:numFmt w:val="lowerRoman"/>
      <w:lvlText w:val="%6."/>
      <w:lvlJc w:val="right"/>
      <w:pPr>
        <w:ind w:left="4320" w:hanging="180"/>
      </w:pPr>
    </w:lvl>
    <w:lvl w:ilvl="6" w:tplc="0CE88AE0" w:tentative="1">
      <w:start w:val="1"/>
      <w:numFmt w:val="decimal"/>
      <w:lvlText w:val="%7."/>
      <w:lvlJc w:val="left"/>
      <w:pPr>
        <w:ind w:left="5040" w:hanging="360"/>
      </w:pPr>
    </w:lvl>
    <w:lvl w:ilvl="7" w:tplc="4D4A8B68" w:tentative="1">
      <w:start w:val="1"/>
      <w:numFmt w:val="lowerLetter"/>
      <w:lvlText w:val="%8."/>
      <w:lvlJc w:val="left"/>
      <w:pPr>
        <w:ind w:left="5760" w:hanging="360"/>
      </w:pPr>
    </w:lvl>
    <w:lvl w:ilvl="8" w:tplc="8CDA182A" w:tentative="1">
      <w:start w:val="1"/>
      <w:numFmt w:val="lowerRoman"/>
      <w:lvlText w:val="%9."/>
      <w:lvlJc w:val="right"/>
      <w:pPr>
        <w:ind w:left="6480" w:hanging="180"/>
      </w:pPr>
    </w:lvl>
  </w:abstractNum>
  <w:abstractNum w:abstractNumId="15" w15:restartNumberingAfterBreak="0">
    <w:nsid w:val="125049BA"/>
    <w:multiLevelType w:val="hybridMultilevel"/>
    <w:tmpl w:val="5F244F0C"/>
    <w:lvl w:ilvl="0" w:tplc="9072DCB8">
      <w:start w:val="1"/>
      <w:numFmt w:val="bullet"/>
      <w:lvlText w:val=""/>
      <w:lvlJc w:val="left"/>
      <w:pPr>
        <w:ind w:left="1498" w:hanging="360"/>
      </w:pPr>
      <w:rPr>
        <w:rFonts w:ascii="Symbol" w:hAnsi="Symbol" w:hint="default"/>
      </w:rPr>
    </w:lvl>
    <w:lvl w:ilvl="1" w:tplc="0E52DE68" w:tentative="1">
      <w:start w:val="1"/>
      <w:numFmt w:val="bullet"/>
      <w:lvlText w:val="o"/>
      <w:lvlJc w:val="left"/>
      <w:pPr>
        <w:ind w:left="2218" w:hanging="360"/>
      </w:pPr>
      <w:rPr>
        <w:rFonts w:ascii="Courier New" w:hAnsi="Courier New" w:cs="Courier New" w:hint="default"/>
      </w:rPr>
    </w:lvl>
    <w:lvl w:ilvl="2" w:tplc="F5E05E74" w:tentative="1">
      <w:start w:val="1"/>
      <w:numFmt w:val="bullet"/>
      <w:lvlText w:val=""/>
      <w:lvlJc w:val="left"/>
      <w:pPr>
        <w:ind w:left="2938" w:hanging="360"/>
      </w:pPr>
      <w:rPr>
        <w:rFonts w:ascii="Wingdings" w:hAnsi="Wingdings" w:hint="default"/>
      </w:rPr>
    </w:lvl>
    <w:lvl w:ilvl="3" w:tplc="184A10E8" w:tentative="1">
      <w:start w:val="1"/>
      <w:numFmt w:val="bullet"/>
      <w:lvlText w:val=""/>
      <w:lvlJc w:val="left"/>
      <w:pPr>
        <w:ind w:left="3658" w:hanging="360"/>
      </w:pPr>
      <w:rPr>
        <w:rFonts w:ascii="Symbol" w:hAnsi="Symbol" w:hint="default"/>
      </w:rPr>
    </w:lvl>
    <w:lvl w:ilvl="4" w:tplc="F2788C40" w:tentative="1">
      <w:start w:val="1"/>
      <w:numFmt w:val="bullet"/>
      <w:lvlText w:val="o"/>
      <w:lvlJc w:val="left"/>
      <w:pPr>
        <w:ind w:left="4378" w:hanging="360"/>
      </w:pPr>
      <w:rPr>
        <w:rFonts w:ascii="Courier New" w:hAnsi="Courier New" w:cs="Courier New" w:hint="default"/>
      </w:rPr>
    </w:lvl>
    <w:lvl w:ilvl="5" w:tplc="E2CC447C" w:tentative="1">
      <w:start w:val="1"/>
      <w:numFmt w:val="bullet"/>
      <w:lvlText w:val=""/>
      <w:lvlJc w:val="left"/>
      <w:pPr>
        <w:ind w:left="5098" w:hanging="360"/>
      </w:pPr>
      <w:rPr>
        <w:rFonts w:ascii="Wingdings" w:hAnsi="Wingdings" w:hint="default"/>
      </w:rPr>
    </w:lvl>
    <w:lvl w:ilvl="6" w:tplc="B1AA611E" w:tentative="1">
      <w:start w:val="1"/>
      <w:numFmt w:val="bullet"/>
      <w:lvlText w:val=""/>
      <w:lvlJc w:val="left"/>
      <w:pPr>
        <w:ind w:left="5818" w:hanging="360"/>
      </w:pPr>
      <w:rPr>
        <w:rFonts w:ascii="Symbol" w:hAnsi="Symbol" w:hint="default"/>
      </w:rPr>
    </w:lvl>
    <w:lvl w:ilvl="7" w:tplc="44388368" w:tentative="1">
      <w:start w:val="1"/>
      <w:numFmt w:val="bullet"/>
      <w:lvlText w:val="o"/>
      <w:lvlJc w:val="left"/>
      <w:pPr>
        <w:ind w:left="6538" w:hanging="360"/>
      </w:pPr>
      <w:rPr>
        <w:rFonts w:ascii="Courier New" w:hAnsi="Courier New" w:cs="Courier New" w:hint="default"/>
      </w:rPr>
    </w:lvl>
    <w:lvl w:ilvl="8" w:tplc="A000A9C6" w:tentative="1">
      <w:start w:val="1"/>
      <w:numFmt w:val="bullet"/>
      <w:lvlText w:val=""/>
      <w:lvlJc w:val="left"/>
      <w:pPr>
        <w:ind w:left="7258" w:hanging="360"/>
      </w:pPr>
      <w:rPr>
        <w:rFonts w:ascii="Wingdings" w:hAnsi="Wingdings" w:hint="default"/>
      </w:rPr>
    </w:lvl>
  </w:abstractNum>
  <w:abstractNum w:abstractNumId="16" w15:restartNumberingAfterBreak="0">
    <w:nsid w:val="174B41F4"/>
    <w:multiLevelType w:val="hybridMultilevel"/>
    <w:tmpl w:val="B74EC3D8"/>
    <w:lvl w:ilvl="0" w:tplc="1914680E">
      <w:start w:val="1"/>
      <w:numFmt w:val="decimal"/>
      <w:lvlText w:val="(%1)"/>
      <w:lvlJc w:val="left"/>
      <w:pPr>
        <w:ind w:left="720" w:hanging="360"/>
      </w:pPr>
      <w:rPr>
        <w:rFonts w:hint="default"/>
        <w:b w:val="0"/>
      </w:rPr>
    </w:lvl>
    <w:lvl w:ilvl="1" w:tplc="5D8656C8">
      <w:start w:val="1"/>
      <w:numFmt w:val="lowerLetter"/>
      <w:lvlText w:val="%2."/>
      <w:lvlJc w:val="left"/>
      <w:pPr>
        <w:ind w:left="1440" w:hanging="360"/>
      </w:pPr>
      <w:rPr>
        <w:b/>
      </w:rPr>
    </w:lvl>
    <w:lvl w:ilvl="2" w:tplc="A3F812B4">
      <w:start w:val="1"/>
      <w:numFmt w:val="lowerRoman"/>
      <w:lvlText w:val="%3."/>
      <w:lvlJc w:val="right"/>
      <w:pPr>
        <w:ind w:left="2160" w:hanging="180"/>
      </w:pPr>
    </w:lvl>
    <w:lvl w:ilvl="3" w:tplc="F126D2F0" w:tentative="1">
      <w:start w:val="1"/>
      <w:numFmt w:val="decimal"/>
      <w:lvlText w:val="%4."/>
      <w:lvlJc w:val="left"/>
      <w:pPr>
        <w:ind w:left="2880" w:hanging="360"/>
      </w:pPr>
    </w:lvl>
    <w:lvl w:ilvl="4" w:tplc="FE104B80" w:tentative="1">
      <w:start w:val="1"/>
      <w:numFmt w:val="lowerLetter"/>
      <w:lvlText w:val="%5."/>
      <w:lvlJc w:val="left"/>
      <w:pPr>
        <w:ind w:left="3600" w:hanging="360"/>
      </w:pPr>
    </w:lvl>
    <w:lvl w:ilvl="5" w:tplc="F766AF44" w:tentative="1">
      <w:start w:val="1"/>
      <w:numFmt w:val="lowerRoman"/>
      <w:lvlText w:val="%6."/>
      <w:lvlJc w:val="right"/>
      <w:pPr>
        <w:ind w:left="4320" w:hanging="180"/>
      </w:pPr>
    </w:lvl>
    <w:lvl w:ilvl="6" w:tplc="693ED0B8" w:tentative="1">
      <w:start w:val="1"/>
      <w:numFmt w:val="decimal"/>
      <w:lvlText w:val="%7."/>
      <w:lvlJc w:val="left"/>
      <w:pPr>
        <w:ind w:left="5040" w:hanging="360"/>
      </w:pPr>
    </w:lvl>
    <w:lvl w:ilvl="7" w:tplc="A934A69A" w:tentative="1">
      <w:start w:val="1"/>
      <w:numFmt w:val="lowerLetter"/>
      <w:lvlText w:val="%8."/>
      <w:lvlJc w:val="left"/>
      <w:pPr>
        <w:ind w:left="5760" w:hanging="360"/>
      </w:pPr>
    </w:lvl>
    <w:lvl w:ilvl="8" w:tplc="D24EB28A" w:tentative="1">
      <w:start w:val="1"/>
      <w:numFmt w:val="lowerRoman"/>
      <w:lvlText w:val="%9."/>
      <w:lvlJc w:val="right"/>
      <w:pPr>
        <w:ind w:left="6480" w:hanging="180"/>
      </w:pPr>
    </w:lvl>
  </w:abstractNum>
  <w:abstractNum w:abstractNumId="17" w15:restartNumberingAfterBreak="0">
    <w:nsid w:val="17D90E3D"/>
    <w:multiLevelType w:val="hybridMultilevel"/>
    <w:tmpl w:val="BC603092"/>
    <w:lvl w:ilvl="0" w:tplc="7B26F9C8">
      <w:start w:val="1"/>
      <w:numFmt w:val="decimal"/>
      <w:lvlText w:val="(%1)"/>
      <w:lvlJc w:val="left"/>
      <w:pPr>
        <w:ind w:left="720" w:hanging="360"/>
      </w:pPr>
      <w:rPr>
        <w:rFonts w:hint="default"/>
      </w:rPr>
    </w:lvl>
    <w:lvl w:ilvl="1" w:tplc="0E1A6352" w:tentative="1">
      <w:start w:val="1"/>
      <w:numFmt w:val="lowerLetter"/>
      <w:lvlText w:val="%2."/>
      <w:lvlJc w:val="left"/>
      <w:pPr>
        <w:ind w:left="1440" w:hanging="360"/>
      </w:pPr>
    </w:lvl>
    <w:lvl w:ilvl="2" w:tplc="C33C4A84" w:tentative="1">
      <w:start w:val="1"/>
      <w:numFmt w:val="lowerRoman"/>
      <w:lvlText w:val="%3."/>
      <w:lvlJc w:val="right"/>
      <w:pPr>
        <w:ind w:left="2160" w:hanging="180"/>
      </w:pPr>
    </w:lvl>
    <w:lvl w:ilvl="3" w:tplc="106C6E7A" w:tentative="1">
      <w:start w:val="1"/>
      <w:numFmt w:val="decimal"/>
      <w:lvlText w:val="%4."/>
      <w:lvlJc w:val="left"/>
      <w:pPr>
        <w:ind w:left="2880" w:hanging="360"/>
      </w:pPr>
    </w:lvl>
    <w:lvl w:ilvl="4" w:tplc="D954FAD8" w:tentative="1">
      <w:start w:val="1"/>
      <w:numFmt w:val="lowerLetter"/>
      <w:lvlText w:val="%5."/>
      <w:lvlJc w:val="left"/>
      <w:pPr>
        <w:ind w:left="3600" w:hanging="360"/>
      </w:pPr>
    </w:lvl>
    <w:lvl w:ilvl="5" w:tplc="B5364860" w:tentative="1">
      <w:start w:val="1"/>
      <w:numFmt w:val="lowerRoman"/>
      <w:lvlText w:val="%6."/>
      <w:lvlJc w:val="right"/>
      <w:pPr>
        <w:ind w:left="4320" w:hanging="180"/>
      </w:pPr>
    </w:lvl>
    <w:lvl w:ilvl="6" w:tplc="E348E9FE" w:tentative="1">
      <w:start w:val="1"/>
      <w:numFmt w:val="decimal"/>
      <w:lvlText w:val="%7."/>
      <w:lvlJc w:val="left"/>
      <w:pPr>
        <w:ind w:left="5040" w:hanging="360"/>
      </w:pPr>
    </w:lvl>
    <w:lvl w:ilvl="7" w:tplc="4FFA9078" w:tentative="1">
      <w:start w:val="1"/>
      <w:numFmt w:val="lowerLetter"/>
      <w:lvlText w:val="%8."/>
      <w:lvlJc w:val="left"/>
      <w:pPr>
        <w:ind w:left="5760" w:hanging="360"/>
      </w:pPr>
    </w:lvl>
    <w:lvl w:ilvl="8" w:tplc="B1F81BD0" w:tentative="1">
      <w:start w:val="1"/>
      <w:numFmt w:val="lowerRoman"/>
      <w:lvlText w:val="%9."/>
      <w:lvlJc w:val="right"/>
      <w:pPr>
        <w:ind w:left="6480" w:hanging="180"/>
      </w:pPr>
    </w:lvl>
  </w:abstractNum>
  <w:abstractNum w:abstractNumId="18" w15:restartNumberingAfterBreak="0">
    <w:nsid w:val="17FD6829"/>
    <w:multiLevelType w:val="hybridMultilevel"/>
    <w:tmpl w:val="0AF81E12"/>
    <w:lvl w:ilvl="0" w:tplc="E1C8389C">
      <w:start w:val="1"/>
      <w:numFmt w:val="decimal"/>
      <w:lvlText w:val="(%1)"/>
      <w:lvlJc w:val="left"/>
      <w:pPr>
        <w:ind w:left="720" w:hanging="360"/>
      </w:pPr>
      <w:rPr>
        <w:rFonts w:hint="default"/>
        <w:b/>
      </w:rPr>
    </w:lvl>
    <w:lvl w:ilvl="1" w:tplc="1F36AFFC">
      <w:start w:val="1"/>
      <w:numFmt w:val="lowerLetter"/>
      <w:lvlText w:val="%2."/>
      <w:lvlJc w:val="left"/>
      <w:pPr>
        <w:ind w:left="1440" w:hanging="360"/>
      </w:pPr>
    </w:lvl>
    <w:lvl w:ilvl="2" w:tplc="C54CA018" w:tentative="1">
      <w:start w:val="1"/>
      <w:numFmt w:val="lowerRoman"/>
      <w:lvlText w:val="%3."/>
      <w:lvlJc w:val="right"/>
      <w:pPr>
        <w:ind w:left="2160" w:hanging="180"/>
      </w:pPr>
    </w:lvl>
    <w:lvl w:ilvl="3" w:tplc="6434B63C" w:tentative="1">
      <w:start w:val="1"/>
      <w:numFmt w:val="decimal"/>
      <w:lvlText w:val="%4."/>
      <w:lvlJc w:val="left"/>
      <w:pPr>
        <w:ind w:left="2880" w:hanging="360"/>
      </w:pPr>
    </w:lvl>
    <w:lvl w:ilvl="4" w:tplc="92C62A88" w:tentative="1">
      <w:start w:val="1"/>
      <w:numFmt w:val="lowerLetter"/>
      <w:lvlText w:val="%5."/>
      <w:lvlJc w:val="left"/>
      <w:pPr>
        <w:ind w:left="3600" w:hanging="360"/>
      </w:pPr>
    </w:lvl>
    <w:lvl w:ilvl="5" w:tplc="1640D788" w:tentative="1">
      <w:start w:val="1"/>
      <w:numFmt w:val="lowerRoman"/>
      <w:lvlText w:val="%6."/>
      <w:lvlJc w:val="right"/>
      <w:pPr>
        <w:ind w:left="4320" w:hanging="180"/>
      </w:pPr>
    </w:lvl>
    <w:lvl w:ilvl="6" w:tplc="36DCED4C" w:tentative="1">
      <w:start w:val="1"/>
      <w:numFmt w:val="decimal"/>
      <w:lvlText w:val="%7."/>
      <w:lvlJc w:val="left"/>
      <w:pPr>
        <w:ind w:left="5040" w:hanging="360"/>
      </w:pPr>
    </w:lvl>
    <w:lvl w:ilvl="7" w:tplc="27EE1BD2" w:tentative="1">
      <w:start w:val="1"/>
      <w:numFmt w:val="lowerLetter"/>
      <w:lvlText w:val="%8."/>
      <w:lvlJc w:val="left"/>
      <w:pPr>
        <w:ind w:left="5760" w:hanging="360"/>
      </w:pPr>
    </w:lvl>
    <w:lvl w:ilvl="8" w:tplc="93827D84" w:tentative="1">
      <w:start w:val="1"/>
      <w:numFmt w:val="lowerRoman"/>
      <w:lvlText w:val="%9."/>
      <w:lvlJc w:val="right"/>
      <w:pPr>
        <w:ind w:left="6480" w:hanging="180"/>
      </w:pPr>
    </w:lvl>
  </w:abstractNum>
  <w:abstractNum w:abstractNumId="19" w15:restartNumberingAfterBreak="0">
    <w:nsid w:val="1E7C35C2"/>
    <w:multiLevelType w:val="hybridMultilevel"/>
    <w:tmpl w:val="0AF81E12"/>
    <w:lvl w:ilvl="0" w:tplc="6E04FCAC">
      <w:start w:val="1"/>
      <w:numFmt w:val="decimal"/>
      <w:lvlText w:val="(%1)"/>
      <w:lvlJc w:val="left"/>
      <w:pPr>
        <w:ind w:left="720" w:hanging="360"/>
      </w:pPr>
      <w:rPr>
        <w:rFonts w:hint="default"/>
        <w:b/>
      </w:rPr>
    </w:lvl>
    <w:lvl w:ilvl="1" w:tplc="0870EDAC">
      <w:start w:val="1"/>
      <w:numFmt w:val="lowerLetter"/>
      <w:lvlText w:val="%2."/>
      <w:lvlJc w:val="left"/>
      <w:pPr>
        <w:ind w:left="1440" w:hanging="360"/>
      </w:pPr>
    </w:lvl>
    <w:lvl w:ilvl="2" w:tplc="827E7CEA" w:tentative="1">
      <w:start w:val="1"/>
      <w:numFmt w:val="lowerRoman"/>
      <w:lvlText w:val="%3."/>
      <w:lvlJc w:val="right"/>
      <w:pPr>
        <w:ind w:left="2160" w:hanging="180"/>
      </w:pPr>
    </w:lvl>
    <w:lvl w:ilvl="3" w:tplc="97CE4132" w:tentative="1">
      <w:start w:val="1"/>
      <w:numFmt w:val="decimal"/>
      <w:lvlText w:val="%4."/>
      <w:lvlJc w:val="left"/>
      <w:pPr>
        <w:ind w:left="2880" w:hanging="360"/>
      </w:pPr>
    </w:lvl>
    <w:lvl w:ilvl="4" w:tplc="AFDAF378" w:tentative="1">
      <w:start w:val="1"/>
      <w:numFmt w:val="lowerLetter"/>
      <w:lvlText w:val="%5."/>
      <w:lvlJc w:val="left"/>
      <w:pPr>
        <w:ind w:left="3600" w:hanging="360"/>
      </w:pPr>
    </w:lvl>
    <w:lvl w:ilvl="5" w:tplc="C58ACC1A" w:tentative="1">
      <w:start w:val="1"/>
      <w:numFmt w:val="lowerRoman"/>
      <w:lvlText w:val="%6."/>
      <w:lvlJc w:val="right"/>
      <w:pPr>
        <w:ind w:left="4320" w:hanging="180"/>
      </w:pPr>
    </w:lvl>
    <w:lvl w:ilvl="6" w:tplc="A282F404" w:tentative="1">
      <w:start w:val="1"/>
      <w:numFmt w:val="decimal"/>
      <w:lvlText w:val="%7."/>
      <w:lvlJc w:val="left"/>
      <w:pPr>
        <w:ind w:left="5040" w:hanging="360"/>
      </w:pPr>
    </w:lvl>
    <w:lvl w:ilvl="7" w:tplc="FC2CC97E" w:tentative="1">
      <w:start w:val="1"/>
      <w:numFmt w:val="lowerLetter"/>
      <w:lvlText w:val="%8."/>
      <w:lvlJc w:val="left"/>
      <w:pPr>
        <w:ind w:left="5760" w:hanging="360"/>
      </w:pPr>
    </w:lvl>
    <w:lvl w:ilvl="8" w:tplc="901051D8" w:tentative="1">
      <w:start w:val="1"/>
      <w:numFmt w:val="lowerRoman"/>
      <w:lvlText w:val="%9."/>
      <w:lvlJc w:val="right"/>
      <w:pPr>
        <w:ind w:left="6480" w:hanging="180"/>
      </w:pPr>
    </w:lvl>
  </w:abstractNum>
  <w:abstractNum w:abstractNumId="20" w15:restartNumberingAfterBreak="0">
    <w:nsid w:val="228B5DCB"/>
    <w:multiLevelType w:val="hybridMultilevel"/>
    <w:tmpl w:val="EE8296A6"/>
    <w:lvl w:ilvl="0" w:tplc="A0FA4564">
      <w:start w:val="1"/>
      <w:numFmt w:val="decimal"/>
      <w:lvlText w:val="(%1)"/>
      <w:lvlJc w:val="left"/>
      <w:pPr>
        <w:ind w:left="720" w:hanging="360"/>
      </w:pPr>
      <w:rPr>
        <w:rFonts w:hint="default"/>
        <w:b/>
        <w:color w:val="auto"/>
      </w:rPr>
    </w:lvl>
    <w:lvl w:ilvl="1" w:tplc="A0101688">
      <w:start w:val="1"/>
      <w:numFmt w:val="lowerLetter"/>
      <w:lvlText w:val="%2."/>
      <w:lvlJc w:val="left"/>
      <w:pPr>
        <w:ind w:left="1440" w:hanging="360"/>
      </w:pPr>
    </w:lvl>
    <w:lvl w:ilvl="2" w:tplc="C1740624" w:tentative="1">
      <w:start w:val="1"/>
      <w:numFmt w:val="lowerRoman"/>
      <w:lvlText w:val="%3."/>
      <w:lvlJc w:val="right"/>
      <w:pPr>
        <w:ind w:left="2160" w:hanging="180"/>
      </w:pPr>
    </w:lvl>
    <w:lvl w:ilvl="3" w:tplc="11A0745E" w:tentative="1">
      <w:start w:val="1"/>
      <w:numFmt w:val="decimal"/>
      <w:lvlText w:val="%4."/>
      <w:lvlJc w:val="left"/>
      <w:pPr>
        <w:ind w:left="2880" w:hanging="360"/>
      </w:pPr>
    </w:lvl>
    <w:lvl w:ilvl="4" w:tplc="9B6ABABA" w:tentative="1">
      <w:start w:val="1"/>
      <w:numFmt w:val="lowerLetter"/>
      <w:lvlText w:val="%5."/>
      <w:lvlJc w:val="left"/>
      <w:pPr>
        <w:ind w:left="3600" w:hanging="360"/>
      </w:pPr>
    </w:lvl>
    <w:lvl w:ilvl="5" w:tplc="084A6AB2" w:tentative="1">
      <w:start w:val="1"/>
      <w:numFmt w:val="lowerRoman"/>
      <w:lvlText w:val="%6."/>
      <w:lvlJc w:val="right"/>
      <w:pPr>
        <w:ind w:left="4320" w:hanging="180"/>
      </w:pPr>
    </w:lvl>
    <w:lvl w:ilvl="6" w:tplc="C63A27D6" w:tentative="1">
      <w:start w:val="1"/>
      <w:numFmt w:val="decimal"/>
      <w:lvlText w:val="%7."/>
      <w:lvlJc w:val="left"/>
      <w:pPr>
        <w:ind w:left="5040" w:hanging="360"/>
      </w:pPr>
    </w:lvl>
    <w:lvl w:ilvl="7" w:tplc="BC9E6E8A" w:tentative="1">
      <w:start w:val="1"/>
      <w:numFmt w:val="lowerLetter"/>
      <w:lvlText w:val="%8."/>
      <w:lvlJc w:val="left"/>
      <w:pPr>
        <w:ind w:left="5760" w:hanging="360"/>
      </w:pPr>
    </w:lvl>
    <w:lvl w:ilvl="8" w:tplc="43684E48" w:tentative="1">
      <w:start w:val="1"/>
      <w:numFmt w:val="lowerRoman"/>
      <w:lvlText w:val="%9."/>
      <w:lvlJc w:val="right"/>
      <w:pPr>
        <w:ind w:left="6480" w:hanging="180"/>
      </w:pPr>
    </w:lvl>
  </w:abstractNum>
  <w:abstractNum w:abstractNumId="21" w15:restartNumberingAfterBreak="0">
    <w:nsid w:val="2F55081E"/>
    <w:multiLevelType w:val="hybridMultilevel"/>
    <w:tmpl w:val="7F80F7D0"/>
    <w:lvl w:ilvl="0" w:tplc="5FB2C864">
      <w:start w:val="1"/>
      <w:numFmt w:val="decimal"/>
      <w:lvlText w:val="(%1)"/>
      <w:lvlJc w:val="left"/>
      <w:pPr>
        <w:ind w:left="720" w:hanging="360"/>
      </w:pPr>
      <w:rPr>
        <w:rFonts w:hint="default"/>
      </w:rPr>
    </w:lvl>
    <w:lvl w:ilvl="1" w:tplc="3E8E51FA">
      <w:start w:val="1"/>
      <w:numFmt w:val="lowerLetter"/>
      <w:lvlText w:val="%2."/>
      <w:lvlJc w:val="left"/>
      <w:pPr>
        <w:ind w:left="1440" w:hanging="360"/>
      </w:pPr>
    </w:lvl>
    <w:lvl w:ilvl="2" w:tplc="797CF12A" w:tentative="1">
      <w:start w:val="1"/>
      <w:numFmt w:val="lowerRoman"/>
      <w:lvlText w:val="%3."/>
      <w:lvlJc w:val="right"/>
      <w:pPr>
        <w:ind w:left="2160" w:hanging="180"/>
      </w:pPr>
    </w:lvl>
    <w:lvl w:ilvl="3" w:tplc="8BD27BB4" w:tentative="1">
      <w:start w:val="1"/>
      <w:numFmt w:val="decimal"/>
      <w:lvlText w:val="%4."/>
      <w:lvlJc w:val="left"/>
      <w:pPr>
        <w:ind w:left="2880" w:hanging="360"/>
      </w:pPr>
    </w:lvl>
    <w:lvl w:ilvl="4" w:tplc="457E5C2C" w:tentative="1">
      <w:start w:val="1"/>
      <w:numFmt w:val="lowerLetter"/>
      <w:lvlText w:val="%5."/>
      <w:lvlJc w:val="left"/>
      <w:pPr>
        <w:ind w:left="3600" w:hanging="360"/>
      </w:pPr>
    </w:lvl>
    <w:lvl w:ilvl="5" w:tplc="9EB4DF74" w:tentative="1">
      <w:start w:val="1"/>
      <w:numFmt w:val="lowerRoman"/>
      <w:lvlText w:val="%6."/>
      <w:lvlJc w:val="right"/>
      <w:pPr>
        <w:ind w:left="4320" w:hanging="180"/>
      </w:pPr>
    </w:lvl>
    <w:lvl w:ilvl="6" w:tplc="E6723388" w:tentative="1">
      <w:start w:val="1"/>
      <w:numFmt w:val="decimal"/>
      <w:lvlText w:val="%7."/>
      <w:lvlJc w:val="left"/>
      <w:pPr>
        <w:ind w:left="5040" w:hanging="360"/>
      </w:pPr>
    </w:lvl>
    <w:lvl w:ilvl="7" w:tplc="6DACDBB8" w:tentative="1">
      <w:start w:val="1"/>
      <w:numFmt w:val="lowerLetter"/>
      <w:lvlText w:val="%8."/>
      <w:lvlJc w:val="left"/>
      <w:pPr>
        <w:ind w:left="5760" w:hanging="360"/>
      </w:pPr>
    </w:lvl>
    <w:lvl w:ilvl="8" w:tplc="A68CB566" w:tentative="1">
      <w:start w:val="1"/>
      <w:numFmt w:val="lowerRoman"/>
      <w:lvlText w:val="%9."/>
      <w:lvlJc w:val="right"/>
      <w:pPr>
        <w:ind w:left="6480" w:hanging="180"/>
      </w:pPr>
    </w:lvl>
  </w:abstractNum>
  <w:abstractNum w:abstractNumId="22" w15:restartNumberingAfterBreak="0">
    <w:nsid w:val="2FF21E95"/>
    <w:multiLevelType w:val="hybridMultilevel"/>
    <w:tmpl w:val="EFB49122"/>
    <w:lvl w:ilvl="0" w:tplc="F9A0242E">
      <w:start w:val="1"/>
      <w:numFmt w:val="bullet"/>
      <w:lvlText w:val=""/>
      <w:lvlJc w:val="left"/>
      <w:pPr>
        <w:ind w:left="1440" w:hanging="360"/>
      </w:pPr>
      <w:rPr>
        <w:rFonts w:ascii="Symbol" w:hAnsi="Symbol" w:hint="default"/>
      </w:rPr>
    </w:lvl>
    <w:lvl w:ilvl="1" w:tplc="63320BFE">
      <w:start w:val="1"/>
      <w:numFmt w:val="bullet"/>
      <w:lvlText w:val="o"/>
      <w:lvlJc w:val="left"/>
      <w:pPr>
        <w:ind w:left="2160" w:hanging="360"/>
      </w:pPr>
      <w:rPr>
        <w:rFonts w:ascii="Courier New" w:hAnsi="Courier New" w:cs="Courier New" w:hint="default"/>
      </w:rPr>
    </w:lvl>
    <w:lvl w:ilvl="2" w:tplc="632AB366" w:tentative="1">
      <w:start w:val="1"/>
      <w:numFmt w:val="bullet"/>
      <w:lvlText w:val=""/>
      <w:lvlJc w:val="left"/>
      <w:pPr>
        <w:ind w:left="2880" w:hanging="360"/>
      </w:pPr>
      <w:rPr>
        <w:rFonts w:ascii="Wingdings" w:hAnsi="Wingdings" w:hint="default"/>
      </w:rPr>
    </w:lvl>
    <w:lvl w:ilvl="3" w:tplc="FE2C95D6" w:tentative="1">
      <w:start w:val="1"/>
      <w:numFmt w:val="bullet"/>
      <w:lvlText w:val=""/>
      <w:lvlJc w:val="left"/>
      <w:pPr>
        <w:ind w:left="3600" w:hanging="360"/>
      </w:pPr>
      <w:rPr>
        <w:rFonts w:ascii="Symbol" w:hAnsi="Symbol" w:hint="default"/>
      </w:rPr>
    </w:lvl>
    <w:lvl w:ilvl="4" w:tplc="C534E4D6" w:tentative="1">
      <w:start w:val="1"/>
      <w:numFmt w:val="bullet"/>
      <w:lvlText w:val="o"/>
      <w:lvlJc w:val="left"/>
      <w:pPr>
        <w:ind w:left="4320" w:hanging="360"/>
      </w:pPr>
      <w:rPr>
        <w:rFonts w:ascii="Courier New" w:hAnsi="Courier New" w:cs="Courier New" w:hint="default"/>
      </w:rPr>
    </w:lvl>
    <w:lvl w:ilvl="5" w:tplc="6B0E7B06" w:tentative="1">
      <w:start w:val="1"/>
      <w:numFmt w:val="bullet"/>
      <w:lvlText w:val=""/>
      <w:lvlJc w:val="left"/>
      <w:pPr>
        <w:ind w:left="5040" w:hanging="360"/>
      </w:pPr>
      <w:rPr>
        <w:rFonts w:ascii="Wingdings" w:hAnsi="Wingdings" w:hint="default"/>
      </w:rPr>
    </w:lvl>
    <w:lvl w:ilvl="6" w:tplc="0636985A" w:tentative="1">
      <w:start w:val="1"/>
      <w:numFmt w:val="bullet"/>
      <w:lvlText w:val=""/>
      <w:lvlJc w:val="left"/>
      <w:pPr>
        <w:ind w:left="5760" w:hanging="360"/>
      </w:pPr>
      <w:rPr>
        <w:rFonts w:ascii="Symbol" w:hAnsi="Symbol" w:hint="default"/>
      </w:rPr>
    </w:lvl>
    <w:lvl w:ilvl="7" w:tplc="1D826FF8" w:tentative="1">
      <w:start w:val="1"/>
      <w:numFmt w:val="bullet"/>
      <w:lvlText w:val="o"/>
      <w:lvlJc w:val="left"/>
      <w:pPr>
        <w:ind w:left="6480" w:hanging="360"/>
      </w:pPr>
      <w:rPr>
        <w:rFonts w:ascii="Courier New" w:hAnsi="Courier New" w:cs="Courier New" w:hint="default"/>
      </w:rPr>
    </w:lvl>
    <w:lvl w:ilvl="8" w:tplc="E7C6230C" w:tentative="1">
      <w:start w:val="1"/>
      <w:numFmt w:val="bullet"/>
      <w:lvlText w:val=""/>
      <w:lvlJc w:val="left"/>
      <w:pPr>
        <w:ind w:left="7200" w:hanging="360"/>
      </w:pPr>
      <w:rPr>
        <w:rFonts w:ascii="Wingdings" w:hAnsi="Wingdings" w:hint="default"/>
      </w:rPr>
    </w:lvl>
  </w:abstractNum>
  <w:abstractNum w:abstractNumId="23" w15:restartNumberingAfterBreak="0">
    <w:nsid w:val="31803629"/>
    <w:multiLevelType w:val="hybridMultilevel"/>
    <w:tmpl w:val="F11A1AD2"/>
    <w:lvl w:ilvl="0" w:tplc="9C0ADC26">
      <w:start w:val="1"/>
      <w:numFmt w:val="decimal"/>
      <w:lvlText w:val="(%1)"/>
      <w:lvlJc w:val="left"/>
      <w:pPr>
        <w:ind w:left="720" w:hanging="360"/>
      </w:pPr>
      <w:rPr>
        <w:rFonts w:hint="default"/>
      </w:rPr>
    </w:lvl>
    <w:lvl w:ilvl="1" w:tplc="52F01E62">
      <w:start w:val="1"/>
      <w:numFmt w:val="lowerLetter"/>
      <w:lvlText w:val="%2."/>
      <w:lvlJc w:val="left"/>
      <w:pPr>
        <w:ind w:left="1440" w:hanging="360"/>
      </w:pPr>
    </w:lvl>
    <w:lvl w:ilvl="2" w:tplc="F5E0514C" w:tentative="1">
      <w:start w:val="1"/>
      <w:numFmt w:val="lowerRoman"/>
      <w:lvlText w:val="%3."/>
      <w:lvlJc w:val="right"/>
      <w:pPr>
        <w:ind w:left="2160" w:hanging="180"/>
      </w:pPr>
    </w:lvl>
    <w:lvl w:ilvl="3" w:tplc="65A02420" w:tentative="1">
      <w:start w:val="1"/>
      <w:numFmt w:val="decimal"/>
      <w:lvlText w:val="%4."/>
      <w:lvlJc w:val="left"/>
      <w:pPr>
        <w:ind w:left="2880" w:hanging="360"/>
      </w:pPr>
    </w:lvl>
    <w:lvl w:ilvl="4" w:tplc="2834A5B4" w:tentative="1">
      <w:start w:val="1"/>
      <w:numFmt w:val="lowerLetter"/>
      <w:lvlText w:val="%5."/>
      <w:lvlJc w:val="left"/>
      <w:pPr>
        <w:ind w:left="3600" w:hanging="360"/>
      </w:pPr>
    </w:lvl>
    <w:lvl w:ilvl="5" w:tplc="6C4AAF56" w:tentative="1">
      <w:start w:val="1"/>
      <w:numFmt w:val="lowerRoman"/>
      <w:lvlText w:val="%6."/>
      <w:lvlJc w:val="right"/>
      <w:pPr>
        <w:ind w:left="4320" w:hanging="180"/>
      </w:pPr>
    </w:lvl>
    <w:lvl w:ilvl="6" w:tplc="F0E2B9F4" w:tentative="1">
      <w:start w:val="1"/>
      <w:numFmt w:val="decimal"/>
      <w:lvlText w:val="%7."/>
      <w:lvlJc w:val="left"/>
      <w:pPr>
        <w:ind w:left="5040" w:hanging="360"/>
      </w:pPr>
    </w:lvl>
    <w:lvl w:ilvl="7" w:tplc="6002C522" w:tentative="1">
      <w:start w:val="1"/>
      <w:numFmt w:val="lowerLetter"/>
      <w:lvlText w:val="%8."/>
      <w:lvlJc w:val="left"/>
      <w:pPr>
        <w:ind w:left="5760" w:hanging="360"/>
      </w:pPr>
    </w:lvl>
    <w:lvl w:ilvl="8" w:tplc="2A72A880" w:tentative="1">
      <w:start w:val="1"/>
      <w:numFmt w:val="lowerRoman"/>
      <w:lvlText w:val="%9."/>
      <w:lvlJc w:val="right"/>
      <w:pPr>
        <w:ind w:left="6480" w:hanging="180"/>
      </w:pPr>
    </w:lvl>
  </w:abstractNum>
  <w:abstractNum w:abstractNumId="24" w15:restartNumberingAfterBreak="0">
    <w:nsid w:val="357F0D13"/>
    <w:multiLevelType w:val="hybridMultilevel"/>
    <w:tmpl w:val="8AFC4DF0"/>
    <w:lvl w:ilvl="0" w:tplc="EC9467C2">
      <w:start w:val="1"/>
      <w:numFmt w:val="lowerLetter"/>
      <w:lvlText w:val="(%1)"/>
      <w:lvlJc w:val="left"/>
      <w:pPr>
        <w:ind w:left="1080" w:hanging="360"/>
      </w:pPr>
      <w:rPr>
        <w:rFonts w:hint="default"/>
        <w:b/>
      </w:rPr>
    </w:lvl>
    <w:lvl w:ilvl="1" w:tplc="0BC4D8F8" w:tentative="1">
      <w:start w:val="1"/>
      <w:numFmt w:val="lowerLetter"/>
      <w:lvlText w:val="%2."/>
      <w:lvlJc w:val="left"/>
      <w:pPr>
        <w:ind w:left="1800" w:hanging="360"/>
      </w:pPr>
    </w:lvl>
    <w:lvl w:ilvl="2" w:tplc="2772AADA" w:tentative="1">
      <w:start w:val="1"/>
      <w:numFmt w:val="lowerRoman"/>
      <w:lvlText w:val="%3."/>
      <w:lvlJc w:val="right"/>
      <w:pPr>
        <w:ind w:left="2520" w:hanging="180"/>
      </w:pPr>
    </w:lvl>
    <w:lvl w:ilvl="3" w:tplc="D82CA480" w:tentative="1">
      <w:start w:val="1"/>
      <w:numFmt w:val="decimal"/>
      <w:lvlText w:val="%4."/>
      <w:lvlJc w:val="left"/>
      <w:pPr>
        <w:ind w:left="3240" w:hanging="360"/>
      </w:pPr>
    </w:lvl>
    <w:lvl w:ilvl="4" w:tplc="38184F96" w:tentative="1">
      <w:start w:val="1"/>
      <w:numFmt w:val="lowerLetter"/>
      <w:lvlText w:val="%5."/>
      <w:lvlJc w:val="left"/>
      <w:pPr>
        <w:ind w:left="3960" w:hanging="360"/>
      </w:pPr>
    </w:lvl>
    <w:lvl w:ilvl="5" w:tplc="B2C0DC96" w:tentative="1">
      <w:start w:val="1"/>
      <w:numFmt w:val="lowerRoman"/>
      <w:lvlText w:val="%6."/>
      <w:lvlJc w:val="right"/>
      <w:pPr>
        <w:ind w:left="4680" w:hanging="180"/>
      </w:pPr>
    </w:lvl>
    <w:lvl w:ilvl="6" w:tplc="2A488D3A" w:tentative="1">
      <w:start w:val="1"/>
      <w:numFmt w:val="decimal"/>
      <w:lvlText w:val="%7."/>
      <w:lvlJc w:val="left"/>
      <w:pPr>
        <w:ind w:left="5400" w:hanging="360"/>
      </w:pPr>
    </w:lvl>
    <w:lvl w:ilvl="7" w:tplc="8206B6FA" w:tentative="1">
      <w:start w:val="1"/>
      <w:numFmt w:val="lowerLetter"/>
      <w:lvlText w:val="%8."/>
      <w:lvlJc w:val="left"/>
      <w:pPr>
        <w:ind w:left="6120" w:hanging="360"/>
      </w:pPr>
    </w:lvl>
    <w:lvl w:ilvl="8" w:tplc="3BCA1EA2" w:tentative="1">
      <w:start w:val="1"/>
      <w:numFmt w:val="lowerRoman"/>
      <w:lvlText w:val="%9."/>
      <w:lvlJc w:val="right"/>
      <w:pPr>
        <w:ind w:left="6840" w:hanging="180"/>
      </w:pPr>
    </w:lvl>
  </w:abstractNum>
  <w:abstractNum w:abstractNumId="25" w15:restartNumberingAfterBreak="0">
    <w:nsid w:val="40134EE9"/>
    <w:multiLevelType w:val="hybridMultilevel"/>
    <w:tmpl w:val="A06E3630"/>
    <w:lvl w:ilvl="0" w:tplc="7D1ADE6E">
      <w:numFmt w:val="bullet"/>
      <w:lvlText w:val="-"/>
      <w:lvlJc w:val="left"/>
      <w:pPr>
        <w:ind w:left="420" w:hanging="360"/>
      </w:pPr>
      <w:rPr>
        <w:rFonts w:ascii="Times New Roman" w:eastAsiaTheme="minorHAnsi" w:hAnsi="Times New Roman" w:cs="Times New Roman" w:hint="default"/>
      </w:rPr>
    </w:lvl>
    <w:lvl w:ilvl="1" w:tplc="DFC656DC">
      <w:start w:val="1"/>
      <w:numFmt w:val="bullet"/>
      <w:lvlText w:val="o"/>
      <w:lvlJc w:val="left"/>
      <w:pPr>
        <w:ind w:left="1140" w:hanging="360"/>
      </w:pPr>
      <w:rPr>
        <w:rFonts w:ascii="Courier New" w:hAnsi="Courier New" w:cs="Courier New" w:hint="default"/>
      </w:rPr>
    </w:lvl>
    <w:lvl w:ilvl="2" w:tplc="B212F542" w:tentative="1">
      <w:start w:val="1"/>
      <w:numFmt w:val="bullet"/>
      <w:lvlText w:val=""/>
      <w:lvlJc w:val="left"/>
      <w:pPr>
        <w:ind w:left="1860" w:hanging="360"/>
      </w:pPr>
      <w:rPr>
        <w:rFonts w:ascii="Wingdings" w:hAnsi="Wingdings" w:hint="default"/>
      </w:rPr>
    </w:lvl>
    <w:lvl w:ilvl="3" w:tplc="9762F69A" w:tentative="1">
      <w:start w:val="1"/>
      <w:numFmt w:val="bullet"/>
      <w:lvlText w:val=""/>
      <w:lvlJc w:val="left"/>
      <w:pPr>
        <w:ind w:left="2580" w:hanging="360"/>
      </w:pPr>
      <w:rPr>
        <w:rFonts w:ascii="Symbol" w:hAnsi="Symbol" w:hint="default"/>
      </w:rPr>
    </w:lvl>
    <w:lvl w:ilvl="4" w:tplc="0EC86438" w:tentative="1">
      <w:start w:val="1"/>
      <w:numFmt w:val="bullet"/>
      <w:lvlText w:val="o"/>
      <w:lvlJc w:val="left"/>
      <w:pPr>
        <w:ind w:left="3300" w:hanging="360"/>
      </w:pPr>
      <w:rPr>
        <w:rFonts w:ascii="Courier New" w:hAnsi="Courier New" w:cs="Courier New" w:hint="default"/>
      </w:rPr>
    </w:lvl>
    <w:lvl w:ilvl="5" w:tplc="1054D77C" w:tentative="1">
      <w:start w:val="1"/>
      <w:numFmt w:val="bullet"/>
      <w:lvlText w:val=""/>
      <w:lvlJc w:val="left"/>
      <w:pPr>
        <w:ind w:left="4020" w:hanging="360"/>
      </w:pPr>
      <w:rPr>
        <w:rFonts w:ascii="Wingdings" w:hAnsi="Wingdings" w:hint="default"/>
      </w:rPr>
    </w:lvl>
    <w:lvl w:ilvl="6" w:tplc="6E144C60" w:tentative="1">
      <w:start w:val="1"/>
      <w:numFmt w:val="bullet"/>
      <w:lvlText w:val=""/>
      <w:lvlJc w:val="left"/>
      <w:pPr>
        <w:ind w:left="4740" w:hanging="360"/>
      </w:pPr>
      <w:rPr>
        <w:rFonts w:ascii="Symbol" w:hAnsi="Symbol" w:hint="default"/>
      </w:rPr>
    </w:lvl>
    <w:lvl w:ilvl="7" w:tplc="8D68681A" w:tentative="1">
      <w:start w:val="1"/>
      <w:numFmt w:val="bullet"/>
      <w:lvlText w:val="o"/>
      <w:lvlJc w:val="left"/>
      <w:pPr>
        <w:ind w:left="5460" w:hanging="360"/>
      </w:pPr>
      <w:rPr>
        <w:rFonts w:ascii="Courier New" w:hAnsi="Courier New" w:cs="Courier New" w:hint="default"/>
      </w:rPr>
    </w:lvl>
    <w:lvl w:ilvl="8" w:tplc="0736F8F0" w:tentative="1">
      <w:start w:val="1"/>
      <w:numFmt w:val="bullet"/>
      <w:lvlText w:val=""/>
      <w:lvlJc w:val="left"/>
      <w:pPr>
        <w:ind w:left="6180" w:hanging="360"/>
      </w:pPr>
      <w:rPr>
        <w:rFonts w:ascii="Wingdings" w:hAnsi="Wingdings" w:hint="default"/>
      </w:rPr>
    </w:lvl>
  </w:abstractNum>
  <w:abstractNum w:abstractNumId="26" w15:restartNumberingAfterBreak="0">
    <w:nsid w:val="41AF0EE7"/>
    <w:multiLevelType w:val="hybridMultilevel"/>
    <w:tmpl w:val="0AF81E12"/>
    <w:lvl w:ilvl="0" w:tplc="354AD62C">
      <w:start w:val="1"/>
      <w:numFmt w:val="decimal"/>
      <w:lvlText w:val="(%1)"/>
      <w:lvlJc w:val="left"/>
      <w:pPr>
        <w:ind w:left="720" w:hanging="360"/>
      </w:pPr>
      <w:rPr>
        <w:rFonts w:hint="default"/>
        <w:b/>
      </w:rPr>
    </w:lvl>
    <w:lvl w:ilvl="1" w:tplc="F3F24D62">
      <w:start w:val="1"/>
      <w:numFmt w:val="lowerLetter"/>
      <w:lvlText w:val="%2."/>
      <w:lvlJc w:val="left"/>
      <w:pPr>
        <w:ind w:left="1440" w:hanging="360"/>
      </w:pPr>
    </w:lvl>
    <w:lvl w:ilvl="2" w:tplc="011CE284" w:tentative="1">
      <w:start w:val="1"/>
      <w:numFmt w:val="lowerRoman"/>
      <w:lvlText w:val="%3."/>
      <w:lvlJc w:val="right"/>
      <w:pPr>
        <w:ind w:left="2160" w:hanging="180"/>
      </w:pPr>
    </w:lvl>
    <w:lvl w:ilvl="3" w:tplc="984ACE10" w:tentative="1">
      <w:start w:val="1"/>
      <w:numFmt w:val="decimal"/>
      <w:lvlText w:val="%4."/>
      <w:lvlJc w:val="left"/>
      <w:pPr>
        <w:ind w:left="2880" w:hanging="360"/>
      </w:pPr>
    </w:lvl>
    <w:lvl w:ilvl="4" w:tplc="D3E22A58" w:tentative="1">
      <w:start w:val="1"/>
      <w:numFmt w:val="lowerLetter"/>
      <w:lvlText w:val="%5."/>
      <w:lvlJc w:val="left"/>
      <w:pPr>
        <w:ind w:left="3600" w:hanging="360"/>
      </w:pPr>
    </w:lvl>
    <w:lvl w:ilvl="5" w:tplc="E218393A" w:tentative="1">
      <w:start w:val="1"/>
      <w:numFmt w:val="lowerRoman"/>
      <w:lvlText w:val="%6."/>
      <w:lvlJc w:val="right"/>
      <w:pPr>
        <w:ind w:left="4320" w:hanging="180"/>
      </w:pPr>
    </w:lvl>
    <w:lvl w:ilvl="6" w:tplc="F922162A" w:tentative="1">
      <w:start w:val="1"/>
      <w:numFmt w:val="decimal"/>
      <w:lvlText w:val="%7."/>
      <w:lvlJc w:val="left"/>
      <w:pPr>
        <w:ind w:left="5040" w:hanging="360"/>
      </w:pPr>
    </w:lvl>
    <w:lvl w:ilvl="7" w:tplc="89A2869A" w:tentative="1">
      <w:start w:val="1"/>
      <w:numFmt w:val="lowerLetter"/>
      <w:lvlText w:val="%8."/>
      <w:lvlJc w:val="left"/>
      <w:pPr>
        <w:ind w:left="5760" w:hanging="360"/>
      </w:pPr>
    </w:lvl>
    <w:lvl w:ilvl="8" w:tplc="3BEAFA66" w:tentative="1">
      <w:start w:val="1"/>
      <w:numFmt w:val="lowerRoman"/>
      <w:lvlText w:val="%9."/>
      <w:lvlJc w:val="right"/>
      <w:pPr>
        <w:ind w:left="6480" w:hanging="180"/>
      </w:pPr>
    </w:lvl>
  </w:abstractNum>
  <w:abstractNum w:abstractNumId="27" w15:restartNumberingAfterBreak="0">
    <w:nsid w:val="421610B5"/>
    <w:multiLevelType w:val="hybridMultilevel"/>
    <w:tmpl w:val="E34A491E"/>
    <w:lvl w:ilvl="0" w:tplc="34260628">
      <w:start w:val="1"/>
      <w:numFmt w:val="decimal"/>
      <w:lvlText w:val="%1."/>
      <w:lvlJc w:val="left"/>
      <w:pPr>
        <w:ind w:left="720" w:hanging="360"/>
      </w:pPr>
      <w:rPr>
        <w:rFonts w:hint="default"/>
      </w:rPr>
    </w:lvl>
    <w:lvl w:ilvl="1" w:tplc="79B82364">
      <w:start w:val="1"/>
      <w:numFmt w:val="lowerLetter"/>
      <w:lvlText w:val="%2."/>
      <w:lvlJc w:val="left"/>
      <w:pPr>
        <w:ind w:left="1440" w:hanging="360"/>
      </w:pPr>
    </w:lvl>
    <w:lvl w:ilvl="2" w:tplc="2DACAB60" w:tentative="1">
      <w:start w:val="1"/>
      <w:numFmt w:val="lowerRoman"/>
      <w:lvlText w:val="%3."/>
      <w:lvlJc w:val="right"/>
      <w:pPr>
        <w:ind w:left="2160" w:hanging="180"/>
      </w:pPr>
    </w:lvl>
    <w:lvl w:ilvl="3" w:tplc="209A3534" w:tentative="1">
      <w:start w:val="1"/>
      <w:numFmt w:val="decimal"/>
      <w:lvlText w:val="%4."/>
      <w:lvlJc w:val="left"/>
      <w:pPr>
        <w:ind w:left="2880" w:hanging="360"/>
      </w:pPr>
    </w:lvl>
    <w:lvl w:ilvl="4" w:tplc="602253A6" w:tentative="1">
      <w:start w:val="1"/>
      <w:numFmt w:val="lowerLetter"/>
      <w:lvlText w:val="%5."/>
      <w:lvlJc w:val="left"/>
      <w:pPr>
        <w:ind w:left="3600" w:hanging="360"/>
      </w:pPr>
    </w:lvl>
    <w:lvl w:ilvl="5" w:tplc="6E34646A" w:tentative="1">
      <w:start w:val="1"/>
      <w:numFmt w:val="lowerRoman"/>
      <w:lvlText w:val="%6."/>
      <w:lvlJc w:val="right"/>
      <w:pPr>
        <w:ind w:left="4320" w:hanging="180"/>
      </w:pPr>
    </w:lvl>
    <w:lvl w:ilvl="6" w:tplc="BFCEF0D4" w:tentative="1">
      <w:start w:val="1"/>
      <w:numFmt w:val="decimal"/>
      <w:lvlText w:val="%7."/>
      <w:lvlJc w:val="left"/>
      <w:pPr>
        <w:ind w:left="5040" w:hanging="360"/>
      </w:pPr>
    </w:lvl>
    <w:lvl w:ilvl="7" w:tplc="794E0F68" w:tentative="1">
      <w:start w:val="1"/>
      <w:numFmt w:val="lowerLetter"/>
      <w:lvlText w:val="%8."/>
      <w:lvlJc w:val="left"/>
      <w:pPr>
        <w:ind w:left="5760" w:hanging="360"/>
      </w:pPr>
    </w:lvl>
    <w:lvl w:ilvl="8" w:tplc="7346A996" w:tentative="1">
      <w:start w:val="1"/>
      <w:numFmt w:val="lowerRoman"/>
      <w:lvlText w:val="%9."/>
      <w:lvlJc w:val="right"/>
      <w:pPr>
        <w:ind w:left="6480" w:hanging="180"/>
      </w:pPr>
    </w:lvl>
  </w:abstractNum>
  <w:abstractNum w:abstractNumId="28" w15:restartNumberingAfterBreak="0">
    <w:nsid w:val="421C72E4"/>
    <w:multiLevelType w:val="hybridMultilevel"/>
    <w:tmpl w:val="AA88D70A"/>
    <w:lvl w:ilvl="0" w:tplc="C10A4132">
      <w:start w:val="1"/>
      <w:numFmt w:val="decimal"/>
      <w:lvlText w:val="(%1)"/>
      <w:lvlJc w:val="left"/>
      <w:pPr>
        <w:ind w:left="720" w:hanging="360"/>
      </w:pPr>
      <w:rPr>
        <w:rFonts w:hint="default"/>
        <w:b/>
      </w:rPr>
    </w:lvl>
    <w:lvl w:ilvl="1" w:tplc="A84E65E2">
      <w:start w:val="1"/>
      <w:numFmt w:val="lowerLetter"/>
      <w:lvlText w:val="%2."/>
      <w:lvlJc w:val="left"/>
      <w:pPr>
        <w:ind w:left="1440" w:hanging="360"/>
      </w:pPr>
      <w:rPr>
        <w:b w:val="0"/>
      </w:rPr>
    </w:lvl>
    <w:lvl w:ilvl="2" w:tplc="10EC9702">
      <w:start w:val="1"/>
      <w:numFmt w:val="lowerRoman"/>
      <w:lvlText w:val="%3."/>
      <w:lvlJc w:val="right"/>
      <w:pPr>
        <w:ind w:left="2160" w:hanging="180"/>
      </w:pPr>
      <w:rPr>
        <w:b w:val="0"/>
      </w:rPr>
    </w:lvl>
    <w:lvl w:ilvl="3" w:tplc="BCF48240" w:tentative="1">
      <w:start w:val="1"/>
      <w:numFmt w:val="decimal"/>
      <w:lvlText w:val="%4."/>
      <w:lvlJc w:val="left"/>
      <w:pPr>
        <w:ind w:left="2880" w:hanging="360"/>
      </w:pPr>
    </w:lvl>
    <w:lvl w:ilvl="4" w:tplc="680AE1F8" w:tentative="1">
      <w:start w:val="1"/>
      <w:numFmt w:val="lowerLetter"/>
      <w:lvlText w:val="%5."/>
      <w:lvlJc w:val="left"/>
      <w:pPr>
        <w:ind w:left="3600" w:hanging="360"/>
      </w:pPr>
    </w:lvl>
    <w:lvl w:ilvl="5" w:tplc="6EE4A408" w:tentative="1">
      <w:start w:val="1"/>
      <w:numFmt w:val="lowerRoman"/>
      <w:lvlText w:val="%6."/>
      <w:lvlJc w:val="right"/>
      <w:pPr>
        <w:ind w:left="4320" w:hanging="180"/>
      </w:pPr>
    </w:lvl>
    <w:lvl w:ilvl="6" w:tplc="71A407E2" w:tentative="1">
      <w:start w:val="1"/>
      <w:numFmt w:val="decimal"/>
      <w:lvlText w:val="%7."/>
      <w:lvlJc w:val="left"/>
      <w:pPr>
        <w:ind w:left="5040" w:hanging="360"/>
      </w:pPr>
    </w:lvl>
    <w:lvl w:ilvl="7" w:tplc="B2249AF8" w:tentative="1">
      <w:start w:val="1"/>
      <w:numFmt w:val="lowerLetter"/>
      <w:lvlText w:val="%8."/>
      <w:lvlJc w:val="left"/>
      <w:pPr>
        <w:ind w:left="5760" w:hanging="360"/>
      </w:pPr>
    </w:lvl>
    <w:lvl w:ilvl="8" w:tplc="8B5E252C" w:tentative="1">
      <w:start w:val="1"/>
      <w:numFmt w:val="lowerRoman"/>
      <w:lvlText w:val="%9."/>
      <w:lvlJc w:val="right"/>
      <w:pPr>
        <w:ind w:left="6480" w:hanging="180"/>
      </w:pPr>
    </w:lvl>
  </w:abstractNum>
  <w:abstractNum w:abstractNumId="29" w15:restartNumberingAfterBreak="0">
    <w:nsid w:val="47222992"/>
    <w:multiLevelType w:val="hybridMultilevel"/>
    <w:tmpl w:val="0AF81E12"/>
    <w:lvl w:ilvl="0" w:tplc="B5D07DB6">
      <w:start w:val="1"/>
      <w:numFmt w:val="decimal"/>
      <w:lvlText w:val="(%1)"/>
      <w:lvlJc w:val="left"/>
      <w:pPr>
        <w:ind w:left="720" w:hanging="360"/>
      </w:pPr>
      <w:rPr>
        <w:rFonts w:hint="default"/>
        <w:b/>
      </w:rPr>
    </w:lvl>
    <w:lvl w:ilvl="1" w:tplc="3684B1E2">
      <w:start w:val="1"/>
      <w:numFmt w:val="lowerLetter"/>
      <w:lvlText w:val="%2."/>
      <w:lvlJc w:val="left"/>
      <w:pPr>
        <w:ind w:left="1440" w:hanging="360"/>
      </w:pPr>
    </w:lvl>
    <w:lvl w:ilvl="2" w:tplc="C4207F1C" w:tentative="1">
      <w:start w:val="1"/>
      <w:numFmt w:val="lowerRoman"/>
      <w:lvlText w:val="%3."/>
      <w:lvlJc w:val="right"/>
      <w:pPr>
        <w:ind w:left="2160" w:hanging="180"/>
      </w:pPr>
    </w:lvl>
    <w:lvl w:ilvl="3" w:tplc="DA9E7988" w:tentative="1">
      <w:start w:val="1"/>
      <w:numFmt w:val="decimal"/>
      <w:lvlText w:val="%4."/>
      <w:lvlJc w:val="left"/>
      <w:pPr>
        <w:ind w:left="2880" w:hanging="360"/>
      </w:pPr>
    </w:lvl>
    <w:lvl w:ilvl="4" w:tplc="B5180732" w:tentative="1">
      <w:start w:val="1"/>
      <w:numFmt w:val="lowerLetter"/>
      <w:lvlText w:val="%5."/>
      <w:lvlJc w:val="left"/>
      <w:pPr>
        <w:ind w:left="3600" w:hanging="360"/>
      </w:pPr>
    </w:lvl>
    <w:lvl w:ilvl="5" w:tplc="5C8E061C" w:tentative="1">
      <w:start w:val="1"/>
      <w:numFmt w:val="lowerRoman"/>
      <w:lvlText w:val="%6."/>
      <w:lvlJc w:val="right"/>
      <w:pPr>
        <w:ind w:left="4320" w:hanging="180"/>
      </w:pPr>
    </w:lvl>
    <w:lvl w:ilvl="6" w:tplc="E0745052" w:tentative="1">
      <w:start w:val="1"/>
      <w:numFmt w:val="decimal"/>
      <w:lvlText w:val="%7."/>
      <w:lvlJc w:val="left"/>
      <w:pPr>
        <w:ind w:left="5040" w:hanging="360"/>
      </w:pPr>
    </w:lvl>
    <w:lvl w:ilvl="7" w:tplc="CDB66D5C" w:tentative="1">
      <w:start w:val="1"/>
      <w:numFmt w:val="lowerLetter"/>
      <w:lvlText w:val="%8."/>
      <w:lvlJc w:val="left"/>
      <w:pPr>
        <w:ind w:left="5760" w:hanging="360"/>
      </w:pPr>
    </w:lvl>
    <w:lvl w:ilvl="8" w:tplc="DA7088F0" w:tentative="1">
      <w:start w:val="1"/>
      <w:numFmt w:val="lowerRoman"/>
      <w:lvlText w:val="%9."/>
      <w:lvlJc w:val="right"/>
      <w:pPr>
        <w:ind w:left="6480" w:hanging="180"/>
      </w:pPr>
    </w:lvl>
  </w:abstractNum>
  <w:abstractNum w:abstractNumId="30" w15:restartNumberingAfterBreak="0">
    <w:nsid w:val="473A4F5D"/>
    <w:multiLevelType w:val="hybridMultilevel"/>
    <w:tmpl w:val="7F80F7D0"/>
    <w:lvl w:ilvl="0" w:tplc="F0326738">
      <w:start w:val="1"/>
      <w:numFmt w:val="decimal"/>
      <w:lvlText w:val="(%1)"/>
      <w:lvlJc w:val="left"/>
      <w:pPr>
        <w:ind w:left="720" w:hanging="360"/>
      </w:pPr>
      <w:rPr>
        <w:rFonts w:hint="default"/>
      </w:rPr>
    </w:lvl>
    <w:lvl w:ilvl="1" w:tplc="70365A04">
      <w:start w:val="1"/>
      <w:numFmt w:val="lowerLetter"/>
      <w:lvlText w:val="%2."/>
      <w:lvlJc w:val="left"/>
      <w:pPr>
        <w:ind w:left="1440" w:hanging="360"/>
      </w:pPr>
    </w:lvl>
    <w:lvl w:ilvl="2" w:tplc="D4C06FAC" w:tentative="1">
      <w:start w:val="1"/>
      <w:numFmt w:val="lowerRoman"/>
      <w:lvlText w:val="%3."/>
      <w:lvlJc w:val="right"/>
      <w:pPr>
        <w:ind w:left="2160" w:hanging="180"/>
      </w:pPr>
    </w:lvl>
    <w:lvl w:ilvl="3" w:tplc="87121F44" w:tentative="1">
      <w:start w:val="1"/>
      <w:numFmt w:val="decimal"/>
      <w:lvlText w:val="%4."/>
      <w:lvlJc w:val="left"/>
      <w:pPr>
        <w:ind w:left="2880" w:hanging="360"/>
      </w:pPr>
    </w:lvl>
    <w:lvl w:ilvl="4" w:tplc="FF286650" w:tentative="1">
      <w:start w:val="1"/>
      <w:numFmt w:val="lowerLetter"/>
      <w:lvlText w:val="%5."/>
      <w:lvlJc w:val="left"/>
      <w:pPr>
        <w:ind w:left="3600" w:hanging="360"/>
      </w:pPr>
    </w:lvl>
    <w:lvl w:ilvl="5" w:tplc="99B88F4A" w:tentative="1">
      <w:start w:val="1"/>
      <w:numFmt w:val="lowerRoman"/>
      <w:lvlText w:val="%6."/>
      <w:lvlJc w:val="right"/>
      <w:pPr>
        <w:ind w:left="4320" w:hanging="180"/>
      </w:pPr>
    </w:lvl>
    <w:lvl w:ilvl="6" w:tplc="A73A0776" w:tentative="1">
      <w:start w:val="1"/>
      <w:numFmt w:val="decimal"/>
      <w:lvlText w:val="%7."/>
      <w:lvlJc w:val="left"/>
      <w:pPr>
        <w:ind w:left="5040" w:hanging="360"/>
      </w:pPr>
    </w:lvl>
    <w:lvl w:ilvl="7" w:tplc="A560F6CE" w:tentative="1">
      <w:start w:val="1"/>
      <w:numFmt w:val="lowerLetter"/>
      <w:lvlText w:val="%8."/>
      <w:lvlJc w:val="left"/>
      <w:pPr>
        <w:ind w:left="5760" w:hanging="360"/>
      </w:pPr>
    </w:lvl>
    <w:lvl w:ilvl="8" w:tplc="FA0081AC" w:tentative="1">
      <w:start w:val="1"/>
      <w:numFmt w:val="lowerRoman"/>
      <w:lvlText w:val="%9."/>
      <w:lvlJc w:val="right"/>
      <w:pPr>
        <w:ind w:left="6480" w:hanging="180"/>
      </w:pPr>
    </w:lvl>
  </w:abstractNum>
  <w:abstractNum w:abstractNumId="31" w15:restartNumberingAfterBreak="0">
    <w:nsid w:val="4F0D6A67"/>
    <w:multiLevelType w:val="hybridMultilevel"/>
    <w:tmpl w:val="2E9ED122"/>
    <w:lvl w:ilvl="0" w:tplc="D6D8D31C">
      <w:start w:val="1"/>
      <w:numFmt w:val="lowerLetter"/>
      <w:lvlText w:val="(%1)"/>
      <w:lvlJc w:val="left"/>
      <w:pPr>
        <w:ind w:left="1080" w:hanging="360"/>
      </w:pPr>
      <w:rPr>
        <w:rFonts w:hint="default"/>
      </w:rPr>
    </w:lvl>
    <w:lvl w:ilvl="1" w:tplc="8BC691E0" w:tentative="1">
      <w:start w:val="1"/>
      <w:numFmt w:val="lowerLetter"/>
      <w:lvlText w:val="%2."/>
      <w:lvlJc w:val="left"/>
      <w:pPr>
        <w:ind w:left="1800" w:hanging="360"/>
      </w:pPr>
    </w:lvl>
    <w:lvl w:ilvl="2" w:tplc="EB9666B6" w:tentative="1">
      <w:start w:val="1"/>
      <w:numFmt w:val="lowerRoman"/>
      <w:lvlText w:val="%3."/>
      <w:lvlJc w:val="right"/>
      <w:pPr>
        <w:ind w:left="2520" w:hanging="180"/>
      </w:pPr>
    </w:lvl>
    <w:lvl w:ilvl="3" w:tplc="F3F6D03E" w:tentative="1">
      <w:start w:val="1"/>
      <w:numFmt w:val="decimal"/>
      <w:lvlText w:val="%4."/>
      <w:lvlJc w:val="left"/>
      <w:pPr>
        <w:ind w:left="3240" w:hanging="360"/>
      </w:pPr>
    </w:lvl>
    <w:lvl w:ilvl="4" w:tplc="8CA89120" w:tentative="1">
      <w:start w:val="1"/>
      <w:numFmt w:val="lowerLetter"/>
      <w:lvlText w:val="%5."/>
      <w:lvlJc w:val="left"/>
      <w:pPr>
        <w:ind w:left="3960" w:hanging="360"/>
      </w:pPr>
    </w:lvl>
    <w:lvl w:ilvl="5" w:tplc="1792C356" w:tentative="1">
      <w:start w:val="1"/>
      <w:numFmt w:val="lowerRoman"/>
      <w:lvlText w:val="%6."/>
      <w:lvlJc w:val="right"/>
      <w:pPr>
        <w:ind w:left="4680" w:hanging="180"/>
      </w:pPr>
    </w:lvl>
    <w:lvl w:ilvl="6" w:tplc="4ACC0504" w:tentative="1">
      <w:start w:val="1"/>
      <w:numFmt w:val="decimal"/>
      <w:lvlText w:val="%7."/>
      <w:lvlJc w:val="left"/>
      <w:pPr>
        <w:ind w:left="5400" w:hanging="360"/>
      </w:pPr>
    </w:lvl>
    <w:lvl w:ilvl="7" w:tplc="ECFC1774" w:tentative="1">
      <w:start w:val="1"/>
      <w:numFmt w:val="lowerLetter"/>
      <w:lvlText w:val="%8."/>
      <w:lvlJc w:val="left"/>
      <w:pPr>
        <w:ind w:left="6120" w:hanging="360"/>
      </w:pPr>
    </w:lvl>
    <w:lvl w:ilvl="8" w:tplc="2CD0AE06" w:tentative="1">
      <w:start w:val="1"/>
      <w:numFmt w:val="lowerRoman"/>
      <w:lvlText w:val="%9."/>
      <w:lvlJc w:val="right"/>
      <w:pPr>
        <w:ind w:left="6840" w:hanging="180"/>
      </w:pPr>
    </w:lvl>
  </w:abstractNum>
  <w:abstractNum w:abstractNumId="32" w15:restartNumberingAfterBreak="0">
    <w:nsid w:val="58464CB6"/>
    <w:multiLevelType w:val="hybridMultilevel"/>
    <w:tmpl w:val="324AC8DC"/>
    <w:lvl w:ilvl="0" w:tplc="13502A58">
      <w:start w:val="1"/>
      <w:numFmt w:val="upperLetter"/>
      <w:lvlText w:val="%1."/>
      <w:lvlJc w:val="left"/>
      <w:pPr>
        <w:ind w:left="720" w:hanging="360"/>
      </w:pPr>
      <w:rPr>
        <w:rFonts w:hint="default"/>
      </w:rPr>
    </w:lvl>
    <w:lvl w:ilvl="1" w:tplc="E188DD5A" w:tentative="1">
      <w:start w:val="1"/>
      <w:numFmt w:val="lowerLetter"/>
      <w:lvlText w:val="%2."/>
      <w:lvlJc w:val="left"/>
      <w:pPr>
        <w:ind w:left="1440" w:hanging="360"/>
      </w:pPr>
    </w:lvl>
    <w:lvl w:ilvl="2" w:tplc="6C186EC6" w:tentative="1">
      <w:start w:val="1"/>
      <w:numFmt w:val="lowerRoman"/>
      <w:lvlText w:val="%3."/>
      <w:lvlJc w:val="right"/>
      <w:pPr>
        <w:ind w:left="2160" w:hanging="180"/>
      </w:pPr>
    </w:lvl>
    <w:lvl w:ilvl="3" w:tplc="30DCE93C" w:tentative="1">
      <w:start w:val="1"/>
      <w:numFmt w:val="decimal"/>
      <w:lvlText w:val="%4."/>
      <w:lvlJc w:val="left"/>
      <w:pPr>
        <w:ind w:left="2880" w:hanging="360"/>
      </w:pPr>
    </w:lvl>
    <w:lvl w:ilvl="4" w:tplc="5D8C4486" w:tentative="1">
      <w:start w:val="1"/>
      <w:numFmt w:val="lowerLetter"/>
      <w:lvlText w:val="%5."/>
      <w:lvlJc w:val="left"/>
      <w:pPr>
        <w:ind w:left="3600" w:hanging="360"/>
      </w:pPr>
    </w:lvl>
    <w:lvl w:ilvl="5" w:tplc="1C707B10" w:tentative="1">
      <w:start w:val="1"/>
      <w:numFmt w:val="lowerRoman"/>
      <w:lvlText w:val="%6."/>
      <w:lvlJc w:val="right"/>
      <w:pPr>
        <w:ind w:left="4320" w:hanging="180"/>
      </w:pPr>
    </w:lvl>
    <w:lvl w:ilvl="6" w:tplc="75663DEE" w:tentative="1">
      <w:start w:val="1"/>
      <w:numFmt w:val="decimal"/>
      <w:lvlText w:val="%7."/>
      <w:lvlJc w:val="left"/>
      <w:pPr>
        <w:ind w:left="5040" w:hanging="360"/>
      </w:pPr>
    </w:lvl>
    <w:lvl w:ilvl="7" w:tplc="3A540A6A" w:tentative="1">
      <w:start w:val="1"/>
      <w:numFmt w:val="lowerLetter"/>
      <w:lvlText w:val="%8."/>
      <w:lvlJc w:val="left"/>
      <w:pPr>
        <w:ind w:left="5760" w:hanging="360"/>
      </w:pPr>
    </w:lvl>
    <w:lvl w:ilvl="8" w:tplc="C180BD4A" w:tentative="1">
      <w:start w:val="1"/>
      <w:numFmt w:val="lowerRoman"/>
      <w:lvlText w:val="%9."/>
      <w:lvlJc w:val="right"/>
      <w:pPr>
        <w:ind w:left="6480" w:hanging="180"/>
      </w:pPr>
    </w:lvl>
  </w:abstractNum>
  <w:abstractNum w:abstractNumId="33" w15:restartNumberingAfterBreak="0">
    <w:nsid w:val="5B186FE4"/>
    <w:multiLevelType w:val="hybridMultilevel"/>
    <w:tmpl w:val="F9AE18C2"/>
    <w:lvl w:ilvl="0" w:tplc="63D8D6C0">
      <w:start w:val="1"/>
      <w:numFmt w:val="decimal"/>
      <w:lvlText w:val="(%1)"/>
      <w:lvlJc w:val="left"/>
      <w:pPr>
        <w:ind w:left="720" w:hanging="360"/>
      </w:pPr>
      <w:rPr>
        <w:rFonts w:hint="default"/>
        <w:b/>
      </w:rPr>
    </w:lvl>
    <w:lvl w:ilvl="1" w:tplc="150E2E30" w:tentative="1">
      <w:start w:val="1"/>
      <w:numFmt w:val="lowerLetter"/>
      <w:lvlText w:val="%2."/>
      <w:lvlJc w:val="left"/>
      <w:pPr>
        <w:ind w:left="1440" w:hanging="360"/>
      </w:pPr>
    </w:lvl>
    <w:lvl w:ilvl="2" w:tplc="6FF47A68" w:tentative="1">
      <w:start w:val="1"/>
      <w:numFmt w:val="lowerRoman"/>
      <w:lvlText w:val="%3."/>
      <w:lvlJc w:val="right"/>
      <w:pPr>
        <w:ind w:left="2160" w:hanging="180"/>
      </w:pPr>
    </w:lvl>
    <w:lvl w:ilvl="3" w:tplc="47364DE2" w:tentative="1">
      <w:start w:val="1"/>
      <w:numFmt w:val="decimal"/>
      <w:lvlText w:val="%4."/>
      <w:lvlJc w:val="left"/>
      <w:pPr>
        <w:ind w:left="2880" w:hanging="360"/>
      </w:pPr>
    </w:lvl>
    <w:lvl w:ilvl="4" w:tplc="6F24156C" w:tentative="1">
      <w:start w:val="1"/>
      <w:numFmt w:val="lowerLetter"/>
      <w:lvlText w:val="%5."/>
      <w:lvlJc w:val="left"/>
      <w:pPr>
        <w:ind w:left="3600" w:hanging="360"/>
      </w:pPr>
    </w:lvl>
    <w:lvl w:ilvl="5" w:tplc="42007104" w:tentative="1">
      <w:start w:val="1"/>
      <w:numFmt w:val="lowerRoman"/>
      <w:lvlText w:val="%6."/>
      <w:lvlJc w:val="right"/>
      <w:pPr>
        <w:ind w:left="4320" w:hanging="180"/>
      </w:pPr>
    </w:lvl>
    <w:lvl w:ilvl="6" w:tplc="0AB04D84" w:tentative="1">
      <w:start w:val="1"/>
      <w:numFmt w:val="decimal"/>
      <w:lvlText w:val="%7."/>
      <w:lvlJc w:val="left"/>
      <w:pPr>
        <w:ind w:left="5040" w:hanging="360"/>
      </w:pPr>
    </w:lvl>
    <w:lvl w:ilvl="7" w:tplc="30C6694C" w:tentative="1">
      <w:start w:val="1"/>
      <w:numFmt w:val="lowerLetter"/>
      <w:lvlText w:val="%8."/>
      <w:lvlJc w:val="left"/>
      <w:pPr>
        <w:ind w:left="5760" w:hanging="360"/>
      </w:pPr>
    </w:lvl>
    <w:lvl w:ilvl="8" w:tplc="FCECA232" w:tentative="1">
      <w:start w:val="1"/>
      <w:numFmt w:val="lowerRoman"/>
      <w:lvlText w:val="%9."/>
      <w:lvlJc w:val="right"/>
      <w:pPr>
        <w:ind w:left="6480" w:hanging="180"/>
      </w:pPr>
    </w:lvl>
  </w:abstractNum>
  <w:abstractNum w:abstractNumId="34" w15:restartNumberingAfterBreak="0">
    <w:nsid w:val="627E3CD3"/>
    <w:multiLevelType w:val="hybridMultilevel"/>
    <w:tmpl w:val="AAFCF180"/>
    <w:lvl w:ilvl="0" w:tplc="2AEC0BF6">
      <w:start w:val="1"/>
      <w:numFmt w:val="lowerLetter"/>
      <w:lvlText w:val="(%1)"/>
      <w:lvlJc w:val="left"/>
      <w:pPr>
        <w:ind w:left="1080" w:hanging="360"/>
      </w:pPr>
      <w:rPr>
        <w:rFonts w:cstheme="minorBidi" w:hint="default"/>
        <w:b w:val="0"/>
      </w:rPr>
    </w:lvl>
    <w:lvl w:ilvl="1" w:tplc="1C9AAAEC" w:tentative="1">
      <w:start w:val="1"/>
      <w:numFmt w:val="lowerLetter"/>
      <w:lvlText w:val="%2."/>
      <w:lvlJc w:val="left"/>
      <w:pPr>
        <w:ind w:left="1800" w:hanging="360"/>
      </w:pPr>
    </w:lvl>
    <w:lvl w:ilvl="2" w:tplc="C3B807DE" w:tentative="1">
      <w:start w:val="1"/>
      <w:numFmt w:val="lowerRoman"/>
      <w:lvlText w:val="%3."/>
      <w:lvlJc w:val="right"/>
      <w:pPr>
        <w:ind w:left="2520" w:hanging="180"/>
      </w:pPr>
    </w:lvl>
    <w:lvl w:ilvl="3" w:tplc="2E18D2BA" w:tentative="1">
      <w:start w:val="1"/>
      <w:numFmt w:val="decimal"/>
      <w:lvlText w:val="%4."/>
      <w:lvlJc w:val="left"/>
      <w:pPr>
        <w:ind w:left="3240" w:hanging="360"/>
      </w:pPr>
    </w:lvl>
    <w:lvl w:ilvl="4" w:tplc="A832377A" w:tentative="1">
      <w:start w:val="1"/>
      <w:numFmt w:val="lowerLetter"/>
      <w:lvlText w:val="%5."/>
      <w:lvlJc w:val="left"/>
      <w:pPr>
        <w:ind w:left="3960" w:hanging="360"/>
      </w:pPr>
    </w:lvl>
    <w:lvl w:ilvl="5" w:tplc="908E3AA4" w:tentative="1">
      <w:start w:val="1"/>
      <w:numFmt w:val="lowerRoman"/>
      <w:lvlText w:val="%6."/>
      <w:lvlJc w:val="right"/>
      <w:pPr>
        <w:ind w:left="4680" w:hanging="180"/>
      </w:pPr>
    </w:lvl>
    <w:lvl w:ilvl="6" w:tplc="3132B79C" w:tentative="1">
      <w:start w:val="1"/>
      <w:numFmt w:val="decimal"/>
      <w:lvlText w:val="%7."/>
      <w:lvlJc w:val="left"/>
      <w:pPr>
        <w:ind w:left="5400" w:hanging="360"/>
      </w:pPr>
    </w:lvl>
    <w:lvl w:ilvl="7" w:tplc="6010E1CE" w:tentative="1">
      <w:start w:val="1"/>
      <w:numFmt w:val="lowerLetter"/>
      <w:lvlText w:val="%8."/>
      <w:lvlJc w:val="left"/>
      <w:pPr>
        <w:ind w:left="6120" w:hanging="360"/>
      </w:pPr>
    </w:lvl>
    <w:lvl w:ilvl="8" w:tplc="31944662" w:tentative="1">
      <w:start w:val="1"/>
      <w:numFmt w:val="lowerRoman"/>
      <w:lvlText w:val="%9."/>
      <w:lvlJc w:val="right"/>
      <w:pPr>
        <w:ind w:left="6840" w:hanging="180"/>
      </w:pPr>
    </w:lvl>
  </w:abstractNum>
  <w:abstractNum w:abstractNumId="35" w15:restartNumberingAfterBreak="0">
    <w:nsid w:val="66CF71FE"/>
    <w:multiLevelType w:val="hybridMultilevel"/>
    <w:tmpl w:val="0AF81E12"/>
    <w:lvl w:ilvl="0" w:tplc="E97CE872">
      <w:start w:val="1"/>
      <w:numFmt w:val="decimal"/>
      <w:lvlText w:val="(%1)"/>
      <w:lvlJc w:val="left"/>
      <w:pPr>
        <w:ind w:left="720" w:hanging="360"/>
      </w:pPr>
      <w:rPr>
        <w:rFonts w:hint="default"/>
        <w:b/>
      </w:rPr>
    </w:lvl>
    <w:lvl w:ilvl="1" w:tplc="EAB246A8">
      <w:start w:val="1"/>
      <w:numFmt w:val="lowerLetter"/>
      <w:lvlText w:val="%2."/>
      <w:lvlJc w:val="left"/>
      <w:pPr>
        <w:ind w:left="1440" w:hanging="360"/>
      </w:pPr>
    </w:lvl>
    <w:lvl w:ilvl="2" w:tplc="20189E0A" w:tentative="1">
      <w:start w:val="1"/>
      <w:numFmt w:val="lowerRoman"/>
      <w:lvlText w:val="%3."/>
      <w:lvlJc w:val="right"/>
      <w:pPr>
        <w:ind w:left="2160" w:hanging="180"/>
      </w:pPr>
    </w:lvl>
    <w:lvl w:ilvl="3" w:tplc="620008FC" w:tentative="1">
      <w:start w:val="1"/>
      <w:numFmt w:val="decimal"/>
      <w:lvlText w:val="%4."/>
      <w:lvlJc w:val="left"/>
      <w:pPr>
        <w:ind w:left="2880" w:hanging="360"/>
      </w:pPr>
    </w:lvl>
    <w:lvl w:ilvl="4" w:tplc="0694A012" w:tentative="1">
      <w:start w:val="1"/>
      <w:numFmt w:val="lowerLetter"/>
      <w:lvlText w:val="%5."/>
      <w:lvlJc w:val="left"/>
      <w:pPr>
        <w:ind w:left="3600" w:hanging="360"/>
      </w:pPr>
    </w:lvl>
    <w:lvl w:ilvl="5" w:tplc="56627A5A" w:tentative="1">
      <w:start w:val="1"/>
      <w:numFmt w:val="lowerRoman"/>
      <w:lvlText w:val="%6."/>
      <w:lvlJc w:val="right"/>
      <w:pPr>
        <w:ind w:left="4320" w:hanging="180"/>
      </w:pPr>
    </w:lvl>
    <w:lvl w:ilvl="6" w:tplc="34AC2EF8" w:tentative="1">
      <w:start w:val="1"/>
      <w:numFmt w:val="decimal"/>
      <w:lvlText w:val="%7."/>
      <w:lvlJc w:val="left"/>
      <w:pPr>
        <w:ind w:left="5040" w:hanging="360"/>
      </w:pPr>
    </w:lvl>
    <w:lvl w:ilvl="7" w:tplc="68AE656A" w:tentative="1">
      <w:start w:val="1"/>
      <w:numFmt w:val="lowerLetter"/>
      <w:lvlText w:val="%8."/>
      <w:lvlJc w:val="left"/>
      <w:pPr>
        <w:ind w:left="5760" w:hanging="360"/>
      </w:pPr>
    </w:lvl>
    <w:lvl w:ilvl="8" w:tplc="F2D44C60" w:tentative="1">
      <w:start w:val="1"/>
      <w:numFmt w:val="lowerRoman"/>
      <w:lvlText w:val="%9."/>
      <w:lvlJc w:val="right"/>
      <w:pPr>
        <w:ind w:left="6480" w:hanging="180"/>
      </w:pPr>
    </w:lvl>
  </w:abstractNum>
  <w:abstractNum w:abstractNumId="36" w15:restartNumberingAfterBreak="0">
    <w:nsid w:val="6C635C86"/>
    <w:multiLevelType w:val="hybridMultilevel"/>
    <w:tmpl w:val="F11A1AD2"/>
    <w:lvl w:ilvl="0" w:tplc="B92E9A9A">
      <w:start w:val="1"/>
      <w:numFmt w:val="decimal"/>
      <w:lvlText w:val="(%1)"/>
      <w:lvlJc w:val="left"/>
      <w:pPr>
        <w:ind w:left="720" w:hanging="360"/>
      </w:pPr>
      <w:rPr>
        <w:rFonts w:hint="default"/>
      </w:rPr>
    </w:lvl>
    <w:lvl w:ilvl="1" w:tplc="70609DF0">
      <w:start w:val="1"/>
      <w:numFmt w:val="lowerLetter"/>
      <w:lvlText w:val="%2."/>
      <w:lvlJc w:val="left"/>
      <w:pPr>
        <w:ind w:left="1440" w:hanging="360"/>
      </w:pPr>
    </w:lvl>
    <w:lvl w:ilvl="2" w:tplc="6EAC1A82" w:tentative="1">
      <w:start w:val="1"/>
      <w:numFmt w:val="lowerRoman"/>
      <w:lvlText w:val="%3."/>
      <w:lvlJc w:val="right"/>
      <w:pPr>
        <w:ind w:left="2160" w:hanging="180"/>
      </w:pPr>
    </w:lvl>
    <w:lvl w:ilvl="3" w:tplc="598820DC" w:tentative="1">
      <w:start w:val="1"/>
      <w:numFmt w:val="decimal"/>
      <w:lvlText w:val="%4."/>
      <w:lvlJc w:val="left"/>
      <w:pPr>
        <w:ind w:left="2880" w:hanging="360"/>
      </w:pPr>
    </w:lvl>
    <w:lvl w:ilvl="4" w:tplc="06007DB8" w:tentative="1">
      <w:start w:val="1"/>
      <w:numFmt w:val="lowerLetter"/>
      <w:lvlText w:val="%5."/>
      <w:lvlJc w:val="left"/>
      <w:pPr>
        <w:ind w:left="3600" w:hanging="360"/>
      </w:pPr>
    </w:lvl>
    <w:lvl w:ilvl="5" w:tplc="9424D180" w:tentative="1">
      <w:start w:val="1"/>
      <w:numFmt w:val="lowerRoman"/>
      <w:lvlText w:val="%6."/>
      <w:lvlJc w:val="right"/>
      <w:pPr>
        <w:ind w:left="4320" w:hanging="180"/>
      </w:pPr>
    </w:lvl>
    <w:lvl w:ilvl="6" w:tplc="927E54C8" w:tentative="1">
      <w:start w:val="1"/>
      <w:numFmt w:val="decimal"/>
      <w:lvlText w:val="%7."/>
      <w:lvlJc w:val="left"/>
      <w:pPr>
        <w:ind w:left="5040" w:hanging="360"/>
      </w:pPr>
    </w:lvl>
    <w:lvl w:ilvl="7" w:tplc="FD983A3C" w:tentative="1">
      <w:start w:val="1"/>
      <w:numFmt w:val="lowerLetter"/>
      <w:lvlText w:val="%8."/>
      <w:lvlJc w:val="left"/>
      <w:pPr>
        <w:ind w:left="5760" w:hanging="360"/>
      </w:pPr>
    </w:lvl>
    <w:lvl w:ilvl="8" w:tplc="8294DDB8" w:tentative="1">
      <w:start w:val="1"/>
      <w:numFmt w:val="lowerRoman"/>
      <w:lvlText w:val="%9."/>
      <w:lvlJc w:val="right"/>
      <w:pPr>
        <w:ind w:left="6480" w:hanging="180"/>
      </w:pPr>
    </w:lvl>
  </w:abstractNum>
  <w:abstractNum w:abstractNumId="37" w15:restartNumberingAfterBreak="0">
    <w:nsid w:val="6F1016D2"/>
    <w:multiLevelType w:val="hybridMultilevel"/>
    <w:tmpl w:val="3CA4DACA"/>
    <w:lvl w:ilvl="0" w:tplc="A30A45E8">
      <w:start w:val="1"/>
      <w:numFmt w:val="decimal"/>
      <w:lvlText w:val="(%1)"/>
      <w:lvlJc w:val="left"/>
      <w:pPr>
        <w:ind w:left="720" w:hanging="360"/>
      </w:pPr>
      <w:rPr>
        <w:rFonts w:hint="default"/>
        <w:b/>
      </w:rPr>
    </w:lvl>
    <w:lvl w:ilvl="1" w:tplc="5F3C142E" w:tentative="1">
      <w:start w:val="1"/>
      <w:numFmt w:val="lowerLetter"/>
      <w:lvlText w:val="%2."/>
      <w:lvlJc w:val="left"/>
      <w:pPr>
        <w:ind w:left="1440" w:hanging="360"/>
      </w:pPr>
    </w:lvl>
    <w:lvl w:ilvl="2" w:tplc="ADF4FBAC" w:tentative="1">
      <w:start w:val="1"/>
      <w:numFmt w:val="lowerRoman"/>
      <w:lvlText w:val="%3."/>
      <w:lvlJc w:val="right"/>
      <w:pPr>
        <w:ind w:left="2160" w:hanging="180"/>
      </w:pPr>
    </w:lvl>
    <w:lvl w:ilvl="3" w:tplc="A558D0CE" w:tentative="1">
      <w:start w:val="1"/>
      <w:numFmt w:val="decimal"/>
      <w:lvlText w:val="%4."/>
      <w:lvlJc w:val="left"/>
      <w:pPr>
        <w:ind w:left="2880" w:hanging="360"/>
      </w:pPr>
    </w:lvl>
    <w:lvl w:ilvl="4" w:tplc="0D7E0E62" w:tentative="1">
      <w:start w:val="1"/>
      <w:numFmt w:val="lowerLetter"/>
      <w:lvlText w:val="%5."/>
      <w:lvlJc w:val="left"/>
      <w:pPr>
        <w:ind w:left="3600" w:hanging="360"/>
      </w:pPr>
    </w:lvl>
    <w:lvl w:ilvl="5" w:tplc="3D962F7C" w:tentative="1">
      <w:start w:val="1"/>
      <w:numFmt w:val="lowerRoman"/>
      <w:lvlText w:val="%6."/>
      <w:lvlJc w:val="right"/>
      <w:pPr>
        <w:ind w:left="4320" w:hanging="180"/>
      </w:pPr>
    </w:lvl>
    <w:lvl w:ilvl="6" w:tplc="16B44086" w:tentative="1">
      <w:start w:val="1"/>
      <w:numFmt w:val="decimal"/>
      <w:lvlText w:val="%7."/>
      <w:lvlJc w:val="left"/>
      <w:pPr>
        <w:ind w:left="5040" w:hanging="360"/>
      </w:pPr>
    </w:lvl>
    <w:lvl w:ilvl="7" w:tplc="CA6C0CE2" w:tentative="1">
      <w:start w:val="1"/>
      <w:numFmt w:val="lowerLetter"/>
      <w:lvlText w:val="%8."/>
      <w:lvlJc w:val="left"/>
      <w:pPr>
        <w:ind w:left="5760" w:hanging="360"/>
      </w:pPr>
    </w:lvl>
    <w:lvl w:ilvl="8" w:tplc="BA444FFC" w:tentative="1">
      <w:start w:val="1"/>
      <w:numFmt w:val="lowerRoman"/>
      <w:lvlText w:val="%9."/>
      <w:lvlJc w:val="right"/>
      <w:pPr>
        <w:ind w:left="6480" w:hanging="180"/>
      </w:pPr>
    </w:lvl>
  </w:abstractNum>
  <w:abstractNum w:abstractNumId="38" w15:restartNumberingAfterBreak="0">
    <w:nsid w:val="70A24CC3"/>
    <w:multiLevelType w:val="multilevel"/>
    <w:tmpl w:val="B15CC7E2"/>
    <w:name w:val="zzmpStandard||Standard|2|3|1|1|0|32||1|0|32||1|0|32||1|0|32||1|0|32||1|0|32||1|0|32||1|0|32||1|0|32||"/>
    <w:lvl w:ilvl="0">
      <w:start w:val="1"/>
      <w:numFmt w:val="decimal"/>
      <w:pStyle w:val="StandardL1"/>
      <w:lvlText w:val="%1."/>
      <w:lvlJc w:val="left"/>
      <w:pPr>
        <w:tabs>
          <w:tab w:val="num" w:pos="720"/>
        </w:tabs>
        <w:ind w:left="720" w:hanging="720"/>
      </w:pPr>
      <w:rPr>
        <w:b w:val="0"/>
        <w:i w:val="0"/>
        <w:caps w:val="0"/>
        <w:u w:val="none"/>
      </w:rPr>
    </w:lvl>
    <w:lvl w:ilvl="1">
      <w:start w:val="1"/>
      <w:numFmt w:val="lowerLetter"/>
      <w:pStyle w:val="StandardL2"/>
      <w:lvlText w:val="(%2)"/>
      <w:lvlJc w:val="left"/>
      <w:pPr>
        <w:tabs>
          <w:tab w:val="num" w:pos="1440"/>
        </w:tabs>
        <w:ind w:left="144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StandardL3"/>
      <w:lvlText w:val="(%3)"/>
      <w:lvlJc w:val="left"/>
      <w:pPr>
        <w:tabs>
          <w:tab w:val="num" w:pos="2160"/>
        </w:tabs>
        <w:ind w:left="216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pStyle w:val="StandardL4"/>
      <w:lvlText w:val="(%4)"/>
      <w:lvlJc w:val="left"/>
      <w:pPr>
        <w:tabs>
          <w:tab w:val="num" w:pos="2880"/>
        </w:tabs>
        <w:ind w:left="288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StandardL5"/>
      <w:lvlText w:val="(%5)"/>
      <w:lvlJc w:val="left"/>
      <w:pPr>
        <w:tabs>
          <w:tab w:val="num" w:pos="3600"/>
        </w:tabs>
        <w:ind w:left="360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StandardL6"/>
      <w:lvlText w:val="%6."/>
      <w:lvlJc w:val="left"/>
      <w:pPr>
        <w:tabs>
          <w:tab w:val="num" w:pos="4320"/>
        </w:tabs>
        <w:ind w:left="432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upperRoman"/>
      <w:pStyle w:val="StandardL7"/>
      <w:lvlText w:val="%7."/>
      <w:lvlJc w:val="left"/>
      <w:pPr>
        <w:tabs>
          <w:tab w:val="num" w:pos="5040"/>
        </w:tabs>
        <w:ind w:left="504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StandardL8"/>
      <w:lvlText w:val="%8)"/>
      <w:lvlJc w:val="left"/>
      <w:pPr>
        <w:tabs>
          <w:tab w:val="num" w:pos="5760"/>
        </w:tabs>
        <w:ind w:left="576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StandardL9"/>
      <w:lvlText w:val="%9)"/>
      <w:lvlJc w:val="left"/>
      <w:pPr>
        <w:tabs>
          <w:tab w:val="num" w:pos="6480"/>
        </w:tabs>
        <w:ind w:left="648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75877AF9"/>
    <w:multiLevelType w:val="hybridMultilevel"/>
    <w:tmpl w:val="0E0AEAFC"/>
    <w:lvl w:ilvl="0" w:tplc="6BFE8E70">
      <w:start w:val="1"/>
      <w:numFmt w:val="decimal"/>
      <w:lvlText w:val="(%1)"/>
      <w:lvlJc w:val="left"/>
      <w:pPr>
        <w:ind w:left="720" w:hanging="360"/>
      </w:pPr>
      <w:rPr>
        <w:rFonts w:hint="default"/>
        <w:b/>
      </w:rPr>
    </w:lvl>
    <w:lvl w:ilvl="1" w:tplc="E174AB64">
      <w:start w:val="1"/>
      <w:numFmt w:val="lowerLetter"/>
      <w:lvlText w:val="%2."/>
      <w:lvlJc w:val="left"/>
      <w:pPr>
        <w:ind w:left="1440" w:hanging="360"/>
      </w:pPr>
      <w:rPr>
        <w:b w:val="0"/>
      </w:rPr>
    </w:lvl>
    <w:lvl w:ilvl="2" w:tplc="933CEDEE" w:tentative="1">
      <w:start w:val="1"/>
      <w:numFmt w:val="lowerRoman"/>
      <w:lvlText w:val="%3."/>
      <w:lvlJc w:val="right"/>
      <w:pPr>
        <w:ind w:left="2160" w:hanging="180"/>
      </w:pPr>
    </w:lvl>
    <w:lvl w:ilvl="3" w:tplc="7AEEA1C0" w:tentative="1">
      <w:start w:val="1"/>
      <w:numFmt w:val="decimal"/>
      <w:lvlText w:val="%4."/>
      <w:lvlJc w:val="left"/>
      <w:pPr>
        <w:ind w:left="2880" w:hanging="360"/>
      </w:pPr>
    </w:lvl>
    <w:lvl w:ilvl="4" w:tplc="CDA60960" w:tentative="1">
      <w:start w:val="1"/>
      <w:numFmt w:val="lowerLetter"/>
      <w:lvlText w:val="%5."/>
      <w:lvlJc w:val="left"/>
      <w:pPr>
        <w:ind w:left="3600" w:hanging="360"/>
      </w:pPr>
    </w:lvl>
    <w:lvl w:ilvl="5" w:tplc="1AA6D5D0" w:tentative="1">
      <w:start w:val="1"/>
      <w:numFmt w:val="lowerRoman"/>
      <w:lvlText w:val="%6."/>
      <w:lvlJc w:val="right"/>
      <w:pPr>
        <w:ind w:left="4320" w:hanging="180"/>
      </w:pPr>
    </w:lvl>
    <w:lvl w:ilvl="6" w:tplc="2F5C4C86" w:tentative="1">
      <w:start w:val="1"/>
      <w:numFmt w:val="decimal"/>
      <w:lvlText w:val="%7."/>
      <w:lvlJc w:val="left"/>
      <w:pPr>
        <w:ind w:left="5040" w:hanging="360"/>
      </w:pPr>
    </w:lvl>
    <w:lvl w:ilvl="7" w:tplc="2C9CCC84" w:tentative="1">
      <w:start w:val="1"/>
      <w:numFmt w:val="lowerLetter"/>
      <w:lvlText w:val="%8."/>
      <w:lvlJc w:val="left"/>
      <w:pPr>
        <w:ind w:left="5760" w:hanging="360"/>
      </w:pPr>
    </w:lvl>
    <w:lvl w:ilvl="8" w:tplc="8C901612" w:tentative="1">
      <w:start w:val="1"/>
      <w:numFmt w:val="lowerRoman"/>
      <w:lvlText w:val="%9."/>
      <w:lvlJc w:val="right"/>
      <w:pPr>
        <w:ind w:left="6480" w:hanging="180"/>
      </w:pPr>
    </w:lvl>
  </w:abstractNum>
  <w:abstractNum w:abstractNumId="40" w15:restartNumberingAfterBreak="0">
    <w:nsid w:val="7B6F2F9A"/>
    <w:multiLevelType w:val="hybridMultilevel"/>
    <w:tmpl w:val="BC603092"/>
    <w:lvl w:ilvl="0" w:tplc="ECFAF9AC">
      <w:start w:val="1"/>
      <w:numFmt w:val="decimal"/>
      <w:lvlText w:val="(%1)"/>
      <w:lvlJc w:val="left"/>
      <w:pPr>
        <w:ind w:left="720" w:hanging="360"/>
      </w:pPr>
      <w:rPr>
        <w:rFonts w:hint="default"/>
      </w:rPr>
    </w:lvl>
    <w:lvl w:ilvl="1" w:tplc="F24A81E8" w:tentative="1">
      <w:start w:val="1"/>
      <w:numFmt w:val="lowerLetter"/>
      <w:lvlText w:val="%2."/>
      <w:lvlJc w:val="left"/>
      <w:pPr>
        <w:ind w:left="1440" w:hanging="360"/>
      </w:pPr>
    </w:lvl>
    <w:lvl w:ilvl="2" w:tplc="1AF69C50" w:tentative="1">
      <w:start w:val="1"/>
      <w:numFmt w:val="lowerRoman"/>
      <w:lvlText w:val="%3."/>
      <w:lvlJc w:val="right"/>
      <w:pPr>
        <w:ind w:left="2160" w:hanging="180"/>
      </w:pPr>
    </w:lvl>
    <w:lvl w:ilvl="3" w:tplc="3E40697C" w:tentative="1">
      <w:start w:val="1"/>
      <w:numFmt w:val="decimal"/>
      <w:lvlText w:val="%4."/>
      <w:lvlJc w:val="left"/>
      <w:pPr>
        <w:ind w:left="2880" w:hanging="360"/>
      </w:pPr>
    </w:lvl>
    <w:lvl w:ilvl="4" w:tplc="2BACE0F0" w:tentative="1">
      <w:start w:val="1"/>
      <w:numFmt w:val="lowerLetter"/>
      <w:lvlText w:val="%5."/>
      <w:lvlJc w:val="left"/>
      <w:pPr>
        <w:ind w:left="3600" w:hanging="360"/>
      </w:pPr>
    </w:lvl>
    <w:lvl w:ilvl="5" w:tplc="E8EADD10" w:tentative="1">
      <w:start w:val="1"/>
      <w:numFmt w:val="lowerRoman"/>
      <w:lvlText w:val="%6."/>
      <w:lvlJc w:val="right"/>
      <w:pPr>
        <w:ind w:left="4320" w:hanging="180"/>
      </w:pPr>
    </w:lvl>
    <w:lvl w:ilvl="6" w:tplc="62745D08" w:tentative="1">
      <w:start w:val="1"/>
      <w:numFmt w:val="decimal"/>
      <w:lvlText w:val="%7."/>
      <w:lvlJc w:val="left"/>
      <w:pPr>
        <w:ind w:left="5040" w:hanging="360"/>
      </w:pPr>
    </w:lvl>
    <w:lvl w:ilvl="7" w:tplc="75A80F74" w:tentative="1">
      <w:start w:val="1"/>
      <w:numFmt w:val="lowerLetter"/>
      <w:lvlText w:val="%8."/>
      <w:lvlJc w:val="left"/>
      <w:pPr>
        <w:ind w:left="5760" w:hanging="360"/>
      </w:pPr>
    </w:lvl>
    <w:lvl w:ilvl="8" w:tplc="3ACCF8D0"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7"/>
  </w:num>
  <w:num w:numId="12">
    <w:abstractNumId w:val="16"/>
  </w:num>
  <w:num w:numId="13">
    <w:abstractNumId w:val="36"/>
  </w:num>
  <w:num w:numId="14">
    <w:abstractNumId w:val="23"/>
  </w:num>
  <w:num w:numId="15">
    <w:abstractNumId w:val="21"/>
  </w:num>
  <w:num w:numId="16">
    <w:abstractNumId w:val="33"/>
  </w:num>
  <w:num w:numId="17">
    <w:abstractNumId w:val="26"/>
  </w:num>
  <w:num w:numId="18">
    <w:abstractNumId w:val="14"/>
  </w:num>
  <w:num w:numId="19">
    <w:abstractNumId w:val="31"/>
  </w:num>
  <w:num w:numId="20">
    <w:abstractNumId w:val="19"/>
  </w:num>
  <w:num w:numId="21">
    <w:abstractNumId w:val="13"/>
  </w:num>
  <w:num w:numId="22">
    <w:abstractNumId w:val="40"/>
  </w:num>
  <w:num w:numId="23">
    <w:abstractNumId w:val="10"/>
  </w:num>
  <w:num w:numId="24">
    <w:abstractNumId w:val="17"/>
  </w:num>
  <w:num w:numId="25">
    <w:abstractNumId w:val="27"/>
  </w:num>
  <w:num w:numId="26">
    <w:abstractNumId w:val="24"/>
  </w:num>
  <w:num w:numId="27">
    <w:abstractNumId w:val="25"/>
  </w:num>
  <w:num w:numId="28">
    <w:abstractNumId w:val="30"/>
  </w:num>
  <w:num w:numId="29">
    <w:abstractNumId w:val="20"/>
  </w:num>
  <w:num w:numId="30">
    <w:abstractNumId w:val="35"/>
  </w:num>
  <w:num w:numId="31">
    <w:abstractNumId w:val="29"/>
  </w:num>
  <w:num w:numId="32">
    <w:abstractNumId w:val="39"/>
  </w:num>
  <w:num w:numId="33">
    <w:abstractNumId w:val="28"/>
  </w:num>
  <w:num w:numId="34">
    <w:abstractNumId w:val="32"/>
  </w:num>
  <w:num w:numId="35">
    <w:abstractNumId w:val="22"/>
  </w:num>
  <w:num w:numId="36">
    <w:abstractNumId w:val="15"/>
  </w:num>
  <w:num w:numId="37">
    <w:abstractNumId w:val="22"/>
  </w:num>
  <w:num w:numId="38">
    <w:abstractNumId w:val="15"/>
  </w:num>
  <w:num w:numId="39">
    <w:abstractNumId w:val="18"/>
  </w:num>
  <w:num w:numId="40">
    <w:abstractNumId w:val="11"/>
  </w:num>
  <w:num w:numId="41">
    <w:abstractNumId w:val="12"/>
  </w:num>
  <w:num w:numId="42">
    <w:abstractNumId w:val="34"/>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1"/>
  <w:removePersonalInformation/>
  <w:removeDateAndTim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MPLegacyTrailerRemoved" w:val="False"/>
    <w:docVar w:name="mpo06570023" w:val="ÌÍ^`~#mp!@A⌉@#I└┪84œ⌓mhHkÏe.gðjwpa¶l⌂⌈⌝d⌊h!@$⌙DSR?;UMLPK011"/>
    <w:docVar w:name="mpo07056534" w:val="ÌÍ^`~#mp!@:BL#P┚┫9:ř⌔miNlÐk/hökxpg·m⌈⌉⌞j⌋i!@7. LT&lt;:WJKRH011"/>
    <w:docVar w:name="mpo17661345" w:val="ÌÍ^`~#mp!@A$H#Y┗┫97Ŗ⌔miKlÐh/hókxpd·m⌅⌉⌞g⌋i!@`&quot;⌡0S&lt;7VJHQH011"/>
    <w:docVar w:name="mpo19797611" w:val="ÌÍ^`~#mp!@\I*#!┛┨4;{Ś⌑mdOiËl,c÷hsph´h⌉⌆⌙k⌈d!@(P⌄⌝X95[GFVE011"/>
    <w:docVar w:name="mpo40168661" w:val="ÌÍ^`~#mp!@I&gt;⌑#*┚┥5:}|ř⌎meNfÌk)döetpg±i⌈⌃⌚j⌅e!@⌌&lt;⌒WV:;YHLTF011"/>
    <w:docVar w:name="mpo50849992" w:val="ÌÍ^`~#mp!@BPR#⌠├┬4&lt;{ś⌕mdPmËm0cølspi¸h⌊⌊⌙l⌌d!@9;_-UB7XPHSN011"/>
    <w:docVar w:name="mpo71321630" w:val="ÌÍ^`~#mp!@+⌊⌔#a└┥:6}œ⌎mjHfÑe)iðeypa±n0e⌋⌂⌜ˏ⌄‚!@8`L⌞Y@5\NFWL011"/>
    <w:docVar w:name="mpo83071095" w:val="ÌÍ^`~#mp!@⌑⌡⌆#$┗┤49|{Ŗ⌍mdKeËh(códspd°h3b⌅⌅⌛ţ⌇“!@BSc$XB6[PGVN011"/>
    <w:docVar w:name="mpo84144706" w:val="ÌÍ^`~#mp!@&quot;⌑8#D┕┩75~Ŕ⌒mgIjÎf-fñivpbµk⌃⌇⌜e⌉g!@W8⌙⌖U;5XIFSG011"/>
    <w:docVar w:name="mpo92911696" w:val="ÌÍ^`~#mp!@⌜⌗[#G┖┭86ŕ⌖mhJnÏg1gòmwpc¹l⌄⌋⌝f⌍h!@;⌚@⌖R?5UMFPK011"/>
    <w:docVar w:name="PaperType" w:val="plain"/>
    <w:docVar w:name="zzmp10LastTrailerInserted" w:val="^`~#mp!@MI⌝#$┛┦696ŕmO⌏É2⌕‭Á¦p+⌛⌕r⌛í¹*”⌔½!⌏Áſ]¸Z.o¼ë|@1Öän},‡hôéî¿℥S(⌝Ví.˟⌑¯´mMÎ‷•⌉ƀ:⌙~⌂„⌜&lt;⌓Ø⌐ŕµU·&quot;:æ¾‥©\Û⌛Úäü•«3×Â⌃zŔôÇH MÕ⌃ü 3w×‖XåP¨°‛ÿ¼zƁ⁀6l‚z«:Q~⌃&lt;qºÈÈR|h‭(⌡ixÖ&amp;ÏËl⌝N3`0&quot;2Ø⌉P´FíSJDNH011"/>
    <w:docVar w:name="zzmp10LastTrailerInserted_1078" w:val="^`~#mp!@MI⌝#$┛┦696ŕmO⌏É2⌕‭Á¦p+⌛⌕r⌛í¹*”⌔½!⌏Áſ]¸Z.o¼ë|@1Öän},‡hôéî¿℥S(⌝Ví.˟⌑¯´mMÎ‷•⌉ƀ:⌙~⌂„⌜&lt;⌓Ø⌐ŕµU·&quot;:æ¾‥©\Û⌛Úäü•«3×Â⌃zŔôÇH MÕ⌃ü 3w×‖XåP¨°‛ÿ¼zƁ⁀6l‚z«:Q~⌃&lt;qºÈÈR|h‭(⌡ixÖ&amp;ÏËl⌝N3`0&quot;2Ø⌉P´FíSJDNH011"/>
    <w:docVar w:name="zzmp10mSEGsValidated" w:val="1"/>
    <w:docVar w:name="zzmp10TP" w:val="11863948"/>
    <w:docVar w:name="zzmpCompatibilityMode" w:val="14"/>
    <w:docVar w:name="zzmpLTFontsClean" w:val="True"/>
    <w:docVar w:name="zzmpnSession" w:val="0.5403711"/>
  </w:docVars>
  <w:rsids>
    <w:rsidRoot w:val="00115F06"/>
    <w:rsid w:val="0009733D"/>
    <w:rsid w:val="000A40D6"/>
    <w:rsid w:val="0011079D"/>
    <w:rsid w:val="00115F06"/>
    <w:rsid w:val="00145159"/>
    <w:rsid w:val="001F4FF6"/>
    <w:rsid w:val="00284ACD"/>
    <w:rsid w:val="002D5217"/>
    <w:rsid w:val="003153EC"/>
    <w:rsid w:val="003E40AE"/>
    <w:rsid w:val="003F30A7"/>
    <w:rsid w:val="003F4F61"/>
    <w:rsid w:val="004466A9"/>
    <w:rsid w:val="005156E2"/>
    <w:rsid w:val="005232AB"/>
    <w:rsid w:val="00542E9B"/>
    <w:rsid w:val="00566583"/>
    <w:rsid w:val="005861AA"/>
    <w:rsid w:val="005A709A"/>
    <w:rsid w:val="005D3F88"/>
    <w:rsid w:val="005E6F9E"/>
    <w:rsid w:val="0066623A"/>
    <w:rsid w:val="006A292A"/>
    <w:rsid w:val="006E048F"/>
    <w:rsid w:val="00701E68"/>
    <w:rsid w:val="00747860"/>
    <w:rsid w:val="00780F1D"/>
    <w:rsid w:val="007B3A3F"/>
    <w:rsid w:val="00806826"/>
    <w:rsid w:val="008A1785"/>
    <w:rsid w:val="008D3E5A"/>
    <w:rsid w:val="00906D7E"/>
    <w:rsid w:val="009709AD"/>
    <w:rsid w:val="00A5468E"/>
    <w:rsid w:val="00A70CA4"/>
    <w:rsid w:val="00A71CFD"/>
    <w:rsid w:val="00A97B5F"/>
    <w:rsid w:val="00AE08A4"/>
    <w:rsid w:val="00B65F12"/>
    <w:rsid w:val="00BA7657"/>
    <w:rsid w:val="00BA7686"/>
    <w:rsid w:val="00C07727"/>
    <w:rsid w:val="00C1529C"/>
    <w:rsid w:val="00C5362F"/>
    <w:rsid w:val="00C62770"/>
    <w:rsid w:val="00CB4964"/>
    <w:rsid w:val="00D25AD5"/>
    <w:rsid w:val="00E71AE1"/>
    <w:rsid w:val="00EC284F"/>
    <w:rsid w:val="00EC2CB5"/>
    <w:rsid w:val="00F12968"/>
    <w:rsid w:val="00F56CB2"/>
    <w:rsid w:val="00F96D6F"/>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40"/>
        <w:jc w:val="both"/>
      </w:pPr>
    </w:pPrDefault>
  </w:docDefaults>
  <w:latentStyles w:defLockedState="0" w:defUIPriority="99" w:defSemiHidden="0" w:defUnhideWhenUsed="0" w:defQFormat="0" w:count="371">
    <w:lsdException w:name="Normal" w:uiPriority="98" w:qFormat="1"/>
    <w:lsdException w:name="heading 1" w:uiPriority="1" w:qFormat="1"/>
    <w:lsdException w:name="heading 2" w:uiPriority="1" w:qFormat="1"/>
    <w:lsdException w:name="heading 3" w:uiPriority="1" w:qFormat="1"/>
    <w:lsdException w:name="heading 4" w:uiPriority="34" w:qFormat="1"/>
    <w:lsdException w:name="heading 5" w:uiPriority="34" w:qFormat="1"/>
    <w:lsdException w:name="heading 6" w:uiPriority="34" w:qFormat="1"/>
    <w:lsdException w:name="heading 7" w:uiPriority="34" w:unhideWhenUsed="1" w:qFormat="1"/>
    <w:lsdException w:name="heading 8" w:uiPriority="34" w:unhideWhenUsed="1" w:qFormat="1"/>
    <w:lsdException w:name="heading 9" w:uiPriority="3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uiPriority="3"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1"/>
    <w:lsdException w:name="Salutation" w:semiHidden="1" w:unhideWhenUsed="1"/>
    <w:lsdException w:name="Date" w:semiHidden="1"/>
    <w:lsdException w:name="Body Text First Indent" w:uiPriority="3" w:qFormat="1"/>
    <w:lsdException w:name="Body Text First Indent 2" w:uiPriority="4" w:unhideWhenUsed="1" w:qFormat="1"/>
    <w:lsdException w:name="Note Heading" w:semiHidden="1" w:unhideWhenUsed="1"/>
    <w:lsdException w:name="Body Text 2" w:uiPriority="2" w:unhideWhenUsed="1" w:qFormat="1"/>
    <w:lsdException w:name="Body Text 3" w:uiPriority="8" w:unhideWhenUsed="1" w:qFormat="1"/>
    <w:lsdException w:name="Body Text Indent 2" w:uiPriority="4" w:unhideWhenUsed="1" w:qFormat="1"/>
    <w:lsdException w:name="Body Text Indent 3" w:uiPriority="8" w:unhideWhenUsed="1" w:qFormat="1"/>
    <w:lsdException w:name="Block Text" w:semiHidden="1" w:unhideWhenUsed="1"/>
    <w:lsdException w:name="Hyperlink" w:semiHidden="1" w:unhideWhenUsed="1"/>
    <w:lsdException w:name="FollowedHyperlink" w:semiHidden="1" w:unhideWhenUsed="1"/>
    <w:lsdException w:name="Strong" w:uiPriority="52"/>
    <w:lsdException w:name="Emphasis" w:uiPriority="5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59"/>
    <w:lsdException w:name="Intense Quote" w:uiPriority="6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lsdException w:name="Intense Emphasis" w:uiPriority="51"/>
    <w:lsdException w:name="Subtle Reference" w:uiPriority="61"/>
    <w:lsdException w:name="Intense Reference" w:uiPriority="62"/>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8"/>
    <w:qFormat/>
    <w:rPr>
      <w:lang w:val="en-CA"/>
    </w:rPr>
  </w:style>
  <w:style w:type="paragraph" w:styleId="Heading1">
    <w:name w:val="heading 1"/>
    <w:basedOn w:val="Normal"/>
    <w:next w:val="Normal"/>
    <w:link w:val="Heading1Char"/>
    <w:uiPriority w:val="1"/>
    <w:qFormat/>
    <w:pPr>
      <w:keepNext/>
      <w:keepLines/>
      <w:jc w:val="center"/>
      <w:outlineLvl w:val="0"/>
    </w:pPr>
    <w:rPr>
      <w:rFonts w:asciiTheme="majorHAnsi" w:eastAsiaTheme="majorEastAsia" w:hAnsiTheme="majorHAnsi" w:cstheme="majorBidi"/>
      <w:b/>
      <w:bCs/>
      <w:caps/>
      <w:szCs w:val="28"/>
    </w:rPr>
  </w:style>
  <w:style w:type="paragraph" w:styleId="Heading2">
    <w:name w:val="heading 2"/>
    <w:basedOn w:val="Normal"/>
    <w:next w:val="Normal"/>
    <w:link w:val="Heading2Char"/>
    <w:uiPriority w:val="1"/>
    <w:qFormat/>
    <w:pPr>
      <w:keepNext/>
      <w:keepLines/>
      <w:outlineLvl w:val="1"/>
    </w:pPr>
    <w:rPr>
      <w:rFonts w:asciiTheme="majorHAnsi" w:eastAsiaTheme="majorEastAsia" w:hAnsiTheme="majorHAnsi" w:cstheme="majorBidi"/>
      <w:b/>
      <w:bCs/>
      <w:i/>
      <w:szCs w:val="26"/>
    </w:rPr>
  </w:style>
  <w:style w:type="paragraph" w:styleId="Heading3">
    <w:name w:val="heading 3"/>
    <w:basedOn w:val="Normal"/>
    <w:next w:val="Normal"/>
    <w:link w:val="Heading3Char"/>
    <w:uiPriority w:val="1"/>
    <w:qFormat/>
    <w:pPr>
      <w:keepLines/>
      <w:outlineLvl w:val="2"/>
    </w:pPr>
    <w:rPr>
      <w:rFonts w:asciiTheme="majorHAnsi" w:eastAsiaTheme="majorEastAsia" w:hAnsiTheme="majorHAnsi" w:cstheme="majorBidi"/>
      <w:bCs/>
      <w:i/>
    </w:rPr>
  </w:style>
  <w:style w:type="paragraph" w:styleId="Heading4">
    <w:name w:val="heading 4"/>
    <w:basedOn w:val="Normal"/>
    <w:next w:val="Normal"/>
    <w:link w:val="Heading4Char"/>
    <w:uiPriority w:val="34"/>
    <w:semiHidden/>
    <w:qFormat/>
    <w:pPr>
      <w:keepLines/>
      <w:outlineLvl w:val="3"/>
    </w:pPr>
    <w:rPr>
      <w:rFonts w:asciiTheme="majorHAnsi" w:eastAsiaTheme="majorEastAsia" w:hAnsiTheme="majorHAnsi" w:cstheme="majorBidi"/>
      <w:bCs/>
      <w:iCs/>
      <w:color w:val="0F0F0F" w:themeColor="text1"/>
    </w:rPr>
  </w:style>
  <w:style w:type="paragraph" w:styleId="Heading5">
    <w:name w:val="heading 5"/>
    <w:basedOn w:val="Normal"/>
    <w:next w:val="Normal"/>
    <w:link w:val="Heading5Char"/>
    <w:uiPriority w:val="34"/>
    <w:semiHidden/>
    <w:qFormat/>
    <w:pPr>
      <w:keepLines/>
      <w:outlineLvl w:val="4"/>
    </w:pPr>
    <w:rPr>
      <w:rFonts w:asciiTheme="majorHAnsi" w:eastAsiaTheme="majorEastAsia" w:hAnsiTheme="majorHAnsi" w:cstheme="majorBidi"/>
      <w:color w:val="0F0F0F" w:themeColor="text1"/>
    </w:rPr>
  </w:style>
  <w:style w:type="paragraph" w:styleId="Heading6">
    <w:name w:val="heading 6"/>
    <w:basedOn w:val="Normal"/>
    <w:next w:val="Normal"/>
    <w:link w:val="Heading6Char"/>
    <w:uiPriority w:val="34"/>
    <w:semiHidden/>
    <w:qFormat/>
    <w:pPr>
      <w:keepLines/>
      <w:outlineLvl w:val="5"/>
    </w:pPr>
    <w:rPr>
      <w:rFonts w:asciiTheme="majorHAnsi" w:eastAsiaTheme="majorEastAsia" w:hAnsiTheme="majorHAnsi" w:cstheme="majorBidi"/>
      <w:i/>
      <w:iCs/>
      <w:color w:val="0F0F0F" w:themeColor="text1"/>
    </w:rPr>
  </w:style>
  <w:style w:type="paragraph" w:styleId="Heading7">
    <w:name w:val="heading 7"/>
    <w:basedOn w:val="Normal"/>
    <w:next w:val="Normal"/>
    <w:link w:val="Heading7Char"/>
    <w:uiPriority w:val="34"/>
    <w:semiHidden/>
    <w:qFormat/>
    <w:pPr>
      <w:keepLines/>
      <w:outlineLvl w:val="6"/>
    </w:pPr>
    <w:rPr>
      <w:rFonts w:asciiTheme="majorHAnsi" w:eastAsiaTheme="majorEastAsia" w:hAnsiTheme="majorHAnsi" w:cstheme="majorBidi"/>
      <w:i/>
      <w:iCs/>
      <w:color w:val="0F0F0F" w:themeColor="text1"/>
    </w:rPr>
  </w:style>
  <w:style w:type="paragraph" w:styleId="Heading8">
    <w:name w:val="heading 8"/>
    <w:basedOn w:val="Normal"/>
    <w:next w:val="Normal"/>
    <w:link w:val="Heading8Char"/>
    <w:uiPriority w:val="34"/>
    <w:semiHidden/>
    <w:qFormat/>
    <w:pPr>
      <w:keepNext/>
      <w:keepLines/>
      <w:outlineLvl w:val="7"/>
    </w:pPr>
    <w:rPr>
      <w:rFonts w:asciiTheme="majorHAnsi" w:eastAsiaTheme="majorEastAsia" w:hAnsiTheme="majorHAnsi" w:cstheme="majorBidi"/>
      <w:color w:val="4B4B4B" w:themeColor="text1" w:themeTint="BF"/>
      <w:sz w:val="20"/>
      <w:szCs w:val="20"/>
    </w:rPr>
  </w:style>
  <w:style w:type="paragraph" w:styleId="Heading9">
    <w:name w:val="heading 9"/>
    <w:basedOn w:val="Normal"/>
    <w:next w:val="Normal"/>
    <w:link w:val="Heading9Char"/>
    <w:uiPriority w:val="34"/>
    <w:semiHidden/>
    <w:qFormat/>
    <w:pPr>
      <w:keepLines/>
      <w:outlineLvl w:val="8"/>
    </w:pPr>
    <w:rPr>
      <w:rFonts w:asciiTheme="majorHAnsi" w:eastAsiaTheme="majorEastAsia" w:hAnsiTheme="majorHAnsi" w:cstheme="majorBidi"/>
      <w:i/>
      <w:iCs/>
      <w:color w:val="0F0F0F" w:themeColor="tex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kesDocID">
    <w:name w:val="Blakes DocID"/>
    <w:basedOn w:val="Normal"/>
    <w:uiPriority w:val="99"/>
    <w:semiHidden/>
    <w:rPr>
      <w:noProof/>
      <w:sz w:val="16"/>
    </w:rPr>
  </w:style>
  <w:style w:type="paragraph" w:styleId="Header">
    <w:name w:val="header"/>
    <w:basedOn w:val="Normal"/>
    <w:link w:val="HeaderChar"/>
    <w:uiPriority w:val="99"/>
    <w:semiHidden/>
    <w:pPr>
      <w:tabs>
        <w:tab w:val="center" w:pos="4680"/>
        <w:tab w:val="right" w:pos="9360"/>
      </w:tabs>
    </w:pPr>
  </w:style>
  <w:style w:type="character" w:customStyle="1" w:styleId="HeaderChar">
    <w:name w:val="Header Char"/>
    <w:basedOn w:val="DefaultParagraphFont"/>
    <w:link w:val="Header"/>
    <w:uiPriority w:val="99"/>
    <w:semiHidden/>
    <w:rPr>
      <w:szCs w:val="21"/>
      <w:lang w:val="en-CA"/>
    </w:rPr>
  </w:style>
  <w:style w:type="paragraph" w:styleId="Footer">
    <w:name w:val="footer"/>
    <w:basedOn w:val="Normal"/>
    <w:link w:val="FooterChar"/>
    <w:uiPriority w:val="99"/>
    <w:semiHidden/>
    <w:pPr>
      <w:tabs>
        <w:tab w:val="center" w:pos="4680"/>
        <w:tab w:val="right" w:pos="9360"/>
      </w:tabs>
    </w:pPr>
  </w:style>
  <w:style w:type="character" w:customStyle="1" w:styleId="FooterChar">
    <w:name w:val="Footer Char"/>
    <w:basedOn w:val="DefaultParagraphFont"/>
    <w:link w:val="Footer"/>
    <w:uiPriority w:val="99"/>
    <w:semiHidden/>
    <w:rPr>
      <w:szCs w:val="21"/>
      <w:lang w:val="en-CA"/>
    </w:rPr>
  </w:style>
  <w:style w:type="table" w:styleId="TableGrid">
    <w:name w:val="Table Grid"/>
    <w:basedOn w:val="TableNormal"/>
    <w:uiPriority w:val="59"/>
    <w:pPr>
      <w:jc w:val="left"/>
    </w:pPr>
    <w:rPr>
      <w:szCs w:val="21"/>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style>
  <w:style w:type="character" w:customStyle="1" w:styleId="BodyTextChar">
    <w:name w:val="Body Text Char"/>
    <w:basedOn w:val="DefaultParagraphFont"/>
    <w:link w:val="BodyText"/>
    <w:rPr>
      <w:lang w:val="en-CA"/>
    </w:rPr>
  </w:style>
  <w:style w:type="paragraph" w:styleId="NoSpacing">
    <w:name w:val="No Spacing"/>
    <w:uiPriority w:val="1"/>
    <w:qFormat/>
    <w:pPr>
      <w:spacing w:after="0"/>
    </w:pPr>
    <w:rPr>
      <w:szCs w:val="21"/>
    </w:rPr>
  </w:style>
  <w:style w:type="paragraph" w:styleId="ListParagraph">
    <w:name w:val="List Paragraph"/>
    <w:basedOn w:val="Normal"/>
    <w:uiPriority w:val="99"/>
    <w:pPr>
      <w:ind w:left="720"/>
      <w:contextualSpacing/>
    </w:pPr>
  </w:style>
  <w:style w:type="paragraph" w:styleId="BodyText2">
    <w:name w:val="Body Text 2"/>
    <w:aliases w:val="(Double)"/>
    <w:basedOn w:val="BodyText"/>
    <w:link w:val="BodyText2Char"/>
    <w:uiPriority w:val="2"/>
    <w:qFormat/>
    <w:pPr>
      <w:spacing w:after="480" w:line="480" w:lineRule="auto"/>
      <w:contextualSpacing/>
    </w:pPr>
  </w:style>
  <w:style w:type="character" w:customStyle="1" w:styleId="BodyText2Char">
    <w:name w:val="Body Text 2 Char"/>
    <w:aliases w:val="(Double) Char"/>
    <w:basedOn w:val="DefaultParagraphFont"/>
    <w:link w:val="BodyText2"/>
    <w:uiPriority w:val="2"/>
  </w:style>
  <w:style w:type="paragraph" w:styleId="Closing">
    <w:name w:val="Closing"/>
    <w:basedOn w:val="Normal"/>
    <w:link w:val="ClosingChar"/>
    <w:uiPriority w:val="99"/>
    <w:semiHidden/>
    <w:unhideWhenUsed/>
    <w:pPr>
      <w:ind w:left="4320"/>
    </w:pPr>
  </w:style>
  <w:style w:type="character" w:customStyle="1" w:styleId="ClosingChar">
    <w:name w:val="Closing Char"/>
    <w:basedOn w:val="DefaultParagraphFont"/>
    <w:link w:val="Closing"/>
    <w:uiPriority w:val="99"/>
    <w:semiHidden/>
    <w:rPr>
      <w:szCs w:val="21"/>
      <w:lang w:val="en-CA"/>
    </w:rPr>
  </w:style>
  <w:style w:type="paragraph" w:styleId="BodyText3">
    <w:name w:val="Body Text 3"/>
    <w:aliases w:val="(Font Change)"/>
    <w:basedOn w:val="BodyText"/>
    <w:link w:val="BodyText3Char"/>
    <w:uiPriority w:val="8"/>
    <w:qFormat/>
    <w:rPr>
      <w:szCs w:val="16"/>
    </w:rPr>
  </w:style>
  <w:style w:type="character" w:customStyle="1" w:styleId="BodyText3Char">
    <w:name w:val="Body Text 3 Char"/>
    <w:aliases w:val="(Font Change) Char"/>
    <w:basedOn w:val="DefaultParagraphFont"/>
    <w:link w:val="BodyText3"/>
    <w:uiPriority w:val="8"/>
    <w:rPr>
      <w:rFonts w:asciiTheme="minorHAnsi" w:hAnsiTheme="minorHAnsi"/>
      <w:szCs w:val="16"/>
    </w:rPr>
  </w:style>
  <w:style w:type="paragraph" w:styleId="BodyTextFirstIndent">
    <w:name w:val="Body Text First Indent"/>
    <w:aliases w:val="(.5&quot;)"/>
    <w:basedOn w:val="BodyText"/>
    <w:link w:val="BodyTextFirstIndentChar"/>
    <w:uiPriority w:val="3"/>
    <w:qFormat/>
    <w:pPr>
      <w:ind w:firstLine="720"/>
    </w:pPr>
  </w:style>
  <w:style w:type="character" w:customStyle="1" w:styleId="BodyTextFirstIndentChar">
    <w:name w:val="Body Text First Indent Char"/>
    <w:aliases w:val="(.5&quot;) Char"/>
    <w:basedOn w:val="BodyTextChar"/>
    <w:link w:val="BodyTextFirstIndent"/>
    <w:uiPriority w:val="3"/>
    <w:rPr>
      <w:rFonts w:asciiTheme="minorHAnsi" w:hAnsiTheme="minorHAnsi"/>
      <w:lang w:val="en-CA"/>
    </w:rPr>
  </w:style>
  <w:style w:type="paragraph" w:styleId="BodyTextIndent">
    <w:name w:val="Body Text Indent"/>
    <w:aliases w:val="(.5&quot;Left)"/>
    <w:basedOn w:val="BodyText"/>
    <w:link w:val="BodyTextIndentChar"/>
    <w:uiPriority w:val="3"/>
    <w:qFormat/>
    <w:pPr>
      <w:ind w:left="720"/>
    </w:pPr>
  </w:style>
  <w:style w:type="character" w:customStyle="1" w:styleId="BodyTextIndentChar">
    <w:name w:val="Body Text Indent Char"/>
    <w:aliases w:val="(.5&quot;Left) Char"/>
    <w:basedOn w:val="DefaultParagraphFont"/>
    <w:link w:val="BodyTextIndent"/>
    <w:uiPriority w:val="3"/>
  </w:style>
  <w:style w:type="paragraph" w:styleId="BodyTextFirstIndent2">
    <w:name w:val="Body Text First Indent 2"/>
    <w:aliases w:val="(1&quot;)"/>
    <w:basedOn w:val="BodyText"/>
    <w:link w:val="BodyTextFirstIndent2Char"/>
    <w:uiPriority w:val="4"/>
    <w:qFormat/>
    <w:pPr>
      <w:ind w:firstLine="1440"/>
    </w:pPr>
  </w:style>
  <w:style w:type="character" w:customStyle="1" w:styleId="BodyTextFirstIndent2Char">
    <w:name w:val="Body Text First Indent 2 Char"/>
    <w:aliases w:val="(1&quot;) Char"/>
    <w:basedOn w:val="DefaultParagraphFont"/>
    <w:link w:val="BodyTextFirstIndent2"/>
    <w:uiPriority w:val="4"/>
  </w:style>
  <w:style w:type="paragraph" w:styleId="BodyTextIndent2">
    <w:name w:val="Body Text Indent 2"/>
    <w:aliases w:val="(1&quot;Left)"/>
    <w:basedOn w:val="BodyText"/>
    <w:link w:val="BodyTextIndent2Char"/>
    <w:uiPriority w:val="4"/>
    <w:qFormat/>
    <w:pPr>
      <w:ind w:left="1440"/>
    </w:pPr>
  </w:style>
  <w:style w:type="character" w:customStyle="1" w:styleId="BodyTextIndent2Char">
    <w:name w:val="Body Text Indent 2 Char"/>
    <w:aliases w:val="(1&quot;Left) Char"/>
    <w:basedOn w:val="DefaultParagraphFont"/>
    <w:link w:val="BodyTextIndent2"/>
    <w:uiPriority w:val="4"/>
  </w:style>
  <w:style w:type="paragraph" w:styleId="BodyTextIndent3">
    <w:name w:val="Body Text Indent 3"/>
    <w:aliases w:val="(.5&quot;Left,Double)"/>
    <w:basedOn w:val="BodyText"/>
    <w:link w:val="BodyTextIndent3Char"/>
    <w:uiPriority w:val="8"/>
    <w:qFormat/>
    <w:pPr>
      <w:spacing w:after="480" w:line="480" w:lineRule="auto"/>
      <w:ind w:left="720"/>
      <w:contextualSpacing/>
    </w:pPr>
    <w:rPr>
      <w:szCs w:val="16"/>
    </w:rPr>
  </w:style>
  <w:style w:type="character" w:customStyle="1" w:styleId="BodyTextIndent3Char">
    <w:name w:val="Body Text Indent 3 Char"/>
    <w:aliases w:val="(.5&quot;Left Char,Double) Char"/>
    <w:basedOn w:val="DefaultParagraphFont"/>
    <w:link w:val="BodyTextIndent3"/>
    <w:uiPriority w:val="8"/>
    <w:rPr>
      <w:szCs w:val="16"/>
    </w:rPr>
  </w:style>
  <w:style w:type="character" w:customStyle="1" w:styleId="Heading1Char">
    <w:name w:val="Heading 1 Char"/>
    <w:basedOn w:val="DefaultParagraphFont"/>
    <w:link w:val="Heading1"/>
    <w:uiPriority w:val="1"/>
    <w:rPr>
      <w:rFonts w:asciiTheme="majorHAnsi" w:eastAsiaTheme="majorEastAsia" w:hAnsiTheme="majorHAnsi" w:cstheme="majorBidi"/>
      <w:b/>
      <w:bCs/>
      <w:caps/>
      <w:szCs w:val="28"/>
    </w:rPr>
  </w:style>
  <w:style w:type="character" w:customStyle="1" w:styleId="Heading2Char">
    <w:name w:val="Heading 2 Char"/>
    <w:basedOn w:val="DefaultParagraphFont"/>
    <w:link w:val="Heading2"/>
    <w:uiPriority w:val="1"/>
    <w:rPr>
      <w:rFonts w:asciiTheme="majorHAnsi" w:eastAsiaTheme="majorEastAsia" w:hAnsiTheme="majorHAnsi" w:cstheme="majorBidi"/>
      <w:b/>
      <w:bCs/>
      <w:i/>
      <w:szCs w:val="26"/>
    </w:rPr>
  </w:style>
  <w:style w:type="character" w:customStyle="1" w:styleId="Heading3Char">
    <w:name w:val="Heading 3 Char"/>
    <w:basedOn w:val="DefaultParagraphFont"/>
    <w:link w:val="Heading3"/>
    <w:uiPriority w:val="1"/>
    <w:rPr>
      <w:rFonts w:asciiTheme="majorHAnsi" w:eastAsiaTheme="majorEastAsia" w:hAnsiTheme="majorHAnsi" w:cstheme="majorBidi"/>
      <w:bCs/>
      <w:i/>
    </w:rPr>
  </w:style>
  <w:style w:type="character" w:customStyle="1" w:styleId="Heading4Char">
    <w:name w:val="Heading 4 Char"/>
    <w:basedOn w:val="DefaultParagraphFont"/>
    <w:link w:val="Heading4"/>
    <w:uiPriority w:val="34"/>
    <w:semiHidden/>
    <w:rPr>
      <w:rFonts w:asciiTheme="majorHAnsi" w:eastAsiaTheme="majorEastAsia" w:hAnsiTheme="majorHAnsi" w:cstheme="majorBidi"/>
      <w:bCs/>
      <w:iCs/>
      <w:color w:val="0F0F0F" w:themeColor="text1"/>
      <w:szCs w:val="21"/>
      <w:lang w:val="en-CA"/>
    </w:rPr>
  </w:style>
  <w:style w:type="character" w:customStyle="1" w:styleId="Heading5Char">
    <w:name w:val="Heading 5 Char"/>
    <w:basedOn w:val="DefaultParagraphFont"/>
    <w:link w:val="Heading5"/>
    <w:uiPriority w:val="34"/>
    <w:semiHidden/>
    <w:rPr>
      <w:rFonts w:asciiTheme="majorHAnsi" w:eastAsiaTheme="majorEastAsia" w:hAnsiTheme="majorHAnsi" w:cstheme="majorBidi"/>
      <w:color w:val="0F0F0F" w:themeColor="text1"/>
      <w:szCs w:val="21"/>
      <w:lang w:val="en-CA"/>
    </w:rPr>
  </w:style>
  <w:style w:type="character" w:customStyle="1" w:styleId="Heading6Char">
    <w:name w:val="Heading 6 Char"/>
    <w:basedOn w:val="DefaultParagraphFont"/>
    <w:link w:val="Heading6"/>
    <w:uiPriority w:val="34"/>
    <w:semiHidden/>
    <w:rPr>
      <w:rFonts w:asciiTheme="majorHAnsi" w:eastAsiaTheme="majorEastAsia" w:hAnsiTheme="majorHAnsi" w:cstheme="majorBidi"/>
      <w:i/>
      <w:iCs/>
      <w:color w:val="0F0F0F" w:themeColor="text1"/>
      <w:szCs w:val="21"/>
      <w:lang w:val="en-CA"/>
    </w:rPr>
  </w:style>
  <w:style w:type="character" w:customStyle="1" w:styleId="Heading7Char">
    <w:name w:val="Heading 7 Char"/>
    <w:basedOn w:val="DefaultParagraphFont"/>
    <w:link w:val="Heading7"/>
    <w:uiPriority w:val="34"/>
    <w:semiHidden/>
    <w:rPr>
      <w:rFonts w:asciiTheme="majorHAnsi" w:eastAsiaTheme="majorEastAsia" w:hAnsiTheme="majorHAnsi" w:cstheme="majorBidi"/>
      <w:i/>
      <w:iCs/>
      <w:color w:val="0F0F0F" w:themeColor="text1"/>
      <w:szCs w:val="21"/>
      <w:lang w:val="en-CA"/>
    </w:rPr>
  </w:style>
  <w:style w:type="character" w:customStyle="1" w:styleId="Heading9Char">
    <w:name w:val="Heading 9 Char"/>
    <w:basedOn w:val="DefaultParagraphFont"/>
    <w:link w:val="Heading9"/>
    <w:uiPriority w:val="34"/>
    <w:semiHidden/>
    <w:rPr>
      <w:rFonts w:asciiTheme="majorHAnsi" w:eastAsiaTheme="majorEastAsia" w:hAnsiTheme="majorHAnsi" w:cstheme="majorBidi"/>
      <w:i/>
      <w:iCs/>
      <w:color w:val="0F0F0F" w:themeColor="text1"/>
      <w:szCs w:val="20"/>
      <w:lang w:val="en-CA"/>
    </w:rPr>
  </w:style>
  <w:style w:type="character" w:customStyle="1" w:styleId="Heading8Char">
    <w:name w:val="Heading 8 Char"/>
    <w:basedOn w:val="DefaultParagraphFont"/>
    <w:link w:val="Heading8"/>
    <w:uiPriority w:val="34"/>
    <w:semiHidden/>
    <w:rPr>
      <w:rFonts w:asciiTheme="majorHAnsi" w:eastAsiaTheme="majorEastAsia" w:hAnsiTheme="majorHAnsi" w:cstheme="majorBidi"/>
      <w:color w:val="4B4B4B" w:themeColor="text1" w:themeTint="BF"/>
      <w:sz w:val="20"/>
      <w:szCs w:val="20"/>
      <w:lang w:val="en-CA"/>
    </w:rPr>
  </w:style>
  <w:style w:type="paragraph" w:styleId="Title">
    <w:name w:val="Title"/>
    <w:basedOn w:val="Normal"/>
    <w:next w:val="Normal"/>
    <w:link w:val="TitleChar"/>
    <w:uiPriority w:val="40"/>
    <w:qFormat/>
    <w:pPr>
      <w:pBdr>
        <w:bottom w:val="single" w:sz="8" w:space="4" w:color="5F6163" w:themeColor="text2" w:themeShade="BF"/>
      </w:pBdr>
      <w:contextualSpacing/>
    </w:pPr>
    <w:rPr>
      <w:rFonts w:asciiTheme="majorHAnsi" w:eastAsiaTheme="majorEastAsia" w:hAnsiTheme="majorHAnsi" w:cstheme="majorBidi"/>
      <w:color w:val="5F6163" w:themeColor="text2" w:themeShade="BF"/>
      <w:spacing w:val="5"/>
      <w:kern w:val="28"/>
      <w:sz w:val="52"/>
      <w:szCs w:val="52"/>
    </w:rPr>
  </w:style>
  <w:style w:type="character" w:customStyle="1" w:styleId="TitleChar">
    <w:name w:val="Title Char"/>
    <w:basedOn w:val="DefaultParagraphFont"/>
    <w:link w:val="Title"/>
    <w:uiPriority w:val="40"/>
    <w:rPr>
      <w:rFonts w:asciiTheme="majorHAnsi" w:eastAsiaTheme="majorEastAsia" w:hAnsiTheme="majorHAnsi" w:cstheme="majorBidi"/>
      <w:color w:val="5F6163" w:themeColor="text2" w:themeShade="BF"/>
      <w:spacing w:val="5"/>
      <w:kern w:val="28"/>
      <w:sz w:val="52"/>
      <w:szCs w:val="52"/>
      <w:lang w:val="en-CA"/>
    </w:rPr>
  </w:style>
  <w:style w:type="paragraph" w:styleId="Caption">
    <w:name w:val="caption"/>
    <w:basedOn w:val="Normal"/>
    <w:next w:val="Normal"/>
    <w:uiPriority w:val="35"/>
    <w:semiHidden/>
    <w:unhideWhenUsed/>
    <w:qFormat/>
    <w:pPr>
      <w:jc w:val="center"/>
    </w:pPr>
    <w:rPr>
      <w:b/>
      <w:bCs/>
      <w:sz w:val="18"/>
      <w:szCs w:val="18"/>
    </w:rPr>
  </w:style>
  <w:style w:type="paragraph" w:styleId="FootnoteText">
    <w:name w:val="footnote text"/>
    <w:basedOn w:val="Normal"/>
    <w:link w:val="FootnoteTextChar"/>
    <w:uiPriority w:val="99"/>
    <w:semiHidden/>
    <w:pPr>
      <w:spacing w:after="60"/>
    </w:pPr>
    <w:rPr>
      <w:sz w:val="20"/>
      <w:szCs w:val="20"/>
    </w:rPr>
  </w:style>
  <w:style w:type="character" w:customStyle="1" w:styleId="FootnoteTextChar">
    <w:name w:val="Footnote Text Char"/>
    <w:basedOn w:val="DefaultParagraphFont"/>
    <w:link w:val="FootnoteText"/>
    <w:uiPriority w:val="99"/>
    <w:semiHidden/>
    <w:rPr>
      <w:sz w:val="20"/>
      <w:szCs w:val="20"/>
      <w:lang w:val="en-CA"/>
    </w:rPr>
  </w:style>
  <w:style w:type="character" w:styleId="BookTitle">
    <w:name w:val="Book Title"/>
    <w:basedOn w:val="DefaultParagraphFont"/>
    <w:uiPriority w:val="99"/>
    <w:qFormat/>
    <w:rPr>
      <w:b/>
      <w:bCs/>
      <w:smallCaps/>
      <w:spacing w:val="5"/>
    </w:rPr>
  </w:style>
  <w:style w:type="paragraph" w:styleId="TOCHeading">
    <w:name w:val="TOC Heading"/>
    <w:basedOn w:val="Heading1"/>
    <w:next w:val="Normal"/>
    <w:uiPriority w:val="39"/>
    <w:semiHidden/>
    <w:unhideWhenUsed/>
    <w:qFormat/>
    <w:pPr>
      <w:spacing w:before="480" w:after="0"/>
      <w:outlineLvl w:val="9"/>
    </w:pPr>
  </w:style>
  <w:style w:type="paragraph" w:styleId="BalloonText">
    <w:name w:val="Balloon Text"/>
    <w:basedOn w:val="Normal"/>
    <w:link w:val="BalloonTextChar"/>
    <w:uiPriority w:val="99"/>
    <w:semiHidden/>
    <w:pPr>
      <w:spacing w:after="0"/>
    </w:pPr>
    <w:rPr>
      <w:rFonts w:ascii="Tahoma" w:hAnsi="Tahoma" w:cs="Tahoma"/>
      <w:sz w:val="16"/>
      <w:szCs w:val="16"/>
    </w:rPr>
  </w:style>
  <w:style w:type="paragraph" w:styleId="BlockText">
    <w:name w:val="Block Text"/>
    <w:basedOn w:val="Normal"/>
    <w:uiPriority w:val="99"/>
    <w:unhideWhenUsed/>
    <w:pPr>
      <w:ind w:left="1440" w:right="1440"/>
    </w:pPr>
    <w:rPr>
      <w:rFonts w:eastAsiaTheme="minorEastAsia"/>
      <w:i/>
      <w:iCs/>
    </w:rPr>
  </w:style>
  <w:style w:type="paragraph" w:styleId="Subtitle">
    <w:name w:val="Subtitle"/>
    <w:basedOn w:val="Normal"/>
    <w:next w:val="Normal"/>
    <w:link w:val="SubtitleChar"/>
    <w:uiPriority w:val="41"/>
    <w:pPr>
      <w:numPr>
        <w:ilvl w:val="1"/>
      </w:numPr>
    </w:pPr>
    <w:rPr>
      <w:rFonts w:asciiTheme="majorHAnsi" w:eastAsiaTheme="majorEastAsia" w:hAnsiTheme="majorHAnsi" w:cstheme="majorBidi"/>
      <w:i/>
      <w:iCs/>
      <w:szCs w:val="24"/>
    </w:rPr>
  </w:style>
  <w:style w:type="character" w:customStyle="1" w:styleId="SubtitleChar">
    <w:name w:val="Subtitle Char"/>
    <w:basedOn w:val="DefaultParagraphFont"/>
    <w:link w:val="Subtitle"/>
    <w:uiPriority w:val="41"/>
    <w:rPr>
      <w:rFonts w:asciiTheme="majorHAnsi" w:eastAsiaTheme="majorEastAsia" w:hAnsiTheme="majorHAnsi" w:cstheme="majorBidi"/>
      <w:i/>
      <w:iCs/>
      <w:szCs w:val="24"/>
    </w:rPr>
  </w:style>
  <w:style w:type="character" w:styleId="IntenseEmphasis">
    <w:name w:val="Intense Emphasis"/>
    <w:basedOn w:val="DefaultParagraphFont"/>
    <w:uiPriority w:val="51"/>
    <w:rPr>
      <w:b/>
      <w:bCs/>
      <w:i/>
      <w:iCs/>
      <w:color w:val="auto"/>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EndnoteText">
    <w:name w:val="endnote text"/>
    <w:basedOn w:val="Normal"/>
    <w:link w:val="EndnoteTextChar"/>
    <w:uiPriority w:val="99"/>
    <w:semiHidden/>
    <w:pPr>
      <w:spacing w:after="0"/>
    </w:pPr>
    <w:rPr>
      <w:sz w:val="20"/>
      <w:szCs w:val="20"/>
    </w:rPr>
  </w:style>
  <w:style w:type="paragraph" w:styleId="IntenseQuote">
    <w:name w:val="Intense Quote"/>
    <w:basedOn w:val="Normal"/>
    <w:next w:val="Normal"/>
    <w:link w:val="IntenseQuoteChar"/>
    <w:uiPriority w:val="60"/>
    <w:pPr>
      <w:pBdr>
        <w:bottom w:val="single" w:sz="4" w:space="4" w:color="5F6163" w:themeColor="text2" w:themeShade="BF"/>
      </w:pBdr>
      <w:spacing w:before="240"/>
      <w:ind w:left="936" w:right="936"/>
    </w:pPr>
    <w:rPr>
      <w:b/>
      <w:bCs/>
      <w:i/>
      <w:iCs/>
    </w:rPr>
  </w:style>
  <w:style w:type="character" w:customStyle="1" w:styleId="IntenseQuoteChar">
    <w:name w:val="Intense Quote Char"/>
    <w:basedOn w:val="DefaultParagraphFont"/>
    <w:link w:val="IntenseQuote"/>
    <w:uiPriority w:val="60"/>
    <w:rPr>
      <w:b/>
      <w:bCs/>
      <w:i/>
      <w:iCs/>
      <w:lang w:val="en-CA"/>
    </w:rPr>
  </w:style>
  <w:style w:type="character" w:customStyle="1" w:styleId="EndnoteTextChar">
    <w:name w:val="Endnote Text Char"/>
    <w:basedOn w:val="DefaultParagraphFont"/>
    <w:link w:val="EndnoteText"/>
    <w:uiPriority w:val="99"/>
    <w:semiHidden/>
    <w:rPr>
      <w:sz w:val="20"/>
      <w:szCs w:val="20"/>
      <w:lang w:val="en-CA"/>
    </w:rPr>
  </w:style>
  <w:style w:type="character" w:styleId="EndnoteReference">
    <w:name w:val="endnote reference"/>
    <w:basedOn w:val="DefaultParagraphFont"/>
    <w:uiPriority w:val="99"/>
    <w:semiHidden/>
    <w:rPr>
      <w:vertAlign w:val="superscript"/>
    </w:rPr>
  </w:style>
  <w:style w:type="character" w:styleId="FootnoteReference">
    <w:name w:val="footnote reference"/>
    <w:basedOn w:val="DefaultParagraphFont"/>
    <w:uiPriority w:val="99"/>
    <w:semiHidden/>
    <w:rPr>
      <w:vertAlign w:val="superscript"/>
    </w:rPr>
  </w:style>
  <w:style w:type="character" w:customStyle="1" w:styleId="Prompt">
    <w:name w:val="Prompt"/>
    <w:aliases w:val="PR"/>
    <w:rPr>
      <w:color w:val="auto"/>
      <w:lang w:val="en-CA" w:eastAsia="en-CA" w:bidi="ar-SA"/>
    </w:rPr>
  </w:style>
  <w:style w:type="paragraph" w:customStyle="1" w:styleId="MultiLevelL1">
    <w:name w:val="MultiLevel_L1"/>
    <w:basedOn w:val="Normal"/>
    <w:pPr>
      <w:numPr>
        <w:numId w:val="40"/>
      </w:numPr>
      <w:outlineLvl w:val="0"/>
    </w:pPr>
    <w:rPr>
      <w:rFonts w:ascii="Arial" w:eastAsia="Times New Roman" w:hAnsi="Arial" w:cs="Arial"/>
      <w:szCs w:val="20"/>
    </w:rPr>
  </w:style>
  <w:style w:type="paragraph" w:customStyle="1" w:styleId="MultiLevelL2">
    <w:name w:val="MultiLevel_L2"/>
    <w:basedOn w:val="MultiLevelL1"/>
    <w:pPr>
      <w:numPr>
        <w:ilvl w:val="1"/>
      </w:numPr>
      <w:jc w:val="left"/>
      <w:outlineLvl w:val="1"/>
    </w:pPr>
  </w:style>
  <w:style w:type="paragraph" w:customStyle="1" w:styleId="MultiLevelL3">
    <w:name w:val="MultiLevel_L3"/>
    <w:basedOn w:val="MultiLevelL2"/>
    <w:pPr>
      <w:numPr>
        <w:ilvl w:val="2"/>
      </w:numPr>
      <w:outlineLvl w:val="2"/>
    </w:pPr>
  </w:style>
  <w:style w:type="paragraph" w:customStyle="1" w:styleId="MultiLevelL4">
    <w:name w:val="MultiLevel_L4"/>
    <w:basedOn w:val="MultiLevelL3"/>
    <w:pPr>
      <w:numPr>
        <w:ilvl w:val="3"/>
      </w:numPr>
      <w:outlineLvl w:val="3"/>
    </w:pPr>
  </w:style>
  <w:style w:type="paragraph" w:customStyle="1" w:styleId="MultiLevelL5">
    <w:name w:val="MultiLevel_L5"/>
    <w:basedOn w:val="MultiLevelL4"/>
    <w:pPr>
      <w:numPr>
        <w:ilvl w:val="4"/>
      </w:numPr>
      <w:outlineLvl w:val="4"/>
    </w:pPr>
  </w:style>
  <w:style w:type="paragraph" w:customStyle="1" w:styleId="MultiLevelL6">
    <w:name w:val="MultiLevel_L6"/>
    <w:basedOn w:val="MultiLevelL5"/>
    <w:pPr>
      <w:numPr>
        <w:ilvl w:val="5"/>
      </w:numPr>
      <w:outlineLvl w:val="5"/>
    </w:pPr>
  </w:style>
  <w:style w:type="paragraph" w:customStyle="1" w:styleId="MultiLevelL7">
    <w:name w:val="MultiLevel_L7"/>
    <w:basedOn w:val="MultiLevelL6"/>
    <w:pPr>
      <w:numPr>
        <w:ilvl w:val="6"/>
      </w:numPr>
      <w:outlineLvl w:val="6"/>
    </w:pPr>
  </w:style>
  <w:style w:type="paragraph" w:customStyle="1" w:styleId="MultiLevelL8">
    <w:name w:val="MultiLevel_L8"/>
    <w:basedOn w:val="MultiLevelL7"/>
    <w:pPr>
      <w:numPr>
        <w:ilvl w:val="7"/>
      </w:numPr>
      <w:outlineLvl w:val="7"/>
    </w:pPr>
  </w:style>
  <w:style w:type="paragraph" w:customStyle="1" w:styleId="MultiLevelL9">
    <w:name w:val="MultiLevel_L9"/>
    <w:basedOn w:val="MultiLevelL8"/>
    <w:pPr>
      <w:numPr>
        <w:ilvl w:val="8"/>
      </w:numPr>
      <w:outlineLvl w:val="8"/>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lang w:val="en-CA"/>
    </w:rPr>
  </w:style>
  <w:style w:type="paragraph" w:customStyle="1" w:styleId="StandardL1">
    <w:name w:val="Standard_L1"/>
    <w:basedOn w:val="Normal"/>
    <w:link w:val="StandardL1Char"/>
    <w:pPr>
      <w:numPr>
        <w:numId w:val="43"/>
      </w:numPr>
      <w:outlineLvl w:val="0"/>
    </w:pPr>
    <w:rPr>
      <w:rFonts w:ascii="Times New Roman" w:eastAsia="Times New Roman" w:hAnsi="Times New Roman" w:cs="Times New Roman"/>
      <w:sz w:val="24"/>
      <w:szCs w:val="20"/>
    </w:rPr>
  </w:style>
  <w:style w:type="paragraph" w:customStyle="1" w:styleId="StandardL2">
    <w:name w:val="Standard_L2"/>
    <w:basedOn w:val="StandardL1"/>
    <w:pPr>
      <w:numPr>
        <w:ilvl w:val="1"/>
      </w:numPr>
      <w:tabs>
        <w:tab w:val="clear" w:pos="1440"/>
      </w:tabs>
      <w:ind w:hanging="360"/>
      <w:outlineLvl w:val="1"/>
    </w:pPr>
  </w:style>
  <w:style w:type="paragraph" w:customStyle="1" w:styleId="StandardL3">
    <w:name w:val="Standard_L3"/>
    <w:basedOn w:val="StandardL2"/>
    <w:pPr>
      <w:numPr>
        <w:ilvl w:val="2"/>
      </w:numPr>
      <w:tabs>
        <w:tab w:val="clear" w:pos="2160"/>
      </w:tabs>
      <w:ind w:hanging="180"/>
      <w:outlineLvl w:val="2"/>
    </w:pPr>
  </w:style>
  <w:style w:type="paragraph" w:customStyle="1" w:styleId="StandardL4">
    <w:name w:val="Standard_L4"/>
    <w:basedOn w:val="StandardL3"/>
    <w:pPr>
      <w:numPr>
        <w:ilvl w:val="3"/>
      </w:numPr>
      <w:tabs>
        <w:tab w:val="clear" w:pos="2880"/>
      </w:tabs>
      <w:ind w:hanging="360"/>
      <w:outlineLvl w:val="3"/>
    </w:pPr>
  </w:style>
  <w:style w:type="paragraph" w:customStyle="1" w:styleId="StandardL5">
    <w:name w:val="Standard_L5"/>
    <w:basedOn w:val="StandardL4"/>
    <w:pPr>
      <w:numPr>
        <w:ilvl w:val="4"/>
      </w:numPr>
      <w:tabs>
        <w:tab w:val="clear" w:pos="3600"/>
      </w:tabs>
      <w:ind w:hanging="360"/>
      <w:outlineLvl w:val="4"/>
    </w:pPr>
  </w:style>
  <w:style w:type="paragraph" w:customStyle="1" w:styleId="StandardL6">
    <w:name w:val="Standard_L6"/>
    <w:basedOn w:val="StandardL5"/>
    <w:pPr>
      <w:numPr>
        <w:ilvl w:val="5"/>
      </w:numPr>
      <w:tabs>
        <w:tab w:val="clear" w:pos="4320"/>
      </w:tabs>
      <w:ind w:hanging="180"/>
      <w:outlineLvl w:val="5"/>
    </w:pPr>
  </w:style>
  <w:style w:type="paragraph" w:customStyle="1" w:styleId="StandardL7">
    <w:name w:val="Standard_L7"/>
    <w:basedOn w:val="StandardL6"/>
    <w:pPr>
      <w:numPr>
        <w:ilvl w:val="6"/>
      </w:numPr>
      <w:tabs>
        <w:tab w:val="clear" w:pos="5040"/>
      </w:tabs>
      <w:ind w:hanging="360"/>
      <w:outlineLvl w:val="6"/>
    </w:pPr>
  </w:style>
  <w:style w:type="paragraph" w:customStyle="1" w:styleId="StandardL8">
    <w:name w:val="Standard_L8"/>
    <w:basedOn w:val="StandardL7"/>
    <w:pPr>
      <w:numPr>
        <w:ilvl w:val="7"/>
      </w:numPr>
      <w:tabs>
        <w:tab w:val="clear" w:pos="5760"/>
      </w:tabs>
      <w:ind w:hanging="360"/>
      <w:outlineLvl w:val="7"/>
    </w:pPr>
  </w:style>
  <w:style w:type="paragraph" w:customStyle="1" w:styleId="StandardL9">
    <w:name w:val="Standard_L9"/>
    <w:basedOn w:val="StandardL8"/>
    <w:pPr>
      <w:numPr>
        <w:ilvl w:val="8"/>
      </w:numPr>
      <w:tabs>
        <w:tab w:val="clear" w:pos="6480"/>
      </w:tabs>
      <w:ind w:hanging="180"/>
      <w:outlineLvl w:val="8"/>
    </w:pPr>
  </w:style>
  <w:style w:type="character" w:customStyle="1" w:styleId="StandardL1Char">
    <w:name w:val="Standard_L1 Char"/>
    <w:basedOn w:val="DefaultParagraphFont"/>
    <w:link w:val="StandardL1"/>
    <w:rPr>
      <w:rFonts w:ascii="Times New Roman" w:eastAsia="Times New Roman" w:hAnsi="Times New Roman" w:cs="Times New Roman"/>
      <w:sz w:val="24"/>
      <w:szCs w:val="20"/>
      <w:lang w:val="en-CA"/>
    </w:rPr>
  </w:style>
  <w:style w:type="paragraph" w:customStyle="1" w:styleId="MacPacTrailer">
    <w:name w:val="MacPac Trailer"/>
    <w:pPr>
      <w:widowControl w:val="0"/>
      <w:spacing w:after="0" w:line="200" w:lineRule="exact"/>
      <w:jc w:val="left"/>
    </w:pPr>
    <w:rPr>
      <w:rFonts w:ascii="Times New Roman" w:eastAsia="Times New Roman" w:hAnsi="Times New Roman" w:cs="Times New Roman"/>
      <w:sz w:val="16"/>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http://schemas.openxmlformats.org/package/2006/relationships"><Relationship Target="header1.xml" Type="http://schemas.openxmlformats.org/officeDocument/2006/relationships/header" Id="rId8"></Relationship><Relationship Target="footer3.xml" Type="http://schemas.openxmlformats.org/officeDocument/2006/relationships/footer" Id="rId13"></Relationship><Relationship Target="styles.xml" Type="http://schemas.openxmlformats.org/officeDocument/2006/relationships/styles" Id="rId3"></Relationship><Relationship Target="endnotes.xml" Type="http://schemas.openxmlformats.org/officeDocument/2006/relationships/endnotes" Id="rId7"></Relationship><Relationship Target="header3.xml" Type="http://schemas.openxmlformats.org/officeDocument/2006/relationships/header" Id="rId12"></Relationship><Relationship Target="numbering.xml" Type="http://schemas.openxmlformats.org/officeDocument/2006/relationships/numbering" Id="rId2"></Relationship><Relationship Target="customizations.xml" Type="http://schemas.microsoft.com/office/2006/relationships/keyMapCustomizations" Id="rId1"></Relationship><Relationship Target="footnotes.xml" Type="http://schemas.openxmlformats.org/officeDocument/2006/relationships/footnotes" Id="rId6"></Relationship><Relationship Target="footer2.xml" Type="http://schemas.openxmlformats.org/officeDocument/2006/relationships/footer" Id="rId11"></Relationship><Relationship Target="webSettings.xml" Type="http://schemas.openxmlformats.org/officeDocument/2006/relationships/webSettings" Id="rId5"></Relationship><Relationship Target="theme/theme1.xml" Type="http://schemas.openxmlformats.org/officeDocument/2006/relationships/theme" Id="rId15"></Relationship><Relationship Target="footer1.xml" Type="http://schemas.openxmlformats.org/officeDocument/2006/relationships/footer" Id="rId10"></Relationship><Relationship Target="settings.xml" Type="http://schemas.openxmlformats.org/officeDocument/2006/relationships/settings" Id="rId4"></Relationship><Relationship Target="header2.xml" Type="http://schemas.openxmlformats.org/officeDocument/2006/relationships/header" Id="rId9"></Relationship><Relationship Target="fontTable.xml" Type="http://schemas.openxmlformats.org/officeDocument/2006/relationships/fontTable" Id="rId14"></Relationship></Relationships>
</file>

<file path=word/theme/theme1.xml><?xml version="1.0" encoding="utf-8"?>
<a:theme xmlns:a="http://schemas.openxmlformats.org/drawingml/2006/main" name="Blakes">
  <a:themeElements>
    <a:clrScheme name="Blakes">
      <a:dk1>
        <a:srgbClr val="0F0F0F"/>
      </a:dk1>
      <a:lt1>
        <a:sysClr val="window" lastClr="FFFFFF"/>
      </a:lt1>
      <a:dk2>
        <a:srgbClr val="808285"/>
      </a:dk2>
      <a:lt2>
        <a:srgbClr val="FFFFFF"/>
      </a:lt2>
      <a:accent1>
        <a:srgbClr val="E31836"/>
      </a:accent1>
      <a:accent2>
        <a:srgbClr val="808285"/>
      </a:accent2>
      <a:accent3>
        <a:srgbClr val="D1D3D4"/>
      </a:accent3>
      <a:accent4>
        <a:srgbClr val="4E67C8"/>
      </a:accent4>
      <a:accent5>
        <a:srgbClr val="A7EA52"/>
      </a:accent5>
      <a:accent6>
        <a:srgbClr val="FF8021"/>
      </a:accent6>
      <a:hlink>
        <a:srgbClr val="0000FF"/>
      </a:hlink>
      <a:folHlink>
        <a:srgbClr val="800080"/>
      </a:folHlink>
    </a:clrScheme>
    <a:fontScheme name="Blak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itlesOfParts>
    <vt:vector size="1" baseType="lpstr">
      <vt:lpstr/>
    </vt:vector>
  </TitlesOfPart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file>