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E5C" w:rsidRPr="00162E5C" w:rsidRDefault="00162E5C" w:rsidP="00162E5C">
      <w:pPr>
        <w:jc w:val="center"/>
        <w:rPr>
          <w:rFonts w:ascii="Arial" w:hAnsi="Arial" w:cs="Arial"/>
          <w:b/>
          <w:sz w:val="24"/>
          <w:szCs w:val="24"/>
        </w:rPr>
      </w:pPr>
      <w:r w:rsidRPr="00162E5C">
        <w:rPr>
          <w:rFonts w:ascii="Arial" w:hAnsi="Arial" w:cs="Arial"/>
          <w:b/>
          <w:sz w:val="24"/>
          <w:szCs w:val="24"/>
        </w:rPr>
        <w:t>CONCORDANCE</w:t>
      </w:r>
    </w:p>
    <w:tbl>
      <w:tblPr>
        <w:tblStyle w:val="TableGrid"/>
        <w:tblW w:w="9812" w:type="dxa"/>
        <w:tblLook w:val="04A0" w:firstRow="1" w:lastRow="0" w:firstColumn="1" w:lastColumn="0" w:noHBand="0" w:noVBand="1"/>
      </w:tblPr>
      <w:tblGrid>
        <w:gridCol w:w="4906"/>
        <w:gridCol w:w="4906"/>
      </w:tblGrid>
      <w:tr w:rsidR="00162E5C" w:rsidRPr="00162E5C" w:rsidTr="009E65F3">
        <w:tc>
          <w:tcPr>
            <w:tcW w:w="4906" w:type="dxa"/>
          </w:tcPr>
          <w:p w:rsidR="00162E5C" w:rsidRDefault="00162E5C" w:rsidP="00162E5C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noProof/>
                <w:sz w:val="24"/>
                <w:szCs w:val="24"/>
              </w:rPr>
              <w:t>Blakes Discussion Document</w:t>
            </w:r>
          </w:p>
          <w:p w:rsidR="00162E5C" w:rsidRPr="00162E5C" w:rsidRDefault="00162E5C" w:rsidP="00162E5C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  <w:tc>
          <w:tcPr>
            <w:tcW w:w="4906" w:type="dxa"/>
          </w:tcPr>
          <w:p w:rsidR="00162E5C" w:rsidRDefault="00162E5C" w:rsidP="00162E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>Draft Bill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– April 15, 2017</w:t>
            </w:r>
          </w:p>
          <w:p w:rsidR="00162E5C" w:rsidRPr="00162E5C" w:rsidRDefault="00162E5C" w:rsidP="0016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E5C">
              <w:rPr>
                <w:rFonts w:ascii="Arial" w:hAnsi="Arial" w:cs="Arial"/>
                <w:sz w:val="20"/>
                <w:szCs w:val="20"/>
              </w:rPr>
              <w:t xml:space="preserve">(numbers correspond to </w:t>
            </w:r>
            <w:r>
              <w:rPr>
                <w:rFonts w:ascii="Arial" w:hAnsi="Arial" w:cs="Arial"/>
                <w:sz w:val="20"/>
                <w:szCs w:val="20"/>
              </w:rPr>
              <w:t>numbers in the draft, even though numbering in the draft is imperfect)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  <w:tc>
          <w:tcPr>
            <w:tcW w:w="4906" w:type="dxa"/>
          </w:tcPr>
          <w:p w:rsidR="00162E5C" w:rsidRPr="00162E5C" w:rsidRDefault="00162E5C" w:rsidP="00162E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>Article 1 – Purpose</w:t>
            </w:r>
          </w:p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Preamble</w:t>
            </w:r>
          </w:p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2 Purpose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>Article 2 – Definitions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 Definitions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E5C" w:rsidRPr="00162E5C" w:rsidTr="009E65F3">
        <w:tc>
          <w:tcPr>
            <w:tcW w:w="9812" w:type="dxa"/>
            <w:gridSpan w:val="2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>Article 3 – Transition Charges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3(1) Regulated Consumer Obligation to Pay a Transition Charge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9x(1)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3(2) Indebtedness of Regulated Consumers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keepNext/>
              <w:keepLines/>
              <w:tabs>
                <w:tab w:val="left" w:pos="0"/>
              </w:tabs>
              <w:suppressAutoHyphens/>
              <w:spacing w:line="200" w:lineRule="atLeast"/>
              <w:rPr>
                <w:rFonts w:ascii="Arial" w:eastAsia="Times New Roman" w:hAnsi="Arial" w:cs="Arial"/>
                <w:snapToGrid w:val="0"/>
                <w:sz w:val="24"/>
                <w:szCs w:val="24"/>
                <w:lang w:val="en-GB" w:eastAsia="en-CA"/>
              </w:rPr>
            </w:pPr>
            <w:r w:rsidRPr="00162E5C">
              <w:rPr>
                <w:rFonts w:ascii="Arial" w:eastAsia="Times New Roman" w:hAnsi="Arial" w:cs="Arial"/>
                <w:snapToGrid w:val="0"/>
                <w:sz w:val="24"/>
                <w:szCs w:val="24"/>
                <w:lang w:val="en-GB" w:eastAsia="en-CA"/>
              </w:rPr>
              <w:t>s. 9x(4), (5)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3(3) No set-off or Reduction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23.1(4)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3(4) Allocation of Regulated Consumer Payments 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14x(2)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3(5) Transition Charges are Irrevocable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s.10x(1)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3(6) True Up of Transition Charges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11x(2)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E5C" w:rsidRPr="00162E5C" w:rsidTr="009E65F3">
        <w:tc>
          <w:tcPr>
            <w:tcW w:w="9812" w:type="dxa"/>
            <w:gridSpan w:val="2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 xml:space="preserve">Article 4 – Invoicing of Transition Charges 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4(1) Inclusion of Transition Charges in Electricity Invoices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13(2)</w:t>
            </w:r>
          </w:p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4(2) Calculation of the Period Transition Charge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11x(1), (2), Schedule 1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4(3) Basis for Attributing Transition Charges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11x(1)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4(4) Notice of Transition Charges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11(4)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4(5) Adjustments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10x(2)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4(6) Successors of Electricity Distributors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34, 37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4(7) Appointment of an Alternative Servicer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34, 37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4(8) Absolute Assignees have Standing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To be addressed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4(9) No Set-Off or Reduction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23.1(4)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4(10) Regulations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100x 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E5C" w:rsidRPr="00162E5C" w:rsidTr="009E65F3">
        <w:tc>
          <w:tcPr>
            <w:tcW w:w="9812" w:type="dxa"/>
            <w:gridSpan w:val="2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>Article 5 - Collections and Remittances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5(1) Duty to Collect as Agent</w:t>
            </w:r>
          </w:p>
        </w:tc>
        <w:tc>
          <w:tcPr>
            <w:tcW w:w="4906" w:type="dxa"/>
          </w:tcPr>
          <w:p w:rsidR="00162E5C" w:rsidRPr="00162E5C" w:rsidRDefault="00162E5C" w:rsidP="00AA680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</w:t>
            </w:r>
            <w:r w:rsidR="00AA6809" w:rsidRPr="00AA6809">
              <w:rPr>
                <w:rFonts w:ascii="Arial" w:hAnsi="Arial" w:cs="Arial"/>
                <w:sz w:val="24"/>
                <w:szCs w:val="24"/>
              </w:rPr>
              <w:t>12(3)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5(2) Segregation of Transition Charge Collections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15x(1), (2)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5(3) Electricity Distributor Remittances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s.15x(5) 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5(4) Duty to Collect Electricity Distributor Remittances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12x(3.1)</w:t>
            </w:r>
          </w:p>
          <w:p w:rsidR="00162E5C" w:rsidRPr="00162E5C" w:rsidRDefault="00162E5C" w:rsidP="00162E5C">
            <w:pPr>
              <w:rPr>
                <w:b/>
              </w:rPr>
            </w:pP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5(5) Segregation of Electricity Distributor Remittances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12x(3</w:t>
            </w:r>
            <w:r w:rsidR="00AA6809" w:rsidRPr="00AA6809">
              <w:rPr>
                <w:rFonts w:ascii="Arial" w:hAnsi="Arial" w:cs="Arial"/>
                <w:sz w:val="24"/>
                <w:szCs w:val="24"/>
              </w:rPr>
              <w:t>.1</w:t>
            </w:r>
            <w:r w:rsidRPr="00162E5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lastRenderedPageBreak/>
              <w:t>s. 5(6) Servicer Remittances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12x(4)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5(7) Successors of Electricity Distributors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34, 37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5(8) IESO Successor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34, 37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5(9) Owners of Distribution Assets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37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5(10) Absolute Assignees have Standing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To be addressed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5(11) No Set-off, etc.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23.1(4)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5(12) Sequestration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35.2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5(13) Regulations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100x</w:t>
            </w:r>
          </w:p>
        </w:tc>
      </w:tr>
      <w:tr w:rsidR="00162E5C" w:rsidRPr="00162E5C" w:rsidTr="009E65F3">
        <w:tc>
          <w:tcPr>
            <w:tcW w:w="9812" w:type="dxa"/>
            <w:gridSpan w:val="2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>Article 6 - The Regulatory Asset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6(1) Composition</w:t>
            </w:r>
          </w:p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22(1) and 23.1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6(2) Validity of Dispositions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25(1) and s. 25(2)</w:t>
            </w:r>
          </w:p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6(3) Perfection and Priority of Dispositions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25(3) and s. 25(4) 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6(4) Validity of Pledges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27(1) to s. 27(3)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6(5) Perfection and Priority of Pledges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27(6) to s. 27(10) 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6(6) Enforcement of Property Rights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29 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6(7) Owners of a Specified Portion of the Regulatory Asset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24 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6(8) Collective Action Required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28 </w:t>
            </w:r>
          </w:p>
        </w:tc>
      </w:tr>
      <w:tr w:rsidR="00162E5C" w:rsidRPr="00162E5C" w:rsidTr="009E65F3">
        <w:tc>
          <w:tcPr>
            <w:tcW w:w="9812" w:type="dxa"/>
            <w:gridSpan w:val="2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 xml:space="preserve">Article 7 – Establishment of the Fair Allocation Plan 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7(1) Adoption of the Fair Allocation Plan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8(1) 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7(2) Principles and Parameters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8.1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7(3) Attribution Methodology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8.0.1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7(4) Amendments of the Fair Allocation Plan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8(2) </w:t>
            </w:r>
          </w:p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9x(2)</w:t>
            </w:r>
          </w:p>
        </w:tc>
      </w:tr>
      <w:tr w:rsidR="00162E5C" w:rsidRPr="00162E5C" w:rsidTr="009E65F3">
        <w:tc>
          <w:tcPr>
            <w:tcW w:w="9812" w:type="dxa"/>
            <w:gridSpan w:val="2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 xml:space="preserve">Article 8 – The IESO Funding Shortfall 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8(1) Recording of IESO Funding Shortfall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22.1(1) 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8(2) Adjustments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To be addressed</w:t>
            </w:r>
          </w:p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8(3) Limitation on Additions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To be addressed 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8(4) Dispositions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23 (1) </w:t>
            </w:r>
          </w:p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8(5) No Continuing Interest in any Investment Interest</w:t>
            </w:r>
          </w:p>
        </w:tc>
        <w:tc>
          <w:tcPr>
            <w:tcW w:w="4906" w:type="dxa"/>
          </w:tcPr>
          <w:p w:rsidR="00162E5C" w:rsidRPr="00162E5C" w:rsidRDefault="005B7400" w:rsidP="00162E5C">
            <w:r>
              <w:rPr>
                <w:rFonts w:ascii="Arial" w:hAnsi="Arial" w:cs="Arial"/>
                <w:sz w:val="24"/>
                <w:szCs w:val="24"/>
              </w:rPr>
              <w:t xml:space="preserve">s. 23(2)3., </w:t>
            </w:r>
            <w:bookmarkStart w:id="0" w:name="_GoBack"/>
            <w:bookmarkEnd w:id="0"/>
            <w:r w:rsidR="00162E5C" w:rsidRPr="00162E5C">
              <w:rPr>
                <w:rFonts w:ascii="Arial" w:hAnsi="Arial" w:cs="Arial"/>
                <w:sz w:val="24"/>
                <w:szCs w:val="24"/>
              </w:rPr>
              <w:t>s. 25</w:t>
            </w:r>
            <w:r>
              <w:rPr>
                <w:rFonts w:ascii="Arial" w:hAnsi="Arial" w:cs="Arial"/>
                <w:sz w:val="24"/>
                <w:szCs w:val="24"/>
              </w:rPr>
              <w:t>(2)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8(6) IESO Recoveries</w:t>
            </w:r>
          </w:p>
        </w:tc>
        <w:tc>
          <w:tcPr>
            <w:tcW w:w="4906" w:type="dxa"/>
          </w:tcPr>
          <w:p w:rsidR="00162E5C" w:rsidRPr="00162E5C" w:rsidRDefault="00162E5C" w:rsidP="00162E5C">
            <w:r w:rsidRPr="00162E5C">
              <w:rPr>
                <w:rFonts w:ascii="Arial" w:hAnsi="Arial" w:cs="Arial"/>
                <w:sz w:val="24"/>
                <w:szCs w:val="24"/>
              </w:rPr>
              <w:t>See immediately above Part IV</w:t>
            </w:r>
          </w:p>
        </w:tc>
      </w:tr>
      <w:tr w:rsidR="00162E5C" w:rsidRPr="00162E5C" w:rsidTr="009E65F3">
        <w:tc>
          <w:tcPr>
            <w:tcW w:w="9812" w:type="dxa"/>
            <w:gridSpan w:val="2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>Article 9 – The Financing Plan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9(1) Power to Prepare, Implement and Amend the Financing Plan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11(1) </w:t>
            </w:r>
          </w:p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9(2) Principles and Parameters of the Financing Plan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12(1) 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tabs>
                <w:tab w:val="left" w:pos="1215"/>
              </w:tabs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9(3) OEB Approval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26(2), see note p. 31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9(4) Review of Financing Plan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To be addressed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9(5) Replacement of the Financial </w:t>
            </w:r>
            <w:r w:rsidRPr="00162E5C">
              <w:rPr>
                <w:rFonts w:ascii="Arial" w:hAnsi="Arial" w:cs="Arial"/>
                <w:sz w:val="24"/>
                <w:szCs w:val="24"/>
              </w:rPr>
              <w:lastRenderedPageBreak/>
              <w:t>Services Manager</w:t>
            </w:r>
          </w:p>
        </w:tc>
        <w:tc>
          <w:tcPr>
            <w:tcW w:w="4906" w:type="dxa"/>
          </w:tcPr>
          <w:p w:rsidR="00162E5C" w:rsidRPr="00162E5C" w:rsidRDefault="00AA6809" w:rsidP="00AA68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Definition of Financial Services Manager; t</w:t>
            </w:r>
            <w:r w:rsidR="00162E5C" w:rsidRPr="00162E5C">
              <w:rPr>
                <w:rFonts w:ascii="Arial" w:hAnsi="Arial" w:cs="Arial"/>
                <w:sz w:val="24"/>
                <w:szCs w:val="24"/>
              </w:rPr>
              <w:t xml:space="preserve">o </w:t>
            </w:r>
            <w:r w:rsidR="00162E5C" w:rsidRPr="00162E5C">
              <w:rPr>
                <w:rFonts w:ascii="Arial" w:hAnsi="Arial" w:cs="Arial"/>
                <w:sz w:val="24"/>
                <w:szCs w:val="24"/>
              </w:rPr>
              <w:lastRenderedPageBreak/>
              <w:t xml:space="preserve">be </w:t>
            </w:r>
            <w:r>
              <w:rPr>
                <w:rFonts w:ascii="Arial" w:hAnsi="Arial" w:cs="Arial"/>
                <w:sz w:val="24"/>
                <w:szCs w:val="24"/>
              </w:rPr>
              <w:t xml:space="preserve">further </w:t>
            </w:r>
            <w:r w:rsidR="00162E5C" w:rsidRPr="00162E5C">
              <w:rPr>
                <w:rFonts w:ascii="Arial" w:hAnsi="Arial" w:cs="Arial"/>
                <w:sz w:val="24"/>
                <w:szCs w:val="24"/>
              </w:rPr>
              <w:t>addressed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lastRenderedPageBreak/>
              <w:t>s. 9(6) Obligation to Apply IESO Remittances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To be addressed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9(7) Non-Recourse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12(3) 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9(8) Incurrences are Binding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12(4) 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E5C" w:rsidRPr="00162E5C" w:rsidTr="009E65F3">
        <w:tc>
          <w:tcPr>
            <w:tcW w:w="9812" w:type="dxa"/>
            <w:gridSpan w:val="2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>Article 10 – Compliance Matters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10(1) Right of the [OEB] to Inspect Books and Records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To be addressed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10(2) OPG’s Rate Settings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To be addressed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E5C" w:rsidRPr="00162E5C" w:rsidTr="009E65F3">
        <w:tc>
          <w:tcPr>
            <w:tcW w:w="9812" w:type="dxa"/>
            <w:gridSpan w:val="2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>Article 11 – Undertaking of Her Majesty in right of Ontario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11(1) No Action to limit, alter, or impair or terminate Transition Charges, the Regulatory Asset or Collections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4(1)(a)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11(2) Undertaking and Agreement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4(1)(b)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11(3) Successor IESO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34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11(4) Compensation for Failure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4(3)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11(5) No Wind-up of Financing Entity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12(3)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11(6) References to the Undertaking and Agreement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be addressed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>Article 12 – Regulations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100x</w:t>
            </w:r>
          </w:p>
        </w:tc>
      </w:tr>
      <w:tr w:rsidR="00162E5C" w:rsidRPr="00162E5C" w:rsidTr="009E65F3">
        <w:tc>
          <w:tcPr>
            <w:tcW w:w="9812" w:type="dxa"/>
            <w:gridSpan w:val="2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2E5C" w:rsidRPr="00162E5C" w:rsidTr="009E65F3">
        <w:tc>
          <w:tcPr>
            <w:tcW w:w="9812" w:type="dxa"/>
            <w:gridSpan w:val="2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>Article 13- Miscellaneous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13(1) Choice of law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s. </w:t>
            </w:r>
            <w:r w:rsidRPr="00162E5C">
              <w:rPr>
                <w:rFonts w:ascii="Arial" w:hAnsi="Arial" w:cs="Arial"/>
                <w:sz w:val="24"/>
                <w:szCs w:val="24"/>
              </w:rPr>
              <w:t>37.1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13(2) Conflict of law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38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13(3) No further acts or approvals required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39 </w:t>
            </w:r>
          </w:p>
        </w:tc>
      </w:tr>
      <w:tr w:rsidR="00162E5C" w:rsidRPr="00162E5C" w:rsidTr="009E65F3"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13(4) Effect of invalidity after the Incurrence of any Funding Obligation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1(6) </w:t>
            </w:r>
          </w:p>
        </w:tc>
      </w:tr>
      <w:tr w:rsidR="00162E5C" w:rsidRPr="00162E5C" w:rsidTr="009E65F3">
        <w:trPr>
          <w:trHeight w:val="70"/>
        </w:trPr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13(5) Severability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 xml:space="preserve">s. 1(5) </w:t>
            </w:r>
          </w:p>
        </w:tc>
      </w:tr>
      <w:tr w:rsidR="00162E5C" w:rsidRPr="00162E5C" w:rsidTr="009E65F3">
        <w:trPr>
          <w:trHeight w:val="70"/>
        </w:trPr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E5C" w:rsidRPr="00162E5C" w:rsidTr="009E65F3">
        <w:trPr>
          <w:trHeight w:val="70"/>
        </w:trPr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>Schedule 1 – Guidelines for Estimates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Regulation, if required</w:t>
            </w:r>
          </w:p>
        </w:tc>
      </w:tr>
      <w:tr w:rsidR="00162E5C" w:rsidRPr="00162E5C" w:rsidTr="009E65F3">
        <w:trPr>
          <w:trHeight w:val="70"/>
        </w:trPr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E5C" w:rsidRPr="00162E5C" w:rsidTr="009E65F3">
        <w:trPr>
          <w:trHeight w:val="70"/>
        </w:trPr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>Schedule 2 – Requirements Applicable to Alternative Invoicing Agent / Alternative Collection Agent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Regulation</w:t>
            </w:r>
          </w:p>
        </w:tc>
      </w:tr>
      <w:tr w:rsidR="00162E5C" w:rsidRPr="00162E5C" w:rsidTr="009E65F3">
        <w:trPr>
          <w:trHeight w:val="70"/>
        </w:trPr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2E5C" w:rsidRPr="00162E5C" w:rsidTr="009E65F3">
        <w:trPr>
          <w:trHeight w:val="70"/>
        </w:trPr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>Schedule 3 – Principles and Parameters for Establishing the Financing Plan</w:t>
            </w:r>
          </w:p>
        </w:tc>
        <w:tc>
          <w:tcPr>
            <w:tcW w:w="4906" w:type="dxa"/>
          </w:tcPr>
          <w:p w:rsidR="00162E5C" w:rsidRPr="00162E5C" w:rsidRDefault="00162E5C" w:rsidP="00162E5C">
            <w:pPr>
              <w:rPr>
                <w:rFonts w:ascii="Arial" w:hAnsi="Arial" w:cs="Arial"/>
                <w:sz w:val="24"/>
                <w:szCs w:val="24"/>
              </w:rPr>
            </w:pPr>
            <w:r w:rsidRPr="00162E5C">
              <w:rPr>
                <w:rFonts w:ascii="Arial" w:hAnsi="Arial" w:cs="Arial"/>
                <w:sz w:val="24"/>
                <w:szCs w:val="24"/>
              </w:rPr>
              <w:t>s. 12(1), Regulation</w:t>
            </w:r>
          </w:p>
          <w:p w:rsidR="00162E5C" w:rsidRPr="00162E5C" w:rsidRDefault="00162E5C" w:rsidP="00162E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E5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:rsidR="00162E5C" w:rsidRDefault="00162E5C"/>
    <w:sectPr w:rsidR="00162E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5C"/>
    <w:rsid w:val="00162E5C"/>
    <w:rsid w:val="005B7400"/>
    <w:rsid w:val="00AA6809"/>
    <w:rsid w:val="00AF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2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2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Calwell, Carolyn (ENERGY/MEDEI/MRI)</dc:creator>
  <cp:lastModifiedBy>Calwell, Carolyn (ENERGY/MEDEI/MRI)</cp:lastModifiedBy>
  <cp:revision>2</cp:revision>
  <dcterms:created xsi:type="dcterms:W3CDTF">2017-04-16T01:39:00Z</dcterms:created>
  <dcterms:modified xsi:type="dcterms:W3CDTF">2017-04-16T02:03:00Z</dcterms:modified>
</cp:coreProperties>
</file>