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67C3" w:rsidRDefault="001967C3" w:rsidP="001967C3">
      <w:pPr>
        <w:pStyle w:val="BodyText"/>
        <w:jc w:val="center"/>
        <w:rPr>
          <w:b/>
          <w:u w:val="single"/>
        </w:rPr>
      </w:pPr>
      <w:r>
        <w:rPr>
          <w:b/>
          <w:u w:val="single"/>
        </w:rPr>
        <w:t xml:space="preserve">“Fair Hydro Act” </w:t>
      </w:r>
    </w:p>
    <w:p w:rsidR="001967C3" w:rsidRDefault="001967C3" w:rsidP="001967C3">
      <w:pPr>
        <w:pStyle w:val="BodyText"/>
        <w:rPr>
          <w:b/>
        </w:rPr>
      </w:pPr>
      <w:r>
        <w:rPr>
          <w:b/>
        </w:rPr>
        <w:t>Article 1 – Purpose</w:t>
      </w:r>
    </w:p>
    <w:p w:rsidR="001967C3" w:rsidRDefault="001967C3" w:rsidP="001967C3">
      <w:pPr>
        <w:pStyle w:val="BodyText"/>
      </w:pPr>
      <w:r>
        <w:t>The Province has and continues to encourage the construction and development of facilities for the long-term operation and generation of electricity in the Province using sustainable, lower carbon-based technologies such as new gas-fired generation, renewable facilities, energy from waste and biomass, including under the Province’s various procurement, standard offer, feed in tariff and other similar programs (the “</w:t>
      </w:r>
      <w:r>
        <w:rPr>
          <w:u w:val="single"/>
        </w:rPr>
        <w:t>Green Generation Initiative</w:t>
      </w:r>
      <w:r>
        <w:t>”).  The long-term benefits of the Green Generation Initiative accrue over time and have benefited and will continue to benefit present and future electricity consumers in the Province.</w:t>
      </w:r>
    </w:p>
    <w:p w:rsidR="001967C3" w:rsidRDefault="001967C3" w:rsidP="001967C3">
      <w:pPr>
        <w:pStyle w:val="BodyText"/>
      </w:pPr>
      <w:r>
        <w:t>The out-of-market costs of the Green Generation Initiative are currently passed through to electricity consumers by way of a monthly adjustment amount (the “</w:t>
      </w:r>
      <w:r>
        <w:rPr>
          <w:u w:val="single"/>
        </w:rPr>
        <w:t>Green Costs Adjustment</w:t>
      </w:r>
      <w:r>
        <w:t>”), which in turn forms part of the overall adjustment calculated by the Independent Electricity System Operator (“</w:t>
      </w:r>
      <w:r>
        <w:rPr>
          <w:u w:val="single"/>
        </w:rPr>
        <w:t>IESO</w:t>
      </w:r>
      <w:r>
        <w:t xml:space="preserve">”) pursuant to section 25.33 of, and O.Reg. 429/4 under, the </w:t>
      </w:r>
      <w:r>
        <w:rPr>
          <w:i/>
        </w:rPr>
        <w:t>Electricity Act</w:t>
      </w:r>
      <w:r>
        <w:t xml:space="preserve"> (the “</w:t>
      </w:r>
      <w:r>
        <w:rPr>
          <w:u w:val="single"/>
        </w:rPr>
        <w:t>Global Adjustment</w:t>
      </w:r>
      <w:r>
        <w:t xml:space="preserve">”).  </w:t>
      </w:r>
    </w:p>
    <w:p w:rsidR="001967C3" w:rsidRDefault="001967C3" w:rsidP="001967C3">
      <w:pPr>
        <w:pStyle w:val="BodyText"/>
      </w:pPr>
      <w:r>
        <w:t xml:space="preserve">The Green Costs Adjustment is currently determined each month by reference to the amounts paid by IESO to the generators of electricity in the Province under the Green Generation Initiative. These amounts paid by the IESO arise because IESO has entered into long-term procurement contracts with such generators in order to provide them with revenue certainty, and in turn to encourage the generators to develop technologies and to construct and develop facilities consistent with the Green Generation Initiative.  It has been determined that the useful lives of many of the assets developed under the Green Generation Initiative will be in excess of the respective terms of their respective procurement contracts.  </w:t>
      </w:r>
    </w:p>
    <w:p w:rsidR="007A3493" w:rsidRDefault="001967C3" w:rsidP="001967C3">
      <w:pPr>
        <w:pStyle w:val="BodyText"/>
      </w:pPr>
      <w:r>
        <w:t>Since the benefits to past, present and future electricity consumers from the Green Generation Initiative will not necessarily coincide with the costs currently attributed through the Green Costs Adjustment, based on the respective terms of the applicable procurement contracts, it has been determined that the rate at which the costs associated with the Green Generation Initiative should be passed through to Regulated Consumers (as defined in Article 2) should be more closely aligned with the benefits that such Regulated Consumers have derived and are expected to derive from the Green Generation Initiative over time. This realignment will be based on general principles and parameters that establish a reasonable basis for measuring and allocating the relative costs and benefits of the Green Generation Initiative equitably across present and future Regulated Consumers (the “</w:t>
      </w:r>
      <w:r>
        <w:rPr>
          <w:u w:val="single"/>
        </w:rPr>
        <w:t>Fair Allocation Plan</w:t>
      </w:r>
      <w:r>
        <w:t xml:space="preserve">”).  </w:t>
      </w:r>
    </w:p>
    <w:p w:rsidR="001967C3" w:rsidRDefault="001967C3" w:rsidP="001967C3">
      <w:pPr>
        <w:pStyle w:val="BodyText"/>
      </w:pPr>
      <w:r>
        <w:t xml:space="preserve">If the Fair Allocation Plan determines that the equitable allocation of the costs associated with the Green Generation Initiative to the Regulated Consumers of a particular time period should be reduced below the amount that currently would be charged based on the Green Costs Adjustment, then the amount payable by such Regulated Consumers and in turn available to IESO will, in the aggregate, be less than the amount payable by the IESO to the generators in respect of such period.  In this case, IESO will need to obtain funding from another source to cover such a shortfall. If a funding obligation is incurred to cover such a shortfall during any period, the repayment of such funding obligation will be required in a future period, and any related repayments, finance costs, hedging costs and other transaction costs incurred will become payable in future periods. In order for IESO to obtain a reliable and committed source </w:t>
      </w:r>
      <w:r>
        <w:lastRenderedPageBreak/>
        <w:t xml:space="preserve">of cash flows to enable IESO to repay such funding amounts when they become due and payable, this Act imposes irrevocable and non-bypassable financial obligations on Regulated Consumers to pay amounts incurred in respect of such funding obligations when they become due and payable and establishes a right to invoice and collect such amounts. The right and interest in and to collect such financial obligations will take the form of the Regulatory Asset contemplated in this Act, which will constitute property rights and interests. Interests in the Regulatory Asset may be sold and absolutely assigned by IESO to one or more financing entities, which in turn will finance their acquired interests by incurring funding obligations.  The incurrence and payment of such funding obligations will be administered on behalf of such financing entities by a financial services manager under the Financing Plan contemplated in this Act.    </w:t>
      </w:r>
    </w:p>
    <w:p w:rsidR="001967C3" w:rsidRDefault="001967C3" w:rsidP="001967C3">
      <w:pPr>
        <w:pStyle w:val="BodyText"/>
      </w:pPr>
      <w:r>
        <w:t>The purpose of this Act is to establish the basis upon which intergenerational fairness can be achieved by charging the costs and benefits of the Green Generation Initiative to present and future Regulated Consumers on an equitable and cost effective basis.</w:t>
      </w:r>
    </w:p>
    <w:p w:rsidR="001967C3" w:rsidRDefault="001967C3" w:rsidP="001967C3">
      <w:pPr>
        <w:pStyle w:val="BodyText"/>
        <w:rPr>
          <w:b/>
        </w:rPr>
      </w:pPr>
      <w:r>
        <w:rPr>
          <w:b/>
        </w:rPr>
        <w:t>Article 2 – Definitions</w:t>
      </w:r>
    </w:p>
    <w:p w:rsidR="001967C3" w:rsidRDefault="001967C3" w:rsidP="001967C3">
      <w:pPr>
        <w:pStyle w:val="BodyText"/>
      </w:pPr>
      <w:r>
        <w:t>In this Act:</w:t>
      </w:r>
      <w:r w:rsidRPr="00755170">
        <w:rPr>
          <w:b/>
        </w:rPr>
        <w:t xml:space="preserve"> </w:t>
      </w:r>
    </w:p>
    <w:p w:rsidR="001967C3" w:rsidRDefault="001967C3" w:rsidP="001967C3">
      <w:pPr>
        <w:pStyle w:val="BodyText"/>
        <w:ind w:left="720"/>
      </w:pPr>
      <w:r>
        <w:t>“Absolute Assignee” means a person to whom a Regulatory Asset Owner effects a Disposition other than as security.</w:t>
      </w:r>
    </w:p>
    <w:p w:rsidR="001967C3" w:rsidRDefault="001967C3" w:rsidP="001967C3">
      <w:pPr>
        <w:pStyle w:val="BodyText"/>
        <w:ind w:left="720"/>
      </w:pPr>
      <w:r>
        <w:t>“Actual” means, in relation to costs, expenses or payments in respect of Funding Obligations during a Reference Period, the actual amount of such costs, expenses or payments paid or made (net of any Finance Reserve Withdrawals applied to pay such amounts), which amounts shall be recorded by the Financial Services Manager whose records shall be determinative for the purposes of this Act except to the extent of a manifest calculation error.</w:t>
      </w:r>
    </w:p>
    <w:p w:rsidR="001967C3" w:rsidRDefault="001967C3" w:rsidP="001967C3">
      <w:pPr>
        <w:pStyle w:val="BodyText"/>
        <w:tabs>
          <w:tab w:val="left" w:pos="4950"/>
        </w:tabs>
        <w:ind w:left="720"/>
      </w:pPr>
      <w:r>
        <w:t>“Additional Funding Charges” means, for a Reference Period</w:t>
      </w:r>
      <w:r w:rsidR="007A3493">
        <w:t xml:space="preserve"> </w:t>
      </w:r>
      <w:r>
        <w:t xml:space="preserve">the fees, charges, expenses, costs, indemnities, reimbursements and other amounts (including any applicable tax amounts) that are or become payable by or on behalf of </w:t>
      </w:r>
      <w:r w:rsidR="003805B5">
        <w:t>any</w:t>
      </w:r>
      <w:r>
        <w:t xml:space="preserve"> Absolute Assignee during the Reference Period and that were incurred or committed to directly or indirectly by the Absolute Assignee in connection with the incurrence of Funding Obligations under the Financing Plan (whether at the time of such incurrence or over the term of the Funding Obligation and whether directly or indirectly), including without limitation such amounts as may be prescribed.</w:t>
      </w:r>
    </w:p>
    <w:p w:rsidR="007A3493" w:rsidRDefault="001967C3" w:rsidP="001967C3">
      <w:pPr>
        <w:pStyle w:val="BodyText"/>
        <w:ind w:left="720"/>
        <w:rPr>
          <w:b/>
        </w:rPr>
      </w:pPr>
      <w:r>
        <w:t>“Alternative Servicer” means a person appointed under Section 4(8)</w:t>
      </w:r>
      <w:r>
        <w:rPr>
          <w:rFonts w:cstheme="minorHAnsi"/>
        </w:rPr>
        <w:t xml:space="preserve"> </w:t>
      </w:r>
      <w:r>
        <w:t>to assume the obligations of the Servicer under Article 4</w:t>
      </w:r>
      <w:r>
        <w:rPr>
          <w:rFonts w:cstheme="minorHAnsi"/>
        </w:rPr>
        <w:t xml:space="preserve">, as agent </w:t>
      </w:r>
      <w:r>
        <w:t>for</w:t>
      </w:r>
      <w:r>
        <w:rPr>
          <w:rFonts w:cstheme="minorHAnsi"/>
        </w:rPr>
        <w:t xml:space="preserve"> and on behalf of the Regulatory Asset Owners</w:t>
      </w:r>
      <w:r>
        <w:t>.</w:t>
      </w:r>
      <w:r w:rsidRPr="00701E68">
        <w:rPr>
          <w:b/>
        </w:rPr>
        <w:t xml:space="preserve"> </w:t>
      </w:r>
    </w:p>
    <w:p w:rsidR="001967C3" w:rsidRDefault="001967C3" w:rsidP="001967C3">
      <w:pPr>
        <w:pStyle w:val="BodyText"/>
        <w:ind w:left="720"/>
      </w:pPr>
      <w:r>
        <w:t xml:space="preserve">“Assessed Past Green Transition Costs” means, in respect of a Measurement Date, the aggregate of the imputed costs of the Green Generation Initiative (expressed as an equivalent to current dollars), as reflected in the calculation of the Green Costs Adjustment, which have been charged to </w:t>
      </w:r>
      <w:r w:rsidR="00C661F6">
        <w:t>Regulated</w:t>
      </w:r>
      <w:r>
        <w:t xml:space="preserve"> Customers through the Global Adjustment on or prior to the Measurement Date.</w:t>
      </w:r>
    </w:p>
    <w:p w:rsidR="007A3493" w:rsidRDefault="001967C3" w:rsidP="001967C3">
      <w:pPr>
        <w:pStyle w:val="BodyText"/>
        <w:ind w:left="720"/>
      </w:pPr>
      <w:r>
        <w:lastRenderedPageBreak/>
        <w:t>“Attribution Methodology”</w:t>
      </w:r>
      <w:r>
        <w:rPr>
          <w:rStyle w:val="FootnoteReference"/>
        </w:rPr>
        <w:footnoteReference w:id="2"/>
      </w:r>
      <w:r>
        <w:t xml:space="preserve"> means the methodology specified in the Fair Allocation Plan for allocating the Period Finance Charges for a Reference Period to Regulated Consumers. </w:t>
      </w:r>
    </w:p>
    <w:p w:rsidR="001967C3" w:rsidRDefault="001967C3" w:rsidP="001967C3">
      <w:pPr>
        <w:pStyle w:val="BodyText"/>
        <w:ind w:left="720"/>
      </w:pPr>
      <w:r>
        <w:t xml:space="preserve">“Collected Amount Adjustment” means, in respect of a True-Up Period, the amount (which may be a negative amount) calculated by the Servicer or the Financial Services </w:t>
      </w:r>
      <w:r w:rsidRPr="00EC2CB5">
        <w:t>Manager</w:t>
      </w:r>
      <w:r>
        <w:t xml:space="preserve">, as applicable, equal to (a) the Estimate of the Finance Amount for the True-Up Period, minus (b) the sum of all Transition Charge Collections for the True-Up Period and minus </w:t>
      </w:r>
      <w:r w:rsidR="00764067">
        <w:t>[</w:t>
      </w:r>
      <w:r>
        <w:t>(c) the amounts by which amounts remitted by Electricity Distributors pursuant to Section 5(4) exceeded the corresponding amount of Transition Charges Actually paid by Regulated Consumers.</w:t>
      </w:r>
      <w:r w:rsidR="00764067">
        <w:t>]</w:t>
      </w:r>
      <w:r>
        <w:rPr>
          <w:vertAlign w:val="superscript"/>
        </w:rPr>
        <w:footnoteReference w:id="3"/>
      </w:r>
    </w:p>
    <w:p w:rsidR="001967C3" w:rsidRDefault="001967C3" w:rsidP="001967C3">
      <w:pPr>
        <w:pStyle w:val="BodyText"/>
        <w:ind w:left="720"/>
      </w:pPr>
      <w:r>
        <w:t>“Collective Rights Agreement” means an agreement among all of the Regulatory Asset Owners (including each Absolute Assignee), each Pledgee, and the Financial Services Manager that governs the enforcement of their respective rights and interests in, to and under the Regulatory Asset on a coordinated and collective basis.</w:t>
      </w:r>
      <w:r w:rsidRPr="00701E68">
        <w:t xml:space="preserve"> </w:t>
      </w:r>
    </w:p>
    <w:p w:rsidR="001967C3" w:rsidRDefault="001967C3" w:rsidP="001967C3">
      <w:pPr>
        <w:pStyle w:val="BodyText"/>
        <w:ind w:left="720"/>
        <w:rPr>
          <w:b/>
        </w:rPr>
      </w:pPr>
      <w:r>
        <w:t xml:space="preserve">“Delegate” means any of the following person or persons designated in writing from time to time by the Minister of Energy to undertake the actions and perform the responsibilities ascribed to the “Delegate” under this Act: </w:t>
      </w:r>
      <w:r>
        <w:rPr>
          <w:rStyle w:val="Prompt"/>
        </w:rPr>
        <w:sym w:font="Wingdings" w:char="F06C"/>
      </w:r>
      <w:r w:rsidR="00764067">
        <w:rPr>
          <w:rStyle w:val="FootnoteReference"/>
          <w:lang w:eastAsia="en-CA"/>
        </w:rPr>
        <w:footnoteReference w:id="4"/>
      </w:r>
      <w:r>
        <w:t>.</w:t>
      </w:r>
      <w:r w:rsidRPr="00FC5542">
        <w:rPr>
          <w:b/>
        </w:rPr>
        <w:t xml:space="preserve"> </w:t>
      </w:r>
    </w:p>
    <w:p w:rsidR="001967C3" w:rsidRDefault="001967C3" w:rsidP="001967C3">
      <w:pPr>
        <w:pStyle w:val="BodyText"/>
        <w:ind w:left="720"/>
      </w:pPr>
      <w:r>
        <w:t xml:space="preserve">“Disposition” means an assignment, transfer, conveyance, sale, contribution, set-over, exchange or other disposition (or, in the case of the IESO Funding Shortfall, a release by IESO of its right to recover such amount in order to enable an Absolute Assignee to recover such amount) of </w:t>
      </w:r>
      <w:r w:rsidRPr="002D5217">
        <w:t>(a) IESO’s right to recover all or any portion of an</w:t>
      </w:r>
      <w:r>
        <w:t xml:space="preserve"> IESO Funding Shortfall or (b) an Investment Interest, in each case </w:t>
      </w:r>
      <w:r w:rsidRPr="009E0195">
        <w:t xml:space="preserve">to an Absolute Assignee </w:t>
      </w:r>
      <w:r>
        <w:t xml:space="preserve"> pursuant to a Disposition Document.</w:t>
      </w:r>
    </w:p>
    <w:p w:rsidR="001967C3" w:rsidRDefault="001967C3" w:rsidP="001967C3">
      <w:pPr>
        <w:pStyle w:val="BodyText"/>
        <w:ind w:left="720"/>
      </w:pPr>
      <w:r>
        <w:t xml:space="preserve">“Disposition Document” means the agreement, deed, conveyance, instrument or other document under which </w:t>
      </w:r>
      <w:r w:rsidRPr="002D5217">
        <w:t>IESO or an Absolute Assignee</w:t>
      </w:r>
      <w:r>
        <w:t xml:space="preserve"> effects a Disposition to an Absolute Assignee.</w:t>
      </w:r>
    </w:p>
    <w:p w:rsidR="001967C3" w:rsidRDefault="001967C3" w:rsidP="001967C3">
      <w:pPr>
        <w:pStyle w:val="BodyText"/>
        <w:ind w:left="720"/>
      </w:pPr>
      <w:r>
        <w:t xml:space="preserve">“Electricity Distributor” means a </w:t>
      </w:r>
      <w:r>
        <w:rPr>
          <w:rStyle w:val="Prompt"/>
        </w:rPr>
        <w:t xml:space="preserve">rate regulated distributor licensed under Part V of the </w:t>
      </w:r>
      <w:r>
        <w:rPr>
          <w:rStyle w:val="Prompt"/>
          <w:i/>
        </w:rPr>
        <w:t>Ontario Energy Board Act, 1998</w:t>
      </w:r>
      <w:r>
        <w:rPr>
          <w:rStyle w:val="Prompt"/>
        </w:rPr>
        <w:t>, together with and its successors.</w:t>
      </w:r>
    </w:p>
    <w:p w:rsidR="001967C3" w:rsidRDefault="001967C3" w:rsidP="001967C3">
      <w:pPr>
        <w:pStyle w:val="BodyText"/>
        <w:ind w:left="720"/>
      </w:pPr>
      <w:r>
        <w:t>“Electricity Distributor Remittances” means, for an Electricity Distributor on a Remittance Date, all Transition Charge Collections received or deemed to be received</w:t>
      </w:r>
      <w:r w:rsidRPr="00F12968">
        <w:t xml:space="preserve"> </w:t>
      </w:r>
      <w:r>
        <w:t xml:space="preserve">by the Electricity Distributor prior to the Remittance Date and that have not otherwise been remitted to Servicer or if applicable the Alternative Collection Agent in accordance with Section 5(3), including the proceeds of any enforcement action undertaken by the </w:t>
      </w:r>
      <w:r>
        <w:lastRenderedPageBreak/>
        <w:t>Electricity Distributor or if applicable the Alternative Collection Agent to recover payment of Transition Charges in accordance with Article 5</w:t>
      </w:r>
      <w:r>
        <w:rPr>
          <w:rFonts w:cstheme="minorHAnsi"/>
        </w:rPr>
        <w:t>.</w:t>
      </w:r>
      <w:r w:rsidR="00764067">
        <w:rPr>
          <w:rStyle w:val="FootnoteReference"/>
          <w:rFonts w:cstheme="minorHAnsi"/>
        </w:rPr>
        <w:footnoteReference w:id="5"/>
      </w:r>
    </w:p>
    <w:p w:rsidR="001967C3" w:rsidRDefault="001967C3" w:rsidP="001967C3">
      <w:pPr>
        <w:pStyle w:val="BodyText"/>
        <w:ind w:left="720"/>
      </w:pPr>
      <w:r>
        <w:t xml:space="preserve">“Electricity Invoice” means an invoice issued by an Electricity Distributor (or in its stead, by an Alternative Collection Agent), by the Servicer or by a Retailer, in each case to a Regulated Consumer that is served by the Electricity Distributor’s distribution system in respect of electricity charges, including the cost of electricity, delivery and regulatory charges and related services and amounts incurred, assessed or charged in respect of connectivity to such Electricity Distributor’s distribution system and in respect of applicable Transition Charges to be charged to the Regulated Consumer under this Act. </w:t>
      </w:r>
    </w:p>
    <w:p w:rsidR="001967C3" w:rsidRDefault="001967C3" w:rsidP="001967C3">
      <w:pPr>
        <w:pStyle w:val="BodyText"/>
        <w:ind w:left="720"/>
      </w:pPr>
      <w:r>
        <w:t xml:space="preserve">“Estimate” means (a) in relation to costs, expenses or payments in respect of Funding Obligations or any Finance Amount for a Reference Period, the estimated amount of such costs, expenses or payments determined by the Financial Services </w:t>
      </w:r>
      <w:r w:rsidRPr="00EC2CB5">
        <w:t>Manager</w:t>
      </w:r>
      <w:r>
        <w:t xml:space="preserve">; and (b) in relation to an assessment of the benefits of the Green Generation Initiative to Regulated Consumers, the estimated value (in current dollars) of such benefits determined by the Delegate, in each case having regard to the applicable principles and parameters set out in Schedule 1, which estimated amounts shall be determinative as the applicable estimate for the purposes of this Act except to the extent of a manifest calculation error. </w:t>
      </w:r>
    </w:p>
    <w:p w:rsidR="001967C3" w:rsidRDefault="001967C3" w:rsidP="001967C3">
      <w:pPr>
        <w:pStyle w:val="BodyText"/>
        <w:ind w:left="720"/>
      </w:pPr>
      <w:r>
        <w:t>“Estimated Future Green Transition Benefits” means, in respect of a Measurement Date, the Estimate set forth in the Fair Allocation Plan prepared in accordance with Article 7 of the aggregate value (measured in current dollars) of the benefits that are expected to accrue to Regulated Consumers from the establishment and implementation of the Green Generation Initiative during the period from the Measurement Date to the Program-End Date.</w:t>
      </w:r>
    </w:p>
    <w:p w:rsidR="001967C3" w:rsidRDefault="001967C3" w:rsidP="001967C3">
      <w:pPr>
        <w:pStyle w:val="BodyText"/>
        <w:ind w:left="720"/>
      </w:pPr>
      <w:r>
        <w:t>“Estimated Past Green Transition Benefits” means, in respect of a Measurement Date, the Estimate set forth in the Fair Allocation Plan prepared in accordance with Article 7 of the aggregate value (measured in current dollars) of the benefits that have accrued to Regulated Consumers from the establishment and implementation of the Green Generation Initiative up to and including the Measurement Date.</w:t>
      </w:r>
    </w:p>
    <w:p w:rsidR="001967C3" w:rsidRDefault="001967C3" w:rsidP="001967C3">
      <w:pPr>
        <w:pStyle w:val="BodyText"/>
        <w:ind w:left="720"/>
      </w:pPr>
      <w:r>
        <w:t>“Fair Allocation Plan” has the meaning given in Article 1.</w:t>
      </w:r>
    </w:p>
    <w:p w:rsidR="001967C3" w:rsidRDefault="001967C3" w:rsidP="001967C3">
      <w:pPr>
        <w:pStyle w:val="BodyText"/>
        <w:ind w:left="720"/>
      </w:pPr>
      <w:r>
        <w:t>“Finance Amount” means, for a Reference Period, the sum (without duplication) of the following amounts that are or become payable during the Reference Period in respect of a</w:t>
      </w:r>
      <w:r w:rsidR="003805B5">
        <w:t xml:space="preserve">ny </w:t>
      </w:r>
      <w:r>
        <w:t>Absolute Assignee: (a) Repayments; (b) Net Funding Costs; (c) Redemption Amounts; (d) Finance Reserve Deposits; and (e) Additional Funding Charges.</w:t>
      </w:r>
    </w:p>
    <w:p w:rsidR="001967C3" w:rsidRDefault="001967C3" w:rsidP="001967C3">
      <w:pPr>
        <w:pStyle w:val="BodyText"/>
        <w:ind w:left="720"/>
      </w:pPr>
      <w:r>
        <w:t xml:space="preserve">“Finance Reserve Deposits” means, for a Reference Period, the amount by which (a) deposits made or to be made during the Reference Period in order to pre-fund, collateralize, over-collateralize or establish reserves for the ultimate payment of Funding Obligations or for related contingencies specified in the Financing Plan, exceed (b) any Finance Reserve Withdrawals. </w:t>
      </w:r>
    </w:p>
    <w:p w:rsidR="001967C3" w:rsidRDefault="001967C3" w:rsidP="001967C3">
      <w:pPr>
        <w:pStyle w:val="BodyText"/>
        <w:ind w:left="720"/>
      </w:pPr>
      <w:r>
        <w:lastRenderedPageBreak/>
        <w:t>“Finance Reserve Withdrawals” means, for a Reference Period, the amount withdrawn during the Reference Period from deposits previously made to pre-fund, collateralize, over-collateralize or establish reserves for the payment of Funding Obligations or to pay amounts in respect of related contingencies that had been specified in the Financing Plan.</w:t>
      </w:r>
    </w:p>
    <w:p w:rsidR="001967C3" w:rsidRDefault="001967C3" w:rsidP="001967C3">
      <w:pPr>
        <w:pStyle w:val="BodyText"/>
        <w:ind w:left="720"/>
      </w:pPr>
      <w:r>
        <w:t xml:space="preserve">“Financial Services </w:t>
      </w:r>
      <w:r w:rsidRPr="00EC2CB5">
        <w:t>Manager</w:t>
      </w:r>
      <w:r>
        <w:t>” means OPG or, following any Replacement Event involving OPG, such other person who may be appointed as the financial services m</w:t>
      </w:r>
      <w:r w:rsidRPr="00EC2CB5">
        <w:t>anager</w:t>
      </w:r>
      <w:r>
        <w:t xml:space="preserve"> of the Absolute Assignees under the Financing Plan in compliance with the requirements set out in Schedule 2.</w:t>
      </w:r>
      <w:r>
        <w:rPr>
          <w:rStyle w:val="FootnoteReference"/>
        </w:rPr>
        <w:footnoteReference w:id="6"/>
      </w:r>
    </w:p>
    <w:p w:rsidR="001967C3" w:rsidRDefault="001967C3" w:rsidP="001967C3">
      <w:pPr>
        <w:pStyle w:val="BodyText"/>
        <w:ind w:left="720"/>
      </w:pPr>
      <w:r>
        <w:t xml:space="preserve">“Financing Entity” means any entity established </w:t>
      </w:r>
      <w:r w:rsidR="003805B5">
        <w:t xml:space="preserve">in accordance with the Financing Plan to be an Absolute Assignee </w:t>
      </w:r>
      <w:r w:rsidRPr="00CB4964">
        <w:t xml:space="preserve">and </w:t>
      </w:r>
      <w:r w:rsidR="00420AF9">
        <w:t xml:space="preserve">that is </w:t>
      </w:r>
      <w:r w:rsidRPr="00CB4964">
        <w:t>managed by the Financial Services Manager</w:t>
      </w:r>
      <w:r>
        <w:t>.</w:t>
      </w:r>
      <w:r>
        <w:rPr>
          <w:rStyle w:val="FootnoteReference"/>
        </w:rPr>
        <w:footnoteReference w:id="7"/>
      </w:r>
    </w:p>
    <w:p w:rsidR="001967C3" w:rsidRDefault="001967C3" w:rsidP="001967C3">
      <w:pPr>
        <w:pStyle w:val="BodyText"/>
        <w:ind w:left="720"/>
      </w:pPr>
      <w:r>
        <w:t xml:space="preserve">“Financing Plan” means the written plan prepared by the Financial Services </w:t>
      </w:r>
      <w:r w:rsidRPr="00EC2CB5">
        <w:t>Manager</w:t>
      </w:r>
      <w:r>
        <w:t xml:space="preserve"> in accordance with Article 9, as the same may be amended, amended and restated or terminated by the Financial Services </w:t>
      </w:r>
      <w:r w:rsidRPr="00EC2CB5">
        <w:t>Manager</w:t>
      </w:r>
      <w:r>
        <w:t xml:space="preserve"> in accordance with Article 9 from time to time.</w:t>
      </w:r>
    </w:p>
    <w:p w:rsidR="001967C3" w:rsidRDefault="001967C3" w:rsidP="001967C3">
      <w:pPr>
        <w:pStyle w:val="BodyText"/>
        <w:ind w:left="720"/>
      </w:pPr>
      <w:r>
        <w:t xml:space="preserve">“Funding Obligation” means, in respect of an Absolute Assignee, each payment obligation (including each obligation to pay: principal, interest, premiums and other financing charge payments; pass-through payments; payment obligations arising under or in respect of derivatives; payment obligations owing to service providers, Financial Services </w:t>
      </w:r>
      <w:r w:rsidRPr="00EC2CB5">
        <w:t>Manager</w:t>
      </w:r>
      <w:r>
        <w:t>s, finance entity intermediaries, capital markets intermediaries, advisors, lenders, credit enhancement providers, liquidity providers, disbursement counterparties, regulatory agencies and rating agencies; and all Additional Funding Charges) incurred by or on behalf of the Absolute Assignee under the Financing Plan, including any Refinancing of another such payment obligation incurred by or on behalf of such Absolute Assignee.</w:t>
      </w:r>
    </w:p>
    <w:p w:rsidR="001967C3" w:rsidRDefault="001967C3" w:rsidP="001967C3">
      <w:pPr>
        <w:pStyle w:val="BodyText"/>
        <w:ind w:left="720"/>
      </w:pPr>
      <w:r>
        <w:t xml:space="preserve">“Future Fair Share of Green Transition Benefits” means, in respect of a Measurement Date, the sum of (a) the Over-Assessed Amount; and (b) the Estimated Future Green Transition Benefits, in each case as of the Measurement Date. </w:t>
      </w:r>
    </w:p>
    <w:p w:rsidR="001967C3" w:rsidRDefault="001967C3" w:rsidP="001967C3">
      <w:pPr>
        <w:pStyle w:val="BodyText"/>
        <w:ind w:left="720"/>
      </w:pPr>
      <w:r w:rsidDel="002D65A7">
        <w:t xml:space="preserve"> </w:t>
      </w:r>
      <w:r>
        <w:t xml:space="preserve">“Global Adjustment” has the meaning given in Article 1. </w:t>
      </w:r>
    </w:p>
    <w:p w:rsidR="001967C3" w:rsidRDefault="001967C3" w:rsidP="001967C3">
      <w:pPr>
        <w:pStyle w:val="BodyText"/>
        <w:ind w:left="720"/>
      </w:pPr>
      <w:r>
        <w:t xml:space="preserve">“Green Costs Adjustment” has the meaning given in Article 1. </w:t>
      </w:r>
    </w:p>
    <w:p w:rsidR="001967C3" w:rsidRDefault="001967C3" w:rsidP="001967C3">
      <w:pPr>
        <w:pStyle w:val="BodyText"/>
        <w:ind w:left="720"/>
      </w:pPr>
      <w:r>
        <w:t>“Green Generation Initiative” has the meaning given in Article 1.</w:t>
      </w:r>
    </w:p>
    <w:p w:rsidR="001967C3" w:rsidRDefault="001967C3" w:rsidP="001967C3">
      <w:pPr>
        <w:pStyle w:val="BodyText"/>
        <w:ind w:left="720"/>
      </w:pPr>
      <w:r>
        <w:lastRenderedPageBreak/>
        <w:t xml:space="preserve">“IESO” means the Independent Electricity System Operator created pursuant to Part II of the </w:t>
      </w:r>
      <w:r>
        <w:rPr>
          <w:i/>
        </w:rPr>
        <w:t>Electricity Act, 1998</w:t>
      </w:r>
      <w:r>
        <w:t>.</w:t>
      </w:r>
    </w:p>
    <w:p w:rsidR="001967C3" w:rsidRDefault="001967C3" w:rsidP="001967C3">
      <w:pPr>
        <w:pStyle w:val="BodyText"/>
        <w:ind w:left="720"/>
      </w:pPr>
      <w:r>
        <w:t xml:space="preserve">“IESO Electricity Distribution Receipts” means, for a month, the sum of all amounts payable by Electricity Distributors to IESO , during the month pursuant to section </w:t>
      </w:r>
      <w:r>
        <w:rPr>
          <w:rFonts w:cstheme="minorHAnsi"/>
        </w:rPr>
        <w:t>•</w:t>
      </w:r>
      <w:r>
        <w:t xml:space="preserve"> of the </w:t>
      </w:r>
      <w:r>
        <w:rPr>
          <w:i/>
        </w:rPr>
        <w:t>Electricity Act</w:t>
      </w:r>
      <w:r>
        <w:t xml:space="preserve"> in respect of Regulated Consumers. </w:t>
      </w:r>
      <w:r w:rsidRPr="003B1167">
        <w:rPr>
          <w:b/>
        </w:rPr>
        <w:t>[NTD: IESO indicates that it likely does not work to express in regards to “amounts payable by the LDCs” because settlement between the IESO and LDCs entails payments by LDCs to the IESO and then credits/debits by the IESO to LDCs to reflect RPP shortfalls/overages.]</w:t>
      </w:r>
    </w:p>
    <w:p w:rsidR="001967C3" w:rsidRDefault="001967C3" w:rsidP="001967C3">
      <w:pPr>
        <w:pStyle w:val="BodyText"/>
        <w:ind w:left="720"/>
      </w:pPr>
      <w:r>
        <w:t xml:space="preserve">“IESO Funding Shortfall” means, for a month, the amount, if any, by which (a) the IESO Electricity Distribution Receipts that would be payable to IESO for the month if determined without regard to this Act and without regard to the changes made to section 25.33 of, and O.Reg. 429/4 under, the </w:t>
      </w:r>
      <w:r>
        <w:rPr>
          <w:i/>
        </w:rPr>
        <w:t>Electricity Act</w:t>
      </w:r>
      <w:r>
        <w:t xml:space="preserve"> with respect to the Global Adjustment concurrently with this Act, exceeds (b) the IESO Electricity Distribution Receipts payable to IESO for the month.</w:t>
      </w:r>
      <w:r w:rsidRPr="00701D95">
        <w:t xml:space="preserve">To the extent reasonably necessary to give effect to this Act, or any transaction contemplated hereby, IESO shall calculate the IESO Funding Shortfall for any month </w:t>
      </w:r>
      <w:r>
        <w:t>taking into account</w:t>
      </w:r>
      <w:r w:rsidRPr="00701D95">
        <w:t xml:space="preserve"> information provided by the Electricity Distributors and (i) such calculation shall be binding for all purposes; and (ii) any demonstrated inaccuracy in the calculation for any month (including any such resulting from inaccuracies in the information provided by Electricity Distributors) shall be accounted for by adjusting the IESO Funding Shortfall for a subsequent month</w:t>
      </w:r>
      <w:r>
        <w:t>.</w:t>
      </w:r>
    </w:p>
    <w:p w:rsidR="00420AF9" w:rsidRDefault="00420AF9" w:rsidP="00420AF9">
      <w:pPr>
        <w:pStyle w:val="BodyText"/>
        <w:ind w:left="720"/>
        <w:rPr>
          <w:b/>
          <w:color w:val="FF0000"/>
        </w:rPr>
      </w:pPr>
      <w:r>
        <w:t>“IESO Recovery” means</w:t>
      </w:r>
      <w:r w:rsidR="00C664E4">
        <w:t xml:space="preserve"> each amount received by IESO </w:t>
      </w:r>
      <w:r w:rsidR="008B3DA7">
        <w:t xml:space="preserve">in accordance with its right to recover IESO Funding Shortfalls pursuant to </w:t>
      </w:r>
      <w:r w:rsidR="008B3DA7" w:rsidRPr="00A1486F">
        <w:t>s</w:t>
      </w:r>
      <w:r w:rsidR="008B3DA7">
        <w:t>ection</w:t>
      </w:r>
      <w:r w:rsidR="008B3DA7" w:rsidRPr="00A1486F">
        <w:t xml:space="preserve"> 25.33 of the E</w:t>
      </w:r>
      <w:r w:rsidR="008B3DA7">
        <w:t xml:space="preserve">lectricity </w:t>
      </w:r>
      <w:r w:rsidR="008B3DA7" w:rsidRPr="00A1486F">
        <w:t>A</w:t>
      </w:r>
      <w:r w:rsidR="008B3DA7">
        <w:t xml:space="preserve">ct and </w:t>
      </w:r>
      <w:r w:rsidR="008B3DA7" w:rsidRPr="00A1486F">
        <w:t>O</w:t>
      </w:r>
      <w:r w:rsidR="008B3DA7">
        <w:t>ntario</w:t>
      </w:r>
      <w:r w:rsidR="008B3DA7" w:rsidRPr="00A1486F">
        <w:t xml:space="preserve"> Reg</w:t>
      </w:r>
      <w:r w:rsidR="008B3DA7">
        <w:t>ulation</w:t>
      </w:r>
      <w:r w:rsidR="008B3DA7" w:rsidRPr="00A1486F">
        <w:t xml:space="preserve"> 430/04</w:t>
      </w:r>
      <w:r w:rsidR="008B3DA7">
        <w:t xml:space="preserve">, as </w:t>
      </w:r>
      <w:r w:rsidR="008B3DA7" w:rsidRPr="00A1486F">
        <w:t>amended</w:t>
      </w:r>
      <w:r w:rsidRPr="008B3DA7">
        <w:t>, and “IESO Recoveries” means, collectively, all such amounts received by IESO.</w:t>
      </w:r>
      <w:r w:rsidR="008B3DA7">
        <w:rPr>
          <w:rStyle w:val="FootnoteReference"/>
        </w:rPr>
        <w:footnoteReference w:id="8"/>
      </w:r>
    </w:p>
    <w:p w:rsidR="001967C3" w:rsidRDefault="001967C3" w:rsidP="001967C3">
      <w:pPr>
        <w:pStyle w:val="BodyText"/>
        <w:ind w:left="720"/>
        <w:rPr>
          <w:rFonts w:cstheme="minorHAnsi"/>
        </w:rPr>
      </w:pPr>
      <w:r>
        <w:t>“IESO Remittances” means, for a Settlement Date, all Electricity Distributor Remittances received by IESO or if applicable the Alternative Collection Agent prior to the Settlement Date and that have not otherwise been remitted to the Regulatory Asset Owners (each with respect to its Regulatory Asset) in accordance with Section 5(6), including the proceeds of any enforcement action undertaken by IESO or if applicable the Alternative Collection Agent to recover payment of amounts payable by Electricity Distributors to IESO in accordance with Article 5</w:t>
      </w:r>
      <w:r>
        <w:rPr>
          <w:rFonts w:cstheme="minorHAnsi"/>
        </w:rPr>
        <w:t>.</w:t>
      </w:r>
    </w:p>
    <w:p w:rsidR="00420AF9" w:rsidRDefault="00420AF9" w:rsidP="00420AF9">
      <w:pPr>
        <w:pStyle w:val="BodyText"/>
        <w:ind w:left="720"/>
        <w:rPr>
          <w:b/>
          <w:color w:val="FF0000"/>
        </w:rPr>
      </w:pPr>
      <w:r>
        <w:t>“IESO Regulatory Interest Amount” means, on a day, (a) the sum of all IESO Funding Shortfalls incurred prior to the day, minus (b) the net proceeds received by IESO from or on behalf of each Absolute Assignee as consideration for the Disposition of each Investment Interest paid to IESO by or on behalf of such Absolute Assignee prior to the day, and minus (c) the IESO Recoveries received by IESO prior to the day.</w:t>
      </w:r>
    </w:p>
    <w:p w:rsidR="001967C3" w:rsidRDefault="001967C3" w:rsidP="001967C3">
      <w:pPr>
        <w:pStyle w:val="BodyText"/>
        <w:ind w:left="720"/>
      </w:pPr>
      <w:r>
        <w:lastRenderedPageBreak/>
        <w:t>“IESO Successor” means the entity appointed by the Province to succeed to the rights and obligations of IESO as the entity responsible for managing the Province’s electricity system.</w:t>
      </w:r>
    </w:p>
    <w:p w:rsidR="001967C3" w:rsidRDefault="001967C3" w:rsidP="001967C3">
      <w:pPr>
        <w:pStyle w:val="BodyText"/>
        <w:ind w:left="720"/>
      </w:pPr>
      <w:r>
        <w:t>“Investment Interest” means an ownership interest in, to or under the Regulatory Asset that is acquired by an Absolute Assignee pursuant to a Disposition.</w:t>
      </w:r>
    </w:p>
    <w:p w:rsidR="001967C3" w:rsidRDefault="001967C3" w:rsidP="001967C3">
      <w:pPr>
        <w:pStyle w:val="BodyText"/>
        <w:ind w:left="720"/>
      </w:pPr>
      <w:r>
        <w:t>“Investment Remittance” means, for a month, the lesser of (a) the aggregate amount of all IESO Remittances for the month, and (b) the sum of the F</w:t>
      </w:r>
      <w:r w:rsidR="00FE7AD9">
        <w:t xml:space="preserve">inance Amounts </w:t>
      </w:r>
      <w:r>
        <w:t>due and payable by all Absolute Assignees in respect of the month.</w:t>
      </w:r>
    </w:p>
    <w:p w:rsidR="001967C3" w:rsidRDefault="001967C3" w:rsidP="001967C3">
      <w:pPr>
        <w:pStyle w:val="BodyText"/>
        <w:ind w:left="720"/>
      </w:pPr>
      <w:r>
        <w:t>“Measurement Date” means [Insert relevant date around the Legislation Implementation Date] and any other date specified as such under the Fair Allocation Plan.</w:t>
      </w:r>
    </w:p>
    <w:p w:rsidR="001967C3" w:rsidRDefault="001967C3" w:rsidP="001967C3">
      <w:pPr>
        <w:pStyle w:val="BodyText"/>
        <w:ind w:left="720"/>
      </w:pPr>
      <w:r w:rsidRPr="002D5217">
        <w:t xml:space="preserve">“Net Funding Costs” means, for a Reference Period, the amount by which (a) the aggregate of all interest, scheduled principal and other periodic finance charges accruing due and becoming payable or paid by or on behalf of </w:t>
      </w:r>
      <w:r w:rsidR="00FE7AD9">
        <w:t>any</w:t>
      </w:r>
      <w:r w:rsidRPr="002D5217">
        <w:t xml:space="preserve"> Absolute Assignee during the Reference Period in respect of its Funding Obligations, including </w:t>
      </w:r>
      <w:r>
        <w:t>such amounts as may be prescribed</w:t>
      </w:r>
      <w:r w:rsidRPr="002D5217">
        <w:t xml:space="preserve">, exceeds (b) the aggregate of all amounts received by or on behalf of the Absolute Assignee during the Reference Period in respect of </w:t>
      </w:r>
      <w:r>
        <w:t>the</w:t>
      </w:r>
      <w:r w:rsidRPr="002D5217">
        <w:t xml:space="preserve"> Funding Obligation</w:t>
      </w:r>
      <w:r>
        <w:t>s referred to in (a)</w:t>
      </w:r>
      <w:r w:rsidRPr="002D5217">
        <w:t xml:space="preserve">, </w:t>
      </w:r>
      <w:r w:rsidR="00FE7AD9">
        <w:t xml:space="preserve">and </w:t>
      </w:r>
      <w:r>
        <w:t xml:space="preserve">such </w:t>
      </w:r>
      <w:r w:rsidR="00FE7AD9">
        <w:t xml:space="preserve">other or different </w:t>
      </w:r>
      <w:r>
        <w:t>amounts as may be prescribed.</w:t>
      </w:r>
    </w:p>
    <w:p w:rsidR="001967C3" w:rsidRDefault="001967C3" w:rsidP="001967C3">
      <w:pPr>
        <w:pStyle w:val="BodyText"/>
        <w:ind w:left="720"/>
      </w:pPr>
      <w:r>
        <w:t>“OEB” means the Ontario Energy Board, together with its successors.</w:t>
      </w:r>
    </w:p>
    <w:p w:rsidR="001967C3" w:rsidRDefault="001967C3" w:rsidP="001967C3">
      <w:pPr>
        <w:pStyle w:val="BodyText"/>
        <w:ind w:left="720"/>
      </w:pPr>
      <w:r>
        <w:t xml:space="preserve">“OPG” means the corporation incorporated as Ontario Power Generation Inc. under the </w:t>
      </w:r>
      <w:r>
        <w:rPr>
          <w:i/>
        </w:rPr>
        <w:t>Business Corporations Act</w:t>
      </w:r>
      <w:r>
        <w:t xml:space="preserve"> on December 1, 1998, together with its successors.</w:t>
      </w:r>
    </w:p>
    <w:p w:rsidR="001967C3" w:rsidRDefault="001967C3" w:rsidP="001967C3">
      <w:pPr>
        <w:pStyle w:val="BodyText"/>
        <w:ind w:left="720"/>
      </w:pPr>
      <w:r>
        <w:t>“Over-Assessed Amount” means, in respect of a Measurement Date, the amount (if any) by which (a) the Assessed Past Green Transition Costs, exceeds (b) the Estimated Past Green Transition Benefits, each as determined as of the Measurement Date.</w:t>
      </w:r>
    </w:p>
    <w:p w:rsidR="001967C3" w:rsidRDefault="001967C3" w:rsidP="001967C3">
      <w:pPr>
        <w:pStyle w:val="BodyText"/>
        <w:ind w:left="720"/>
      </w:pPr>
      <w:r w:rsidRPr="00996F66">
        <w:t xml:space="preserve">“Period Finance Charges” means, for a Reference Period, the sum of (a) the Estimate of the Finance Amount (b) the True-Up Amount in respect of the applicable True-Up Period and (c) </w:t>
      </w:r>
      <w:r w:rsidR="00FE7AD9">
        <w:t>[</w:t>
      </w:r>
      <w:r w:rsidRPr="00996F66">
        <w:t>a</w:t>
      </w:r>
      <w:r>
        <w:t xml:space="preserve">n </w:t>
      </w:r>
      <w:r w:rsidRPr="00996F66">
        <w:t>adjustment amount</w:t>
      </w:r>
      <w:r>
        <w:t xml:space="preserve"> as may be prescribed</w:t>
      </w:r>
      <w:r w:rsidRPr="00996F66">
        <w:t xml:space="preserve"> to account for estimated collection shortfalls and collection delays in respect of amounts under (a) and (b).</w:t>
      </w:r>
      <w:r w:rsidR="00FE7AD9">
        <w:t>]</w:t>
      </w:r>
      <w:r w:rsidRPr="00996F66">
        <w:t xml:space="preserve">  </w:t>
      </w:r>
    </w:p>
    <w:p w:rsidR="001967C3" w:rsidRDefault="001967C3" w:rsidP="001967C3">
      <w:pPr>
        <w:pStyle w:val="BodyText"/>
        <w:ind w:left="720"/>
      </w:pPr>
      <w:r>
        <w:t>“Pledge” means, in respect of an Investment Interest of an Absolute Assignee, a lien, mortgage, charge or security interest granted to or in favour of a Pledgee by the Absolute Assignee in, to and over all or a specified portion (including a specified portion on a divided basis or by way of an undivided interest) of the Investment Interest.</w:t>
      </w:r>
    </w:p>
    <w:p w:rsidR="001967C3" w:rsidRDefault="001967C3" w:rsidP="001967C3">
      <w:pPr>
        <w:pStyle w:val="BodyText"/>
        <w:ind w:left="720"/>
      </w:pPr>
      <w:r>
        <w:t>“Pledgee” means a person to whom an Absolute Assignee grants a Pledge.</w:t>
      </w:r>
    </w:p>
    <w:p w:rsidR="001967C3" w:rsidRDefault="001967C3" w:rsidP="001967C3">
      <w:pPr>
        <w:pStyle w:val="BodyText"/>
        <w:ind w:left="720"/>
      </w:pPr>
      <w:r>
        <w:t xml:space="preserve">“Program End Date” means </w:t>
      </w:r>
      <w:r>
        <w:rPr>
          <w:rFonts w:cstheme="minorHAnsi"/>
        </w:rPr>
        <w:t>•</w:t>
      </w:r>
      <w:r>
        <w:t>, [2047].</w:t>
      </w:r>
    </w:p>
    <w:p w:rsidR="001967C3" w:rsidRDefault="001967C3" w:rsidP="001967C3">
      <w:pPr>
        <w:pStyle w:val="BodyText"/>
        <w:ind w:left="720"/>
      </w:pPr>
      <w:r>
        <w:t>“Province” means the Province of Ontario.</w:t>
      </w:r>
    </w:p>
    <w:p w:rsidR="001967C3" w:rsidRDefault="001967C3" w:rsidP="001967C3">
      <w:pPr>
        <w:pStyle w:val="BodyText"/>
        <w:ind w:left="720"/>
      </w:pPr>
      <w:r>
        <w:t xml:space="preserve">“Redemption Amount” means the amount payable by or on behalf of an Absolute Assignee to redeem, prepay or repurchase a Funding Obligation incurred by or on behalf of the Absolute Assignee, including any premium, make-whole or other additional </w:t>
      </w:r>
      <w:r>
        <w:lastRenderedPageBreak/>
        <w:t>amount becoming payable under the Funding Obligation to give effect to such redemption, prepayment or repurchase.</w:t>
      </w:r>
    </w:p>
    <w:p w:rsidR="001967C3" w:rsidRDefault="001967C3" w:rsidP="001967C3">
      <w:pPr>
        <w:pStyle w:val="BodyText"/>
        <w:ind w:left="720"/>
      </w:pPr>
      <w:r>
        <w:t>“Reference Period” means (a) the period from (and including) the Measurement Date to (and including) October 30, 2017, (b) each six month period commencing [May 1</w:t>
      </w:r>
      <w:r>
        <w:rPr>
          <w:vertAlign w:val="superscript"/>
        </w:rPr>
        <w:t>st</w:t>
      </w:r>
      <w:r>
        <w:t xml:space="preserve"> and November 1st] thereafter and (c) any other period specified as such in the Fair Allocation Plan.</w:t>
      </w:r>
    </w:p>
    <w:p w:rsidR="001967C3" w:rsidRDefault="001967C3" w:rsidP="001967C3">
      <w:pPr>
        <w:pStyle w:val="BodyText"/>
        <w:ind w:left="720"/>
      </w:pPr>
      <w:r>
        <w:t>“Refinancing” means, in respect of a Funding Obligation incurred by or on behalf of an Absolute Assignee, that the Funding Obligation is repaid or repurchased for cancellation by or on behalf of the Absolute Assignee by applying the net proceeds obtained by the Absolute Assignee incurring one or more other Funding Obligations.</w:t>
      </w:r>
    </w:p>
    <w:p w:rsidR="001967C3" w:rsidRDefault="001967C3" w:rsidP="001967C3">
      <w:pPr>
        <w:pStyle w:val="BodyText"/>
        <w:ind w:left="720"/>
      </w:pPr>
      <w:r>
        <w:t xml:space="preserve">“Regulated Consumer” means consumers of electricity in the Province </w:t>
      </w:r>
      <w:r w:rsidR="00FE7AD9">
        <w:t>[</w:t>
      </w:r>
      <w:r>
        <w:t>as prescribed</w:t>
      </w:r>
      <w:r w:rsidR="00FE7AD9">
        <w:t>]</w:t>
      </w:r>
      <w:r w:rsidR="00FE7AD9">
        <w:rPr>
          <w:rStyle w:val="FootnoteReference"/>
        </w:rPr>
        <w:footnoteReference w:id="9"/>
      </w:r>
      <w:r>
        <w:t>.</w:t>
      </w:r>
    </w:p>
    <w:p w:rsidR="006E6042" w:rsidRDefault="006E6042" w:rsidP="006E6042">
      <w:pPr>
        <w:pStyle w:val="BodyText"/>
        <w:ind w:left="720"/>
      </w:pPr>
      <w:r>
        <w:t>“Regulated Consumer Group” means</w:t>
      </w:r>
      <w:r w:rsidRPr="00C24DA2">
        <w:t xml:space="preserve">, in relation to a Reference Period, the </w:t>
      </w:r>
      <w:r>
        <w:t>Regulated Consumer</w:t>
      </w:r>
      <w:r w:rsidRPr="00C24DA2">
        <w:t>s who receive Electricity Invoices during the Reference Period.</w:t>
      </w:r>
    </w:p>
    <w:p w:rsidR="001967C3" w:rsidRDefault="001967C3" w:rsidP="001967C3">
      <w:pPr>
        <w:pStyle w:val="BodyText"/>
        <w:ind w:left="720"/>
      </w:pPr>
      <w:r>
        <w:t>“Regulatory Asset” means the property rights and interests described in Section 6(1), which</w:t>
      </w:r>
      <w:r w:rsidRPr="00780F1D">
        <w:t xml:space="preserve"> collectively is comprised of</w:t>
      </w:r>
      <w:r>
        <w:t xml:space="preserve"> each Investment Interest.</w:t>
      </w:r>
    </w:p>
    <w:p w:rsidR="001967C3" w:rsidRDefault="001967C3" w:rsidP="001967C3">
      <w:pPr>
        <w:pStyle w:val="BodyText"/>
        <w:ind w:left="720"/>
      </w:pPr>
      <w:r>
        <w:t>“Regulatory Asset Account” means (a) for an Electricity Distributor, any bank account into which the Electricity Distributor deposits or receives Transition Charge Collections; and (b) for the Servicer, any bank account into which Servicer deposits or receives Transition Charge</w:t>
      </w:r>
      <w:r w:rsidR="00FE7AD9">
        <w:t xml:space="preserve"> Collection</w:t>
      </w:r>
      <w:r>
        <w:t>s, Electricity Distributor Remittances or IESO Remittances.</w:t>
      </w:r>
    </w:p>
    <w:p w:rsidR="001967C3" w:rsidRDefault="001967C3" w:rsidP="001967C3">
      <w:pPr>
        <w:pStyle w:val="BodyText"/>
        <w:ind w:left="720"/>
      </w:pPr>
      <w:r>
        <w:t xml:space="preserve">“Regulatory Asset Owner” means each Absolute Assignee, as owner of its Investment Interest or Investment Interests, and “Regulatory Asset Owners” means collectively each such Absolute Assignee, who together own the entirety of the Regulatory Asset and are required to exercise their individual rights of ownership in accordance with Section </w:t>
      </w:r>
      <w:r>
        <w:rPr>
          <w:rFonts w:cstheme="minorHAnsi"/>
        </w:rPr>
        <w:t>6(7)</w:t>
      </w:r>
      <w:r>
        <w:t xml:space="preserve">. </w:t>
      </w:r>
    </w:p>
    <w:p w:rsidR="001967C3" w:rsidRDefault="001967C3" w:rsidP="001967C3">
      <w:pPr>
        <w:pStyle w:val="BodyText"/>
        <w:ind w:left="720"/>
      </w:pPr>
      <w:r>
        <w:t xml:space="preserve">“Related Rights” means, </w:t>
      </w:r>
      <w:r w:rsidRPr="00780F1D">
        <w:t>with respect to a Regulatory Asset Owner’s Investment Interest</w:t>
      </w:r>
      <w:r>
        <w:t>,</w:t>
      </w:r>
      <w:r w:rsidRPr="00780F1D">
        <w:t xml:space="preserve"> </w:t>
      </w:r>
      <w:r>
        <w:t>all rights of any kind (whether in tort, contract or otherwise) that attach or are attendant or incidental to any of the other property rights or interests that comprise such Investment Interest.</w:t>
      </w:r>
    </w:p>
    <w:p w:rsidR="001967C3" w:rsidRDefault="001967C3" w:rsidP="001967C3">
      <w:pPr>
        <w:pStyle w:val="BodyText"/>
        <w:ind w:left="720"/>
      </w:pPr>
      <w:r>
        <w:t xml:space="preserve">“Remittance Date” means, in respect of an Electricity Distributor, each day on which it is required to remit Electricity Distribution Remittances to Servicer or if applicable the Alternative Collection Agent as specified in accordance with any Funding Obligation or, if no such day is specified in accordance with any Funding Obligation, then the </w:t>
      </w:r>
      <w:r w:rsidR="006E6042">
        <w:t>b</w:t>
      </w:r>
      <w:r>
        <w:t xml:space="preserve">usiness </w:t>
      </w:r>
      <w:r w:rsidR="006E6042">
        <w:t>d</w:t>
      </w:r>
      <w:r>
        <w:t>ay preceding each Settlement Date.</w:t>
      </w:r>
      <w:r w:rsidRPr="00E71AE1">
        <w:t xml:space="preserve"> </w:t>
      </w:r>
    </w:p>
    <w:p w:rsidR="001967C3" w:rsidRDefault="001967C3" w:rsidP="001967C3">
      <w:pPr>
        <w:pStyle w:val="BodyText"/>
        <w:ind w:left="720"/>
      </w:pPr>
      <w:r>
        <w:t>“Repayment Obligation” means an obligation to repay</w:t>
      </w:r>
      <w:r w:rsidR="006E6042">
        <w:t>, redeem or repurchase,</w:t>
      </w:r>
      <w:r>
        <w:t xml:space="preserve"> or to provide for the repayment</w:t>
      </w:r>
      <w:r w:rsidR="006E6042">
        <w:t>, redemption or repurchase</w:t>
      </w:r>
      <w:r>
        <w:t xml:space="preserve"> (including by making a related Finance Reserve Deposit) of, all or a portion of the amount advanced to the Absolute Assignee under a Funding Obligation.</w:t>
      </w:r>
    </w:p>
    <w:p w:rsidR="001967C3" w:rsidRDefault="001967C3" w:rsidP="001967C3">
      <w:pPr>
        <w:pStyle w:val="BodyText"/>
        <w:ind w:left="720"/>
      </w:pPr>
      <w:r>
        <w:lastRenderedPageBreak/>
        <w:t>“Repayment” means a payment by an Absolute Assignee made to satisfy a Repayment Obligation, other than to the extent that the payment is made by applying the proceeds of a Refinancing or from Finance Reserve Withdrawals.</w:t>
      </w:r>
    </w:p>
    <w:p w:rsidR="001967C3" w:rsidRDefault="001967C3" w:rsidP="001967C3">
      <w:pPr>
        <w:pStyle w:val="BodyText"/>
        <w:ind w:left="720"/>
      </w:pPr>
      <w:r>
        <w:t xml:space="preserve">“Replacement Event” means any event specified as such in a Funding Obligation. </w:t>
      </w:r>
    </w:p>
    <w:p w:rsidR="001967C3" w:rsidRDefault="001967C3" w:rsidP="001967C3">
      <w:pPr>
        <w:pStyle w:val="BodyText"/>
        <w:ind w:left="720"/>
      </w:pPr>
      <w:r>
        <w:t xml:space="preserve">“Retailer” means a person who is licensed under Part V of the </w:t>
      </w:r>
      <w:r>
        <w:rPr>
          <w:i/>
        </w:rPr>
        <w:t>Ontario Energy Board Act, 1998</w:t>
      </w:r>
      <w:r>
        <w:t xml:space="preserve"> to retail electricity.</w:t>
      </w:r>
    </w:p>
    <w:p w:rsidR="001967C3" w:rsidRDefault="006E6042" w:rsidP="001967C3">
      <w:pPr>
        <w:pStyle w:val="BodyText"/>
        <w:ind w:left="720"/>
      </w:pPr>
      <w:r>
        <w:t>[</w:t>
      </w:r>
      <w:r w:rsidR="001967C3">
        <w:t xml:space="preserve">“Retailer Consolidated Billing” has the same meaning as in the </w:t>
      </w:r>
      <w:r w:rsidR="001967C3">
        <w:rPr>
          <w:i/>
        </w:rPr>
        <w:t>Retail Settlement Code</w:t>
      </w:r>
      <w:r w:rsidR="001967C3">
        <w:t xml:space="preserve"> issued by the Ontario Energy Board.</w:t>
      </w:r>
      <w:r>
        <w:t>]</w:t>
      </w:r>
    </w:p>
    <w:p w:rsidR="001967C3" w:rsidRDefault="001967C3" w:rsidP="001967C3">
      <w:pPr>
        <w:pStyle w:val="BodyText"/>
        <w:ind w:left="720"/>
      </w:pPr>
      <w:r>
        <w:t>“Servicer” means IESO or IESO Successor</w:t>
      </w:r>
      <w:r>
        <w:rPr>
          <w:rFonts w:cstheme="minorHAnsi"/>
        </w:rPr>
        <w:t xml:space="preserve">, as agent </w:t>
      </w:r>
      <w:r>
        <w:t>for</w:t>
      </w:r>
      <w:r>
        <w:rPr>
          <w:rFonts w:cstheme="minorHAnsi"/>
        </w:rPr>
        <w:t xml:space="preserve"> and on behalf of the Regulatory Asset Owners, for the purposes set forth in Article 4</w:t>
      </w:r>
      <w:r>
        <w:t>.</w:t>
      </w:r>
    </w:p>
    <w:p w:rsidR="001967C3" w:rsidRDefault="001967C3" w:rsidP="001967C3">
      <w:pPr>
        <w:pStyle w:val="BodyText"/>
        <w:ind w:left="720"/>
      </w:pPr>
      <w:r>
        <w:t xml:space="preserve">“Settlement Date” means the [last </w:t>
      </w:r>
      <w:r w:rsidR="006E6042">
        <w:t>b</w:t>
      </w:r>
      <w:r>
        <w:t xml:space="preserve">usiness </w:t>
      </w:r>
      <w:r w:rsidR="006E6042">
        <w:t>d</w:t>
      </w:r>
      <w:r>
        <w:t>ay of any month].</w:t>
      </w:r>
    </w:p>
    <w:p w:rsidR="001967C3" w:rsidRDefault="001967C3" w:rsidP="001967C3">
      <w:pPr>
        <w:pStyle w:val="BodyText"/>
        <w:ind w:left="720"/>
      </w:pPr>
      <w:r w:rsidRPr="00996F66">
        <w:t>“Transition Charge” means, the amount recoverable from a Regulated Consumer in respect of a Reference Period</w:t>
      </w:r>
      <w:r w:rsidR="00390C21">
        <w:rPr>
          <w:rStyle w:val="FootnoteReference"/>
        </w:rPr>
        <w:footnoteReference w:id="10"/>
      </w:r>
      <w:r w:rsidRPr="00996F66">
        <w:t xml:space="preserve">, being the Period Finance Charge as allocated to such Regulated Consumer in accordance with Article </w:t>
      </w:r>
      <w:r>
        <w:t>4</w:t>
      </w:r>
      <w:r w:rsidRPr="00996F66">
        <w:t>(</w:t>
      </w:r>
      <w:r>
        <w:t>3</w:t>
      </w:r>
      <w:r w:rsidRPr="00996F66">
        <w:t>) on a monthly basis.</w:t>
      </w:r>
      <w:r w:rsidRPr="00E71AE1">
        <w:rPr>
          <w:b/>
        </w:rPr>
        <w:t xml:space="preserve"> </w:t>
      </w:r>
      <w:r w:rsidR="006E6042">
        <w:rPr>
          <w:b/>
        </w:rPr>
        <w:t>[</w:t>
      </w:r>
      <w:r w:rsidR="00390C21">
        <w:rPr>
          <w:b/>
        </w:rPr>
        <w:t>Note that t</w:t>
      </w:r>
      <w:r w:rsidRPr="006977EF">
        <w:rPr>
          <w:b/>
        </w:rPr>
        <w:t>h</w:t>
      </w:r>
      <w:r w:rsidR="006E6042">
        <w:rPr>
          <w:b/>
        </w:rPr>
        <w:t>is</w:t>
      </w:r>
      <w:r w:rsidRPr="006977EF">
        <w:rPr>
          <w:b/>
        </w:rPr>
        <w:t xml:space="preserve"> </w:t>
      </w:r>
      <w:r w:rsidR="006E6042">
        <w:rPr>
          <w:b/>
        </w:rPr>
        <w:t xml:space="preserve">allocation will be based on </w:t>
      </w:r>
      <w:r w:rsidRPr="006977EF">
        <w:rPr>
          <w:b/>
        </w:rPr>
        <w:t xml:space="preserve">the OEB process for determining the volumetric rate as part of the RPP process (see s. 4(2)).  The OEB will determine volumetric rate based on forecast consumption, number of consumers, etc. to recover the Period </w:t>
      </w:r>
      <w:r>
        <w:rPr>
          <w:b/>
        </w:rPr>
        <w:t>Finance</w:t>
      </w:r>
      <w:r w:rsidRPr="006977EF">
        <w:rPr>
          <w:b/>
        </w:rPr>
        <w:t xml:space="preserve"> Charges.]</w:t>
      </w:r>
    </w:p>
    <w:p w:rsidR="001967C3" w:rsidRDefault="001967C3" w:rsidP="001967C3">
      <w:pPr>
        <w:pStyle w:val="BodyText"/>
        <w:ind w:left="720"/>
      </w:pPr>
      <w:r>
        <w:t xml:space="preserve">“Transition Charge Collection” means any amount received </w:t>
      </w:r>
      <w:r w:rsidRPr="00996F66">
        <w:rPr>
          <w:b/>
        </w:rPr>
        <w:t>[or deemed by this Act to have been received]</w:t>
      </w:r>
      <w:r>
        <w:t xml:space="preserve"> upon the collection of a Transition Charge paid by or on behalf of a Regulated Consumer, including any proceeds arising from the exercise and enforcement of any related rights and interests under or in respect of the Regulatory Asset. </w:t>
      </w:r>
    </w:p>
    <w:p w:rsidR="001967C3" w:rsidRDefault="001967C3" w:rsidP="001967C3">
      <w:pPr>
        <w:pStyle w:val="BodyText"/>
        <w:ind w:left="720"/>
      </w:pPr>
      <w:r>
        <w:t xml:space="preserve">“True-Up Amount” means, in respect of a Reference Period, the amount (which may be a negative amount) calculated by the Financial Services </w:t>
      </w:r>
      <w:r w:rsidRPr="00EC2CB5">
        <w:t>Manager</w:t>
      </w:r>
      <w:r>
        <w:t xml:space="preserve"> equal to (a) the Actual Finance Amount for such related True-Up Period, minus (b) the Estimate of the Finance Amount for the related True-Up Period, plus (c) the Collected Amount Adjustment for such related True-Up Period.</w:t>
      </w:r>
      <w:r w:rsidR="00233CE8">
        <w:rPr>
          <w:rStyle w:val="FootnoteReference"/>
        </w:rPr>
        <w:footnoteReference w:id="11"/>
      </w:r>
      <w:r>
        <w:t xml:space="preserve"> </w:t>
      </w:r>
    </w:p>
    <w:p w:rsidR="001967C3" w:rsidRDefault="001967C3" w:rsidP="001967C3">
      <w:pPr>
        <w:pStyle w:val="BodyText"/>
        <w:ind w:left="720"/>
      </w:pPr>
      <w:r>
        <w:lastRenderedPageBreak/>
        <w:t>“True-Up Period” means, in relation to a Reference Period, the immediately preceding Reference Period.</w:t>
      </w:r>
      <w:r w:rsidR="00233CE8">
        <w:rPr>
          <w:rStyle w:val="FootnoteReference"/>
        </w:rPr>
        <w:footnoteReference w:id="12"/>
      </w:r>
    </w:p>
    <w:p w:rsidR="001967C3" w:rsidRDefault="001967C3" w:rsidP="001967C3">
      <w:pPr>
        <w:pStyle w:val="BodyText"/>
        <w:ind w:left="720"/>
      </w:pPr>
      <w:r>
        <w:t>“Undertaking of Her Majesty in right of Ontario” means the undertaking of</w:t>
      </w:r>
      <w:r w:rsidRPr="006A292A">
        <w:t xml:space="preserve"> Her Majesty in right of Ontario</w:t>
      </w:r>
      <w:r>
        <w:t xml:space="preserve"> given under Section 11(2).</w:t>
      </w:r>
      <w:r w:rsidR="00233CE8">
        <w:rPr>
          <w:rStyle w:val="FootnoteReference"/>
        </w:rPr>
        <w:footnoteReference w:id="13"/>
      </w:r>
    </w:p>
    <w:p w:rsidR="001967C3" w:rsidRDefault="001967C3" w:rsidP="001967C3">
      <w:pPr>
        <w:pStyle w:val="BodyText"/>
        <w:rPr>
          <w:b/>
        </w:rPr>
      </w:pPr>
      <w:r>
        <w:rPr>
          <w:b/>
        </w:rPr>
        <w:t>Article 3 – Transition Charges</w:t>
      </w:r>
    </w:p>
    <w:p w:rsidR="001967C3" w:rsidRDefault="001967C3" w:rsidP="001967C3">
      <w:pPr>
        <w:pStyle w:val="BodyText"/>
        <w:numPr>
          <w:ilvl w:val="0"/>
          <w:numId w:val="11"/>
        </w:numPr>
        <w:ind w:hanging="720"/>
        <w:rPr>
          <w:b/>
        </w:rPr>
      </w:pPr>
      <w:r>
        <w:rPr>
          <w:b/>
        </w:rPr>
        <w:t>Regulated Consumer Obligation to Pay a Transition Charge</w:t>
      </w:r>
      <w:r>
        <w:t xml:space="preserve"> – Each Regulated Consumer shall pay each Transition Charge charged to it in any Electricity Invoice issued to such Regulated Consumer by its Electricity Distributor </w:t>
      </w:r>
      <w:r>
        <w:rPr>
          <w:rFonts w:cstheme="minorHAnsi"/>
        </w:rPr>
        <w:t xml:space="preserve">or </w:t>
      </w:r>
      <w:r>
        <w:t>by an Alternative Servicer under Section 4(1)</w:t>
      </w:r>
      <w:r>
        <w:rPr>
          <w:rFonts w:cstheme="minorHAnsi"/>
        </w:rPr>
        <w:t xml:space="preserve">, in each case </w:t>
      </w:r>
      <w:r>
        <w:t>on the terms of payment specified in the related Electricity Invoice.</w:t>
      </w:r>
    </w:p>
    <w:p w:rsidR="001967C3" w:rsidRDefault="001967C3" w:rsidP="001967C3">
      <w:pPr>
        <w:pStyle w:val="BodyText"/>
        <w:numPr>
          <w:ilvl w:val="0"/>
          <w:numId w:val="11"/>
        </w:numPr>
        <w:ind w:hanging="720"/>
        <w:rPr>
          <w:b/>
        </w:rPr>
      </w:pPr>
      <w:r>
        <w:rPr>
          <w:b/>
        </w:rPr>
        <w:t xml:space="preserve">Indebtedness of Regulated Consumers </w:t>
      </w:r>
      <w:r>
        <w:t>– Until paid, a Transition Charge charged to a Regulated Consumer in an Electricity Invoice shall, together with any applicable late payment fees and finance charges arising under the terms of the Electricity Invoice with respect to such Transition Charge, constitute non-bypassable indebtedness of the Regulated Consumer to the Regulatory Asset Owners, each with respect to its respective interest in the Regulatory Asset.  Such indebtedness shall constitute a single and separate</w:t>
      </w:r>
      <w:r>
        <w:rPr>
          <w:rStyle w:val="FootnoteReference"/>
        </w:rPr>
        <w:footnoteReference w:id="14"/>
      </w:r>
      <w:r>
        <w:t xml:space="preserve"> debt obligation owing by the Regulated Consumer, which subject to Article 5 may be enforced independently from any other payment obligation or indebtedness owing by the Regulated Consumer under the Electricity Invoice or otherwise.</w:t>
      </w:r>
      <w:r>
        <w:rPr>
          <w:rStyle w:val="FootnoteReference"/>
        </w:rPr>
        <w:footnoteReference w:id="15"/>
      </w:r>
    </w:p>
    <w:p w:rsidR="001967C3" w:rsidRDefault="001967C3" w:rsidP="001967C3">
      <w:pPr>
        <w:pStyle w:val="BodyText"/>
        <w:numPr>
          <w:ilvl w:val="0"/>
          <w:numId w:val="11"/>
        </w:numPr>
        <w:ind w:hanging="720"/>
        <w:rPr>
          <w:b/>
        </w:rPr>
      </w:pPr>
      <w:r>
        <w:rPr>
          <w:b/>
        </w:rPr>
        <w:t>No Set-Off or Reduction</w:t>
      </w:r>
      <w:r>
        <w:t xml:space="preserve"> –  A Regulated Consumer may not set-off or reduce (by counterclaim, defense or otherwise) the amount payable by it in respect of any Transition Charge, including any set-off against or in respect of any amount owing or becoming payable to such Regulated Consumer by its Electricity Distributor, any Regulatory Asset Owner or any other person.</w:t>
      </w:r>
    </w:p>
    <w:p w:rsidR="001967C3" w:rsidRPr="0051425A" w:rsidRDefault="001967C3" w:rsidP="00233CE8">
      <w:pPr>
        <w:pStyle w:val="BodyText"/>
        <w:numPr>
          <w:ilvl w:val="0"/>
          <w:numId w:val="11"/>
        </w:numPr>
        <w:rPr>
          <w:b/>
        </w:rPr>
      </w:pPr>
      <w:r w:rsidRPr="0051425A">
        <w:rPr>
          <w:b/>
        </w:rPr>
        <w:t xml:space="preserve">Allocation of </w:t>
      </w:r>
      <w:r>
        <w:rPr>
          <w:b/>
        </w:rPr>
        <w:t>Regulated Consumer</w:t>
      </w:r>
      <w:r w:rsidRPr="0051425A">
        <w:rPr>
          <w:b/>
        </w:rPr>
        <w:t xml:space="preserve"> Payments</w:t>
      </w:r>
      <w:r>
        <w:t xml:space="preserve"> – If an Electricity Distributor receives a payment made by or on behalf of a Regulated Consumer in respect of amounts due and payable under one or more Electricity Invoices that is less than the total amount payable thereunder, such payment shall be </w:t>
      </w:r>
      <w:r w:rsidR="00233CE8" w:rsidRPr="00C24DA2">
        <w:t xml:space="preserve">allocated on a </w:t>
      </w:r>
      <w:r w:rsidR="00233CE8" w:rsidRPr="00C24DA2">
        <w:rPr>
          <w:i/>
        </w:rPr>
        <w:t>pro rata</w:t>
      </w:r>
      <w:r w:rsidR="00233CE8" w:rsidRPr="00C24DA2">
        <w:t xml:space="preserve"> basis to the payment of related Transition Charges and other invoiced amounts and the amount so allocated as a payment of related Transition Charges shall be dee</w:t>
      </w:r>
      <w:r w:rsidR="00233CE8">
        <w:t>m</w:t>
      </w:r>
      <w:r w:rsidR="00233CE8" w:rsidRPr="00C24DA2">
        <w:t>ed to constitute a Transition Charge Collection</w:t>
      </w:r>
      <w:r w:rsidR="00233CE8">
        <w:t>.</w:t>
      </w:r>
    </w:p>
    <w:p w:rsidR="001967C3" w:rsidRDefault="001967C3" w:rsidP="001967C3">
      <w:pPr>
        <w:pStyle w:val="BodyText"/>
        <w:numPr>
          <w:ilvl w:val="0"/>
          <w:numId w:val="11"/>
        </w:numPr>
      </w:pPr>
      <w:r>
        <w:rPr>
          <w:b/>
        </w:rPr>
        <w:lastRenderedPageBreak/>
        <w:t>Transition Charges are Irrevocable</w:t>
      </w:r>
      <w:r>
        <w:t xml:space="preserve"> – The Transition Charges arising under or in respect of Funding Obligations (including any adjustments based on modifications to such Funding Obligations made in compliance with the Financing Plan or as a result of amendments to the Financing Plan made in accordance with Section 9(3)) are deemed to be irrevocable, final and effective without any further action, except to the extent of manifest calculation error.  For greater certainty, a Transition Charge may include Finance Amounts for a Reference Period regardless of whether the payment of such Finance Amounts are inconsistent with the Fair Allocation Plan applicable at the time such payments are due and payable, and regardless of whether the related Funding Obligation was properly incurred under the Financing Plan. In no case shall a Funding Obligation incurred under the Financing Plan be affected by a subsequent amendment to the Fair Allocation Plan.</w:t>
      </w:r>
    </w:p>
    <w:p w:rsidR="00233CE8" w:rsidRPr="00233CE8" w:rsidRDefault="001967C3" w:rsidP="001967C3">
      <w:pPr>
        <w:pStyle w:val="BodyText"/>
        <w:numPr>
          <w:ilvl w:val="0"/>
          <w:numId w:val="11"/>
        </w:numPr>
      </w:pPr>
      <w:r w:rsidRPr="005F3918">
        <w:rPr>
          <w:b/>
        </w:rPr>
        <w:t>True-Up of Transition Charges</w:t>
      </w:r>
      <w:r w:rsidR="00233CE8" w:rsidRPr="00233CE8">
        <w:t xml:space="preserve"> – </w:t>
      </w:r>
      <w:r w:rsidR="00233CE8">
        <w:t>[</w:t>
      </w:r>
      <w:r w:rsidR="00390C21">
        <w:t>See True-Up Amount].</w:t>
      </w:r>
    </w:p>
    <w:p w:rsidR="001967C3" w:rsidRDefault="001967C3" w:rsidP="001967C3">
      <w:pPr>
        <w:pStyle w:val="BodyText"/>
        <w:rPr>
          <w:b/>
        </w:rPr>
      </w:pPr>
      <w:r>
        <w:rPr>
          <w:b/>
        </w:rPr>
        <w:t xml:space="preserve">Article 4 – Invoicing of Transition Charges </w:t>
      </w:r>
      <w:r w:rsidRPr="00C5362F">
        <w:rPr>
          <w:b/>
        </w:rPr>
        <w:t xml:space="preserve"> </w:t>
      </w:r>
    </w:p>
    <w:p w:rsidR="001967C3" w:rsidRDefault="001967C3" w:rsidP="001967C3">
      <w:pPr>
        <w:pStyle w:val="BodyText"/>
        <w:numPr>
          <w:ilvl w:val="0"/>
          <w:numId w:val="16"/>
        </w:numPr>
        <w:ind w:hanging="720"/>
        <w:rPr>
          <w:b/>
        </w:rPr>
      </w:pPr>
      <w:r>
        <w:rPr>
          <w:b/>
        </w:rPr>
        <w:t>Inclusion of Transition Charges in Electricity Invoices</w:t>
      </w:r>
      <w:r>
        <w:t xml:space="preserve"> – Each Electricity Distributor and if applicable any Alternative Servicer shall, as an agent of the Regulatory Asset Owners, specify the Transition Charge to be charged to a Regulated Consumer pursuant to Section 4(4) in respect of a related Reference Period in each Electricity Invoice</w:t>
      </w:r>
      <w:r w:rsidR="00390C21">
        <w:rPr>
          <w:rStyle w:val="FootnoteReference"/>
        </w:rPr>
        <w:footnoteReference w:id="16"/>
      </w:r>
      <w:r>
        <w:t xml:space="preserve"> issued by the Electricity Distributor or if applicable by the Alternative Servicer to the Regulated Consumer in respect of such Reference Period. Upon the inclusion of a Transition Charge in an Electricity Invoice, the obligation to pay such amount shall be binding on the applicable Regulated Consumer. </w:t>
      </w:r>
    </w:p>
    <w:p w:rsidR="001967C3" w:rsidRDefault="001967C3" w:rsidP="001967C3">
      <w:pPr>
        <w:pStyle w:val="BodyText"/>
        <w:numPr>
          <w:ilvl w:val="0"/>
          <w:numId w:val="16"/>
        </w:numPr>
        <w:rPr>
          <w:b/>
        </w:rPr>
      </w:pPr>
      <w:r>
        <w:rPr>
          <w:b/>
        </w:rPr>
        <w:t xml:space="preserve">Calculation of the Period Finance Charge </w:t>
      </w:r>
      <w:r>
        <w:t xml:space="preserve">– Not later than [35] days prior to the first day of a Reference Period, each Absolute Assignee (or the Financial Services </w:t>
      </w:r>
      <w:r w:rsidRPr="00EC2CB5">
        <w:t>Manager</w:t>
      </w:r>
      <w:r>
        <w:t xml:space="preserve"> on its behalf) shall provide the OEB with written notice of each Estimate of a Finance Amount payable by it or on its behalf in respect of the Reference Period. Not later than one month prior to the first day of a Reference Period, the Financial Services Manager on behalf</w:t>
      </w:r>
      <w:r w:rsidR="000D1920">
        <w:t xml:space="preserve"> of each Absolute Assignee </w:t>
      </w:r>
      <w:r>
        <w:t xml:space="preserve">shall calculate the Period Finance Charge applicable to the Reference Period having regard to such amounts specified by the Servicer, which calculations, information and amounts shall be determinative, except to the extent of manifest calculation error or misstatement.  </w:t>
      </w:r>
    </w:p>
    <w:p w:rsidR="001967C3" w:rsidRPr="000D1920" w:rsidRDefault="000D1920" w:rsidP="001967C3">
      <w:pPr>
        <w:pStyle w:val="BodyText"/>
        <w:numPr>
          <w:ilvl w:val="0"/>
          <w:numId w:val="16"/>
        </w:numPr>
        <w:ind w:hanging="720"/>
      </w:pPr>
      <w:r>
        <w:rPr>
          <w:b/>
        </w:rPr>
        <w:t xml:space="preserve">Basis for </w:t>
      </w:r>
      <w:r w:rsidR="001967C3">
        <w:rPr>
          <w:b/>
        </w:rPr>
        <w:t>Attributi</w:t>
      </w:r>
      <w:r>
        <w:rPr>
          <w:b/>
        </w:rPr>
        <w:t>ng</w:t>
      </w:r>
      <w:r w:rsidR="001967C3">
        <w:rPr>
          <w:b/>
        </w:rPr>
        <w:t xml:space="preserve"> Transition Charges </w:t>
      </w:r>
      <w:r w:rsidR="001967C3">
        <w:t xml:space="preserve">– Not later than 25 days prior to the first day of a Reference Period, the OEB shall </w:t>
      </w:r>
      <w:r>
        <w:t>determine a [</w:t>
      </w:r>
      <w:r w:rsidRPr="000D1920">
        <w:t xml:space="preserve">Fair Hydro </w:t>
      </w:r>
      <w:r>
        <w:t>R</w:t>
      </w:r>
      <w:r w:rsidRPr="000D1920">
        <w:t xml:space="preserve">ecovery </w:t>
      </w:r>
      <w:r>
        <w:t>R</w:t>
      </w:r>
      <w:r w:rsidRPr="000D1920">
        <w:t>ate</w:t>
      </w:r>
      <w:r>
        <w:t>]</w:t>
      </w:r>
      <w:r w:rsidRPr="000D1920">
        <w:t xml:space="preserve"> (on a volumetric basis) on which Electricity Distributors will attribute Transition Charges to consumers under 4(4).</w:t>
      </w:r>
    </w:p>
    <w:p w:rsidR="001967C3" w:rsidRDefault="001967C3" w:rsidP="001967C3">
      <w:pPr>
        <w:pStyle w:val="BodyText"/>
        <w:numPr>
          <w:ilvl w:val="0"/>
          <w:numId w:val="16"/>
        </w:numPr>
        <w:ind w:hanging="720"/>
        <w:rPr>
          <w:b/>
        </w:rPr>
      </w:pPr>
      <w:r>
        <w:rPr>
          <w:b/>
        </w:rPr>
        <w:t>Notice of Transition Charges</w:t>
      </w:r>
      <w:r>
        <w:t xml:space="preserve"> – Not later than 20 days prior to the first day of a Reference Period, the OEB shall inform each Electricity Distributor and if applicable any </w:t>
      </w:r>
      <w:r>
        <w:lastRenderedPageBreak/>
        <w:t>Alternative Servicer of the</w:t>
      </w:r>
      <w:r w:rsidR="000D1920">
        <w:t xml:space="preserve"> [</w:t>
      </w:r>
      <w:r w:rsidR="000D1920" w:rsidRPr="000D1920">
        <w:t xml:space="preserve">Fair Hydro </w:t>
      </w:r>
      <w:r w:rsidR="000D1920">
        <w:t>R</w:t>
      </w:r>
      <w:r w:rsidR="000D1920" w:rsidRPr="000D1920">
        <w:t xml:space="preserve">ecovery </w:t>
      </w:r>
      <w:r w:rsidR="000D1920">
        <w:t>R</w:t>
      </w:r>
      <w:r w:rsidR="000D1920" w:rsidRPr="000D1920">
        <w:t>ate</w:t>
      </w:r>
      <w:r w:rsidR="000D1920">
        <w:t>]</w:t>
      </w:r>
      <w:r>
        <w:t xml:space="preserve"> to be </w:t>
      </w:r>
      <w:r w:rsidR="000D1920">
        <w:t xml:space="preserve">applied by the Electiricy Distributor to attribute Transition Charges to each Regulated Consumer who is served by the Electricity Distributor for inclusion in the </w:t>
      </w:r>
      <w:r>
        <w:t>Electricity Invoices to be issued to</w:t>
      </w:r>
      <w:r w:rsidR="000D1920">
        <w:t xml:space="preserve"> the Regulated Consumers</w:t>
      </w:r>
      <w:r>
        <w:t xml:space="preserve">. </w:t>
      </w:r>
    </w:p>
    <w:p w:rsidR="001967C3" w:rsidRDefault="001967C3" w:rsidP="001967C3">
      <w:pPr>
        <w:pStyle w:val="BodyText"/>
        <w:numPr>
          <w:ilvl w:val="0"/>
          <w:numId w:val="16"/>
        </w:numPr>
        <w:ind w:hanging="720"/>
        <w:rPr>
          <w:b/>
        </w:rPr>
      </w:pPr>
      <w:r>
        <w:rPr>
          <w:b/>
        </w:rPr>
        <w:t xml:space="preserve">Adjustments </w:t>
      </w:r>
      <w:r>
        <w:t>– The amount of any Transition Charge charged to a Regulated Consumer and specified as such in an Electricity Invoice shall be determinative of the amount of indebtedness created thereby and owing in respect of such Transition Charge, except to the extent of any manifest calculation error.</w:t>
      </w:r>
    </w:p>
    <w:p w:rsidR="001967C3" w:rsidRDefault="001967C3" w:rsidP="001967C3">
      <w:pPr>
        <w:pStyle w:val="BodyText"/>
        <w:numPr>
          <w:ilvl w:val="0"/>
          <w:numId w:val="16"/>
        </w:numPr>
        <w:ind w:hanging="720"/>
      </w:pPr>
      <w:r>
        <w:rPr>
          <w:b/>
        </w:rPr>
        <w:t xml:space="preserve">Successors of Electricity Distributors </w:t>
      </w:r>
      <w:r>
        <w:t>– Any successor of an Electricity Distributor shall be bound by the requirements of Article 4 and shall perform and satisfy all duties and obligations of such Electricity Distributor under Article 4 in the same manner and to the same extent as such Electricity Distributor, including the obligation under Article 4 to impose, attribute, charge, bill and invoice the Transition Charges.</w:t>
      </w:r>
    </w:p>
    <w:p w:rsidR="001967C3" w:rsidRDefault="001967C3" w:rsidP="001967C3">
      <w:pPr>
        <w:pStyle w:val="BodyText"/>
        <w:numPr>
          <w:ilvl w:val="0"/>
          <w:numId w:val="16"/>
        </w:numPr>
        <w:ind w:hanging="720"/>
      </w:pPr>
      <w:r>
        <w:rPr>
          <w:b/>
        </w:rPr>
        <w:t>Appointment of an Alternative Servicer</w:t>
      </w:r>
      <w:r>
        <w:t xml:space="preserve"> – If a Replacement Event occurs in respect of any Electricity Distributor, </w:t>
      </w:r>
      <w:r w:rsidR="00A70CFC">
        <w:t>IESO shall</w:t>
      </w:r>
      <w:r>
        <w:t xml:space="preserve"> perform some or all of the obligations and duties required to be undertaken by such Electricity Distributor under this Article 4</w:t>
      </w:r>
      <w:r w:rsidR="00A70CFC">
        <w:t>.</w:t>
      </w:r>
      <w:r>
        <w:t xml:space="preserve"> Any Electricity Distributor that is replaced under this Section 4(</w:t>
      </w:r>
      <w:r w:rsidR="00A70CFC">
        <w:t>7</w:t>
      </w:r>
      <w:r>
        <w:t xml:space="preserve">) shall promptly transfer all rights, powers, privileges and property interests in its possession or within its control in the performance of such obligations and duties to </w:t>
      </w:r>
      <w:r w:rsidR="00A70CFC">
        <w:t>IESO</w:t>
      </w:r>
      <w:r>
        <w:t xml:space="preserve"> and shall take such further actions, including the execution of instruments, necessary to give full and final effect to such transfer and to permit </w:t>
      </w:r>
      <w:r w:rsidR="00A70CFC">
        <w:t>IESO or a person designated by IESO</w:t>
      </w:r>
      <w:r>
        <w:t xml:space="preserve"> to perform such obligations and duties on behalf of the Regulatory Asset Owners.</w:t>
      </w:r>
    </w:p>
    <w:p w:rsidR="001967C3" w:rsidRDefault="001967C3" w:rsidP="001967C3">
      <w:pPr>
        <w:pStyle w:val="BodyText"/>
        <w:numPr>
          <w:ilvl w:val="0"/>
          <w:numId w:val="16"/>
        </w:numPr>
        <w:rPr>
          <w:b/>
        </w:rPr>
      </w:pPr>
      <w:r>
        <w:rPr>
          <w:b/>
        </w:rPr>
        <w:t xml:space="preserve">Absolute Assignees have Standing </w:t>
      </w:r>
      <w:r>
        <w:t>– The Absolute Assignees, acting together in accordance with the Collective Action Agreement, may bring actions against any Electricity Distributor, IESO, the Servicer, Alternative Servicer or any other person who may be authorized to issue Electricity Invoices to Regulated Consumers for a failure to impose, attribute, charge, bill or invoice Transition Charges or to otherwise comply with this Act.  Any court of the Province shall have jurisdiction over any actions brought before it by the Absolute Assignees in relation to any such failure and may make any interim or final order it thinks fit in this regard.</w:t>
      </w:r>
    </w:p>
    <w:p w:rsidR="001967C3" w:rsidRDefault="001967C3" w:rsidP="001967C3">
      <w:pPr>
        <w:pStyle w:val="BodyText"/>
        <w:numPr>
          <w:ilvl w:val="0"/>
          <w:numId w:val="16"/>
        </w:numPr>
        <w:ind w:hanging="720"/>
        <w:rPr>
          <w:b/>
        </w:rPr>
      </w:pPr>
      <w:r>
        <w:rPr>
          <w:b/>
        </w:rPr>
        <w:t xml:space="preserve">No Set-Off or Reduction – </w:t>
      </w:r>
      <w:r>
        <w:t>No Servicer or Electricity Distributor may set off or reduce (by counterclaim, defence or otherwise) the amount payable by it pursuant to this Article 4.</w:t>
      </w:r>
    </w:p>
    <w:p w:rsidR="001967C3" w:rsidRDefault="001967C3" w:rsidP="001967C3">
      <w:pPr>
        <w:pStyle w:val="BodyText"/>
        <w:numPr>
          <w:ilvl w:val="0"/>
          <w:numId w:val="16"/>
        </w:numPr>
        <w:ind w:hanging="720"/>
        <w:rPr>
          <w:b/>
        </w:rPr>
      </w:pPr>
      <w:r>
        <w:rPr>
          <w:b/>
        </w:rPr>
        <w:t>Regulations</w:t>
      </w:r>
      <w:r>
        <w:t xml:space="preserve"> – Regulations may be enacted for the purpose of specifying further rights, powers, privileges, duties and obligations that shall apply to IESO, any Electricity Distributor or any Alternative Servicer to ensure that Transition Charges are properly charged to Regulated Consumers and specified as such in Electricity Invoices.</w:t>
      </w:r>
    </w:p>
    <w:p w:rsidR="001967C3" w:rsidRDefault="001967C3" w:rsidP="001967C3">
      <w:pPr>
        <w:pStyle w:val="BodyText"/>
        <w:rPr>
          <w:b/>
        </w:rPr>
      </w:pPr>
      <w:r>
        <w:rPr>
          <w:b/>
        </w:rPr>
        <w:t xml:space="preserve">Article 5 – Collections and Remittances </w:t>
      </w:r>
    </w:p>
    <w:p w:rsidR="00A70CFC" w:rsidRDefault="001967C3" w:rsidP="001967C3">
      <w:pPr>
        <w:pStyle w:val="BodyText"/>
        <w:numPr>
          <w:ilvl w:val="0"/>
          <w:numId w:val="15"/>
        </w:numPr>
        <w:ind w:hanging="720"/>
      </w:pPr>
      <w:r w:rsidRPr="00A70CFC">
        <w:rPr>
          <w:b/>
        </w:rPr>
        <w:t>Duty to Collect as Agent</w:t>
      </w:r>
      <w:r>
        <w:t xml:space="preserve"> – Electricity Distributors or if applicable any Alternative Collection Agent shall, as an agent of the Servicer, </w:t>
      </w:r>
      <w:r w:rsidR="00A70CFC">
        <w:t xml:space="preserve">undertake commercially reasonable efforts to </w:t>
      </w:r>
      <w:r>
        <w:t xml:space="preserve">collect amounts owing by Regulated Consumers in respect of Transition Charges charged to such Regulated Consumers in Electricity Invoices issued by the </w:t>
      </w:r>
      <w:r>
        <w:lastRenderedPageBreak/>
        <w:t>Electricity Distributor or if applicable such Alternative Collection Agent</w:t>
      </w:r>
      <w:r w:rsidR="00A70CFC">
        <w:t>,</w:t>
      </w:r>
      <w:r>
        <w:t xml:space="preserve"> all in accordance with the Regulations. </w:t>
      </w:r>
      <w:r w:rsidR="00A70CFC">
        <w:rPr>
          <w:rStyle w:val="FootnoteReference"/>
        </w:rPr>
        <w:footnoteReference w:id="17"/>
      </w:r>
    </w:p>
    <w:p w:rsidR="001967C3" w:rsidRDefault="001967C3" w:rsidP="001967C3">
      <w:pPr>
        <w:pStyle w:val="BodyText"/>
        <w:numPr>
          <w:ilvl w:val="0"/>
          <w:numId w:val="15"/>
        </w:numPr>
        <w:ind w:hanging="720"/>
      </w:pPr>
      <w:r w:rsidRPr="00A70CFC">
        <w:rPr>
          <w:b/>
        </w:rPr>
        <w:t>Segregation of Transition Charge Collections</w:t>
      </w:r>
      <w:r>
        <w:t xml:space="preserve"> – </w:t>
      </w:r>
      <w:r w:rsidR="00A70CFC">
        <w:t>If prescribed, a</w:t>
      </w:r>
      <w:r>
        <w:t>n Electricity Distributor or if applicable any Alternative Collection Agent shall promptly segregate Transition Charge Collections from other payments received by it from Regulated Consumers and deposit such Transition Charge Collections into its Regulatory Asset Account.</w:t>
      </w:r>
      <w:r>
        <w:rPr>
          <w:rStyle w:val="FootnoteReference"/>
        </w:rPr>
        <w:footnoteReference w:id="18"/>
      </w:r>
      <w:r>
        <w:t xml:space="preserve">  Prior to and following a deposit of Transition Charge Collections having been made into its Regulatory Asset Account, the Electricity Distributor or if applicable any Alternative Collection Agent shall hold such amounts in trust for the Regulatory Asset Owners or </w:t>
      </w:r>
      <w:r w:rsidR="00D65B9E">
        <w:t>a</w:t>
      </w:r>
      <w:r>
        <w:t xml:space="preserve"> Pledgee.</w:t>
      </w:r>
      <w:r w:rsidR="00A70CFC">
        <w:rPr>
          <w:rStyle w:val="FootnoteReference"/>
        </w:rPr>
        <w:footnoteReference w:id="19"/>
      </w:r>
    </w:p>
    <w:p w:rsidR="001967C3" w:rsidRDefault="001967C3" w:rsidP="001967C3">
      <w:pPr>
        <w:pStyle w:val="BodyText"/>
        <w:numPr>
          <w:ilvl w:val="0"/>
          <w:numId w:val="15"/>
        </w:numPr>
      </w:pPr>
      <w:r>
        <w:rPr>
          <w:b/>
        </w:rPr>
        <w:t>Electricity Distributor Remittances</w:t>
      </w:r>
      <w:r>
        <w:t xml:space="preserve"> – On each applicable Remittance Date, an Electricity Distributor shall remit all </w:t>
      </w:r>
      <w:r w:rsidR="00D65B9E">
        <w:t>[Transition Charge Collections received by it from Regulated Consumers] [</w:t>
      </w:r>
      <w:r>
        <w:t xml:space="preserve">amounts invoiced </w:t>
      </w:r>
      <w:r w:rsidR="00D65B9E">
        <w:t xml:space="preserve">to it </w:t>
      </w:r>
      <w:r>
        <w:t>by the IESO on account of Transition Charge</w:t>
      </w:r>
      <w:r w:rsidR="00D65B9E">
        <w:t>s]</w:t>
      </w:r>
      <w:r w:rsidR="00D65B9E">
        <w:rPr>
          <w:rStyle w:val="FootnoteReference"/>
        </w:rPr>
        <w:footnoteReference w:id="20"/>
      </w:r>
      <w:r>
        <w:t xml:space="preserve"> in respect of the related Reference Period to or to the account of Servicer or if applicable the Alternative Collection Agent.</w:t>
      </w:r>
    </w:p>
    <w:p w:rsidR="001967C3" w:rsidRDefault="001967C3" w:rsidP="001967C3">
      <w:pPr>
        <w:pStyle w:val="BodyText"/>
        <w:numPr>
          <w:ilvl w:val="0"/>
          <w:numId w:val="15"/>
        </w:numPr>
        <w:ind w:hanging="720"/>
      </w:pPr>
      <w:r>
        <w:rPr>
          <w:b/>
        </w:rPr>
        <w:t xml:space="preserve">Duty to Collect Electricity Distributor Remittances </w:t>
      </w:r>
      <w:r>
        <w:t xml:space="preserve">– Servicer or if applicable any Alternative Servicer shall, as an agent of the Regulatory Asset Owners, accept and </w:t>
      </w:r>
      <w:r w:rsidR="00D65B9E">
        <w:t xml:space="preserve">undertake commercially reasonable efforts to collect </w:t>
      </w:r>
      <w:r>
        <w:t>Electricity Distributor Remittances from Electricity Distributors and Transition Charge Collections from Regulated Consumers that pay their Electricity Invoices directly to IESO</w:t>
      </w:r>
      <w:r w:rsidR="00D65B9E">
        <w:t>,</w:t>
      </w:r>
      <w:r>
        <w:t xml:space="preserve"> all in accordance with the Regulations.</w:t>
      </w:r>
    </w:p>
    <w:p w:rsidR="001967C3" w:rsidRDefault="001967C3" w:rsidP="001967C3">
      <w:pPr>
        <w:pStyle w:val="BodyText"/>
        <w:numPr>
          <w:ilvl w:val="0"/>
          <w:numId w:val="15"/>
        </w:numPr>
      </w:pPr>
      <w:r>
        <w:rPr>
          <w:b/>
        </w:rPr>
        <w:t>Segregation of Electricity Distributor Remittances</w:t>
      </w:r>
      <w:r>
        <w:t xml:space="preserve"> – Servicer and if applicable the Alternative Collection Agent shall promptly segregate Electricity Distributor Remittances from other payments received or held by it and deposit such Electricity Distributor Remittances into its Regulatory Asset Account. Prior to and following a deposit of Electricity Distributor Remittances having been made into its Regulatory Asset Account, Servicer or if applicable any Alternative Collection Agent shall hold such amounts in trust for the Regulatory Asset Owners</w:t>
      </w:r>
      <w:r w:rsidRPr="00C5362F">
        <w:t xml:space="preserve"> or </w:t>
      </w:r>
      <w:r w:rsidR="00D65B9E">
        <w:t xml:space="preserve">any </w:t>
      </w:r>
      <w:r w:rsidRPr="00C5362F">
        <w:t>Pledgee</w:t>
      </w:r>
      <w:r>
        <w:t>.</w:t>
      </w:r>
    </w:p>
    <w:p w:rsidR="001967C3" w:rsidRDefault="001967C3" w:rsidP="001967C3">
      <w:pPr>
        <w:pStyle w:val="BodyText"/>
        <w:numPr>
          <w:ilvl w:val="0"/>
          <w:numId w:val="15"/>
        </w:numPr>
        <w:ind w:hanging="720"/>
      </w:pPr>
      <w:r>
        <w:rPr>
          <w:b/>
        </w:rPr>
        <w:t>Servicer Remittances</w:t>
      </w:r>
      <w:r>
        <w:t xml:space="preserve"> – On each Settlement Date</w:t>
      </w:r>
      <w:r>
        <w:rPr>
          <w:rStyle w:val="FootnoteReference"/>
        </w:rPr>
        <w:footnoteReference w:id="21"/>
      </w:r>
      <w:r>
        <w:t>, Servicer shall remit all amounts on deposit in its Regulatory Asset Account to or to the account of the Absolute Assignees an amount equal to the Investment Remittance for the related month.</w:t>
      </w:r>
    </w:p>
    <w:p w:rsidR="001967C3" w:rsidRDefault="001967C3" w:rsidP="001967C3">
      <w:pPr>
        <w:pStyle w:val="BodyText"/>
        <w:numPr>
          <w:ilvl w:val="0"/>
          <w:numId w:val="15"/>
        </w:numPr>
        <w:ind w:hanging="720"/>
      </w:pPr>
      <w:r>
        <w:rPr>
          <w:b/>
        </w:rPr>
        <w:t>Successors of Electricity Distributors</w:t>
      </w:r>
      <w:r>
        <w:t xml:space="preserve"> – Any successor of an Electricity Distributor shall be bound by the requirements of Article 5 and shall perform and satisfy all duties and obligations of such Electricity Distributor under Article 5 in the same manner and to </w:t>
      </w:r>
      <w:r>
        <w:lastRenderedPageBreak/>
        <w:t>the same extent as such Electricity Distributor, including the obligation under Article 5 to collect Transition Charges and make remittances of Electricity Distributor Remittances.</w:t>
      </w:r>
    </w:p>
    <w:p w:rsidR="001967C3" w:rsidRDefault="001967C3" w:rsidP="001967C3">
      <w:pPr>
        <w:pStyle w:val="BodyText"/>
        <w:numPr>
          <w:ilvl w:val="0"/>
          <w:numId w:val="15"/>
        </w:numPr>
        <w:ind w:hanging="720"/>
      </w:pPr>
      <w:r>
        <w:rPr>
          <w:b/>
        </w:rPr>
        <w:t>IESO Successors</w:t>
      </w:r>
      <w:r>
        <w:t xml:space="preserve"> – IESO Successors shall be bound by the requirements of Article 5 and shall perform and satisfy all duties and obligations of IESO under Article 5 in the same manner and to the same extent as IESO, including the obligation to collect Transition Charge Collections, Electricity Distributor Remittances and to remit IESO Remittances.</w:t>
      </w:r>
    </w:p>
    <w:p w:rsidR="00D65B9E" w:rsidRPr="00D65B9E" w:rsidRDefault="001967C3" w:rsidP="001967C3">
      <w:pPr>
        <w:pStyle w:val="BodyText"/>
        <w:numPr>
          <w:ilvl w:val="0"/>
          <w:numId w:val="15"/>
        </w:numPr>
        <w:ind w:hanging="720"/>
      </w:pPr>
      <w:r w:rsidRPr="009E0195">
        <w:rPr>
          <w:b/>
        </w:rPr>
        <w:t>Owners of Distribution Assets</w:t>
      </w:r>
      <w:r>
        <w:t xml:space="preserve"> -  If any person other than an Electricity Distributor acquires distribution system assets in the Province or  invoices or collects electricity distribution  rates in the Province</w:t>
      </w:r>
      <w:r>
        <w:rPr>
          <w:rStyle w:val="FootnoteReference"/>
        </w:rPr>
        <w:footnoteReference w:id="22"/>
      </w:r>
      <w:r>
        <w:t>, then such person shall, if requested by the Absolute Assignees, be obligated to act diligently to (a) facilitate the invoicing and collection of any Transition Charges applicable to Regulated Consumers connected to such person’s distribution system assets; (b) allocate partial payments by Regulated Consumers as provided in this Act; (c) exercise all enforcement rights of the Absolute Assignees for the benefit of an Absolute Assignee; and (d) remit any Transition Charge Collections to the Absolute Assignees or Pledgees, as applicable, each in accordance with its Investment Interest.</w:t>
      </w:r>
      <w:r w:rsidRPr="009E0195">
        <w:rPr>
          <w:b/>
        </w:rPr>
        <w:t xml:space="preserve"> </w:t>
      </w:r>
    </w:p>
    <w:p w:rsidR="001967C3" w:rsidDel="009E0195" w:rsidRDefault="001967C3" w:rsidP="001967C3">
      <w:pPr>
        <w:pStyle w:val="BodyText"/>
        <w:numPr>
          <w:ilvl w:val="0"/>
          <w:numId w:val="15"/>
        </w:numPr>
        <w:ind w:hanging="720"/>
      </w:pPr>
      <w:r w:rsidRPr="009E0195">
        <w:rPr>
          <w:b/>
        </w:rPr>
        <w:t xml:space="preserve">Absolute Assignees have Standing </w:t>
      </w:r>
      <w:r>
        <w:t>– The Absolute Assignees, acting together in accordance with the Collective Action Agreement, may bring actions against any Electricity Distributor, Servicer, the Alternative Collection Agent, any owner of electricity distribution system assets in the Province or any other person who may be authorized to collect electricity distribution and use charges from Regulated Consumers for a failure to collect Transition Charges, remit or collect Electricity Distributor Remittances or remit IESO Remittances, as and to the extent applicable under Article 5, or to otherwise comply with this Act.  Any court of the Province shall have jurisdiction over any actions brought before it by the Absolute Assignees in relation to any such failure and may make any interim or final order it thinks fit in this regard.</w:t>
      </w:r>
      <w:r>
        <w:rPr>
          <w:rStyle w:val="FootnoteReference"/>
        </w:rPr>
        <w:t xml:space="preserve"> </w:t>
      </w:r>
    </w:p>
    <w:p w:rsidR="001967C3" w:rsidRDefault="001967C3" w:rsidP="001967C3">
      <w:pPr>
        <w:pStyle w:val="BodyText"/>
        <w:numPr>
          <w:ilvl w:val="0"/>
          <w:numId w:val="15"/>
        </w:numPr>
        <w:ind w:hanging="720"/>
      </w:pPr>
      <w:r>
        <w:rPr>
          <w:b/>
        </w:rPr>
        <w:t>No Set-off, etc.</w:t>
      </w:r>
      <w:r>
        <w:t xml:space="preserve"> - The Regulatory Asset, including rights in Transition Charges, Transition Charge Collections, and the interests of a Regulatory Asset Owner, an Absolute Assignee and a Pledgee therein, may not be setoff or reduced (including by counterclaim, surcharge or defense) by any Regulated Consumer, any Electricity Distributor, Servicer, Alternative Collection Agent or any owner of distribution system assets in the Province or any other person or in connection with any default, bankruptcy, reorganization or other insolvency proceeding of any Electricity Distributor, Servicer, Alternative Collection Agent or any owner of distribution system assets in the Province, any affiliate or successor thereof or any other entity or otherwise.</w:t>
      </w:r>
      <w:r>
        <w:rPr>
          <w:rStyle w:val="FootnoteReference"/>
        </w:rPr>
        <w:footnoteReference w:id="23"/>
      </w:r>
    </w:p>
    <w:p w:rsidR="001967C3" w:rsidRDefault="001967C3" w:rsidP="001967C3">
      <w:pPr>
        <w:pStyle w:val="BodyText"/>
        <w:numPr>
          <w:ilvl w:val="0"/>
          <w:numId w:val="15"/>
        </w:numPr>
        <w:ind w:hanging="720"/>
      </w:pPr>
      <w:r>
        <w:rPr>
          <w:b/>
        </w:rPr>
        <w:t>Sequestration</w:t>
      </w:r>
      <w:r>
        <w:t xml:space="preserve"> – If any Electricity Distributor, Servicer, the Alternative Collection Agent or any owner of distribution system assets in the Province or any other person or entity authorized to collect Transition Charges, defaults on any required remittance of </w:t>
      </w:r>
      <w:r>
        <w:lastRenderedPageBreak/>
        <w:t>Transition Charge Collections, Electricity Distribution Remittances or IESO Remittances under Article 5, any court in the Province, upon application by and of the Absolute Assignees acting collectively under the Collective Action Agreement and without limiting any other remedies otherwise available to the Absolute Assignees or Pledgees, shall (i) order the sequestration and payment of the Transition Charge Collections, Electricity Distribution Remittances and IESO Remittances, as applicable, for the benefit of the Absolute Assignees, each with respect to its Investment Interest, and the Pledgees as applicable and (ii) appoint a receiver to take control of the amounts sequestered.</w:t>
      </w:r>
      <w:r>
        <w:rPr>
          <w:rStyle w:val="FootnoteReference"/>
        </w:rPr>
        <w:footnoteReference w:id="24"/>
      </w:r>
      <w:r>
        <w:t xml:space="preserve"> </w:t>
      </w:r>
    </w:p>
    <w:p w:rsidR="001967C3" w:rsidRDefault="001967C3" w:rsidP="001967C3">
      <w:pPr>
        <w:pStyle w:val="BodyText"/>
        <w:numPr>
          <w:ilvl w:val="0"/>
          <w:numId w:val="15"/>
        </w:numPr>
        <w:ind w:hanging="720"/>
        <w:rPr>
          <w:b/>
        </w:rPr>
      </w:pPr>
      <w:r>
        <w:rPr>
          <w:b/>
        </w:rPr>
        <w:t>Regulations</w:t>
      </w:r>
      <w:r>
        <w:t xml:space="preserve"> – Regulations may be enacted for the purpose of specifying further rights, powers, privileges, duties and obligations that shall apply to Servicer, any Electricity Distributor or any Alternative Collection Agent to ensure that rights, interests, entitlements, benefits and proceeds in, to, under and from the Regulatory Asset are of fully realized by some or all of the Absolute Assignees and Pledgees.</w:t>
      </w:r>
    </w:p>
    <w:p w:rsidR="001967C3" w:rsidRDefault="001967C3" w:rsidP="001967C3">
      <w:pPr>
        <w:pStyle w:val="BodyText"/>
        <w:spacing w:after="0"/>
        <w:ind w:left="418"/>
        <w:rPr>
          <w:rFonts w:ascii="Times New Roman" w:hAnsi="Times New Roman" w:cs="Times New Roman"/>
          <w:color w:val="A91228" w:themeColor="accent1" w:themeShade="BF"/>
        </w:rPr>
      </w:pPr>
    </w:p>
    <w:p w:rsidR="001967C3" w:rsidRDefault="001967C3" w:rsidP="001967C3">
      <w:pPr>
        <w:pStyle w:val="BodyText"/>
        <w:rPr>
          <w:b/>
        </w:rPr>
      </w:pPr>
      <w:r>
        <w:rPr>
          <w:b/>
        </w:rPr>
        <w:t>Article 6 – The Regulatory Asset</w:t>
      </w:r>
      <w:r w:rsidR="00415F25">
        <w:rPr>
          <w:rStyle w:val="FootnoteReference"/>
          <w:b/>
        </w:rPr>
        <w:footnoteReference w:id="25"/>
      </w:r>
    </w:p>
    <w:p w:rsidR="001967C3" w:rsidRDefault="001967C3" w:rsidP="001967C3">
      <w:pPr>
        <w:pStyle w:val="BodyText"/>
        <w:numPr>
          <w:ilvl w:val="0"/>
          <w:numId w:val="12"/>
        </w:numPr>
        <w:ind w:hanging="720"/>
        <w:rPr>
          <w:b/>
        </w:rPr>
      </w:pPr>
      <w:r>
        <w:rPr>
          <w:b/>
        </w:rPr>
        <w:t xml:space="preserve">Composition </w:t>
      </w:r>
      <w:r>
        <w:t xml:space="preserve">– The Regulatory Asset shall constitute a current and irrevocable property right and interest consisting, collectively, of the following rights and interests (without duplication): </w:t>
      </w:r>
    </w:p>
    <w:p w:rsidR="001967C3" w:rsidRDefault="001967C3" w:rsidP="001967C3">
      <w:pPr>
        <w:pStyle w:val="BodyText"/>
        <w:numPr>
          <w:ilvl w:val="1"/>
          <w:numId w:val="12"/>
        </w:numPr>
        <w:ind w:hanging="720"/>
      </w:pPr>
      <w:r>
        <w:t>the right of a Regulatory Asset Owner to record its Investment Interest in its accounts;</w:t>
      </w:r>
    </w:p>
    <w:p w:rsidR="001967C3" w:rsidRDefault="001967C3" w:rsidP="001967C3">
      <w:pPr>
        <w:pStyle w:val="BodyText"/>
        <w:numPr>
          <w:ilvl w:val="1"/>
          <w:numId w:val="12"/>
        </w:numPr>
        <w:ind w:hanging="720"/>
      </w:pPr>
      <w:r>
        <w:t xml:space="preserve">the right to impose, bill, invoice, collect and receive Transition Charges from Regulated Consumers, including the right to determine the amount of Transition Charges in accordance with this Act; </w:t>
      </w:r>
    </w:p>
    <w:p w:rsidR="001967C3" w:rsidDel="009E0195" w:rsidRDefault="001967C3" w:rsidP="001967C3">
      <w:pPr>
        <w:pStyle w:val="BodyText"/>
        <w:numPr>
          <w:ilvl w:val="1"/>
          <w:numId w:val="12"/>
        </w:numPr>
        <w:ind w:hanging="720"/>
        <w:rPr>
          <w:b/>
        </w:rPr>
      </w:pPr>
      <w:r>
        <w:t>the right to enforce the obligations and indebtedness of each Regulated Consumer to pay the Transition Charges charged to the Regulated Consumer from time to time in accordance with Article 3, together with all related late payment fees or interest charges arising in respect thereof under the related Electricity Invoices; the right to enforce the duties and obligations of each Electricity Distributor and if applicable the Alternative Servicer to impose, attribute, charge, bill and invoice the Transition Charges in accordance with Article 4;</w:t>
      </w:r>
    </w:p>
    <w:p w:rsidR="001967C3" w:rsidRDefault="001967C3" w:rsidP="001967C3">
      <w:pPr>
        <w:pStyle w:val="BodyText"/>
        <w:numPr>
          <w:ilvl w:val="1"/>
          <w:numId w:val="12"/>
        </w:numPr>
        <w:ind w:hanging="720"/>
        <w:rPr>
          <w:b/>
        </w:rPr>
      </w:pPr>
      <w:r>
        <w:t xml:space="preserve">the right to enforce the duties and obligations of each Electricity Distributor and if applicable the Alternative Collection Agent to collect, receive and remit amounts received by it in respect of Transition Charges as Electricity Distributor Remittances to or to the account of Servicer or if applicable the Alternative </w:t>
      </w:r>
      <w:r>
        <w:lastRenderedPageBreak/>
        <w:t>Collection Agent in accordance with Article 5, including all collections and the proceeds of any enforcement action undertaken by the Electricity Distributor or if applicable the Alternative Collection Agent to recover payment of Transition Charges in accordance with Article 5;</w:t>
      </w:r>
    </w:p>
    <w:p w:rsidR="001967C3" w:rsidRDefault="001967C3" w:rsidP="001967C3">
      <w:pPr>
        <w:pStyle w:val="BodyText"/>
        <w:numPr>
          <w:ilvl w:val="1"/>
          <w:numId w:val="12"/>
        </w:numPr>
        <w:ind w:hanging="720"/>
        <w:rPr>
          <w:b/>
        </w:rPr>
      </w:pPr>
      <w:r>
        <w:t>the right to enforce the duties and obligations of Servicer and if applicable the Alternative Collection Agent to collect and receive Electricity Distributor Remittances and to remit IESO Remittances to or to the accounts of the Regulatory Asset Owners, each with respect to its respective interest in the Regulatory Asset, in each case in accordance with Article 5, including all collections and the proceeds of any enforcement action undertaken by it to recover payment of Electricity Distributor Remittances in accordance with Article 5;</w:t>
      </w:r>
    </w:p>
    <w:p w:rsidR="001967C3" w:rsidRDefault="001967C3" w:rsidP="001967C3">
      <w:pPr>
        <w:pStyle w:val="BodyText"/>
        <w:numPr>
          <w:ilvl w:val="1"/>
          <w:numId w:val="12"/>
        </w:numPr>
        <w:ind w:hanging="720"/>
        <w:rPr>
          <w:b/>
        </w:rPr>
      </w:pPr>
      <w:r>
        <w:t>the right to receive and collect all Transition Charge Collections, all Electricity Distributor Remittances and all IESO Remittances in accordance with Article 5;</w:t>
      </w:r>
    </w:p>
    <w:p w:rsidR="001967C3" w:rsidRDefault="001967C3" w:rsidP="001967C3">
      <w:pPr>
        <w:pStyle w:val="BodyText"/>
        <w:numPr>
          <w:ilvl w:val="1"/>
          <w:numId w:val="12"/>
        </w:numPr>
        <w:ind w:hanging="720"/>
        <w:rPr>
          <w:b/>
        </w:rPr>
      </w:pPr>
      <w:r>
        <w:t>all rights and entitlements under each Regulatory Asset Account and all amounts on deposit in any such Regulatory Asset Account;</w:t>
      </w:r>
    </w:p>
    <w:p w:rsidR="001967C3" w:rsidRDefault="001967C3" w:rsidP="001967C3">
      <w:pPr>
        <w:pStyle w:val="BodyText"/>
        <w:numPr>
          <w:ilvl w:val="1"/>
          <w:numId w:val="12"/>
        </w:numPr>
        <w:ind w:hanging="720"/>
        <w:rPr>
          <w:b/>
        </w:rPr>
      </w:pPr>
      <w:r>
        <w:t>all Related Rights; and</w:t>
      </w:r>
    </w:p>
    <w:p w:rsidR="001967C3" w:rsidRDefault="001967C3" w:rsidP="001967C3">
      <w:pPr>
        <w:pStyle w:val="BodyText"/>
        <w:numPr>
          <w:ilvl w:val="1"/>
          <w:numId w:val="12"/>
        </w:numPr>
        <w:ind w:hanging="720"/>
      </w:pPr>
      <w:r>
        <w:t>all revenue, collections, claims, payments, money and proceeds of or derived from the rights described in (a) through (i), regardless of whether such revenue, collections, claims, payments and proceeds are imposed, invoiced, collected and maintained together with or commingled with other revenue, collections, claims, payments, money and proceeds.</w:t>
      </w:r>
    </w:p>
    <w:p w:rsidR="001967C3" w:rsidRDefault="001967C3" w:rsidP="001967C3">
      <w:pPr>
        <w:pStyle w:val="BodyText"/>
        <w:ind w:left="720"/>
        <w:rPr>
          <w:rFonts w:cstheme="minorHAnsi"/>
        </w:rPr>
      </w:pPr>
      <w:r>
        <w:rPr>
          <w:rFonts w:cstheme="minorHAnsi"/>
        </w:rPr>
        <w:t xml:space="preserve">A Regulatory Asset and the property rights and interests therein shall exist whether or not Transition Charges have been imposed, charged, invoiced, accrued or collected and notwithstanding that the imposition, attribution, invoicing and collection of Transition Charges will depend on further actions that may not have occurred. The Regulatory Asset shall continue to exist until all Funding Obligations  have been paid in full. </w:t>
      </w:r>
    </w:p>
    <w:p w:rsidR="001967C3" w:rsidRPr="00B563BA" w:rsidRDefault="001967C3" w:rsidP="001967C3">
      <w:pPr>
        <w:pStyle w:val="BodyText"/>
        <w:numPr>
          <w:ilvl w:val="0"/>
          <w:numId w:val="12"/>
        </w:numPr>
      </w:pPr>
      <w:r w:rsidRPr="00616D7C">
        <w:rPr>
          <w:b/>
        </w:rPr>
        <w:t>Validity of Dispositions</w:t>
      </w:r>
      <w:r w:rsidRPr="00616D7C">
        <w:t xml:space="preserve"> –</w:t>
      </w:r>
      <w:r w:rsidRPr="00EA155D">
        <w:t xml:space="preserve"> </w:t>
      </w:r>
      <w:r>
        <w:t xml:space="preserve">A Disposition by IESO of its right to recover </w:t>
      </w:r>
      <w:r w:rsidRPr="003153EC">
        <w:t xml:space="preserve"> all or any part of the IESO Funding Shortfall </w:t>
      </w:r>
      <w:r>
        <w:t xml:space="preserve">to an Absolute Assignee, or </w:t>
      </w:r>
      <w:r w:rsidRPr="003153EC">
        <w:t xml:space="preserve">a Disposition of all or any part of an Investment Interest </w:t>
      </w:r>
      <w:r>
        <w:t xml:space="preserve">by one Absolute Assignee to another Absolute Assignee made under the Financing Plan, shall be permitted and when made shall be valid and enforceable in accordance with the terms of the related Disposition Document and shall be effective to confer upon the Absolute Assignee thereof a valid property right and interest in, to and under IESO’s right to recover the </w:t>
      </w:r>
      <w:r w:rsidRPr="003153EC">
        <w:t xml:space="preserve">IESO Funding Shortfall or </w:t>
      </w:r>
      <w:r>
        <w:t xml:space="preserve">the Investment Interest, as applicable (or relevant portion thereof) in accordance with the terms of such Disposition, provided that the parties to the applicable Disposition Document have expressly stated therein that such Disposition is a sale or other absolute transfer.   Without limiting the foregoing, any Disposition that by its terms is intended to constitute a sale or absolute transfer shall be treated for all purposes as a true sale and absolute transfer </w:t>
      </w:r>
      <w:r w:rsidRPr="003153EC">
        <w:t xml:space="preserve">of </w:t>
      </w:r>
      <w:r>
        <w:t xml:space="preserve">IESO’s right to recover </w:t>
      </w:r>
      <w:r w:rsidRPr="003153EC">
        <w:t>the IESO Funding Shortfall or an Absolute Assignee’s right, title and interest in, to and under an Investment Int</w:t>
      </w:r>
      <w:r>
        <w:t>e</w:t>
      </w:r>
      <w:r w:rsidRPr="003153EC">
        <w:t>rest, as applicable</w:t>
      </w:r>
      <w:r>
        <w:t xml:space="preserve"> (or relevant portion thereof), and not merely as a Pledge thereof, and upon such Disposition the assigner or seller under the applicable Disposition Document shall retain no right, title or interest in IESO’s right to recover the</w:t>
      </w:r>
      <w:r w:rsidRPr="003153EC">
        <w:t xml:space="preserve"> IESO Funding Shortfall or</w:t>
      </w:r>
      <w:r>
        <w:t xml:space="preserve"> the </w:t>
      </w:r>
      <w:r>
        <w:lastRenderedPageBreak/>
        <w:t xml:space="preserve">Investment Interest (or relevant portion thereof) subject to the Disposition, including all rights to recover the IESO </w:t>
      </w:r>
      <w:r w:rsidRPr="003153EC">
        <w:t xml:space="preserve">Funding Shortfall or </w:t>
      </w:r>
      <w:r>
        <w:t>under the Investment Interest arising after such Disposition.</w:t>
      </w:r>
    </w:p>
    <w:p w:rsidR="001967C3" w:rsidRDefault="001967C3" w:rsidP="001967C3">
      <w:pPr>
        <w:pStyle w:val="BodyText"/>
        <w:numPr>
          <w:ilvl w:val="0"/>
          <w:numId w:val="12"/>
        </w:numPr>
        <w:ind w:hanging="720"/>
      </w:pPr>
      <w:r>
        <w:rPr>
          <w:b/>
        </w:rPr>
        <w:t>Perfection and Priority of Dispositions</w:t>
      </w:r>
      <w:r>
        <w:t xml:space="preserve"> – Any Disposition of an interest in a Regulatory Asset shall be vested, valid, binding and perfected from the time when such Disposition is made. Such Disposition shall be perfected, vested, valid and binding as against the IESO or transferring Regulatory Asset Owner, as applicable, and all other persons who have claims of any kind (whether in tort, contract or otherwise) against IESO or the transferring Regulatory Asset Owner, as the case may be, irrespective of whether such persons have notice of the Disposition and the property rights and interests acquired by the Absolute Assignee under such Disposition shall be free and clear of any liens in favour of such other persons.</w:t>
      </w:r>
    </w:p>
    <w:p w:rsidR="001967C3" w:rsidRDefault="001967C3" w:rsidP="001967C3">
      <w:pPr>
        <w:pStyle w:val="BodyText"/>
        <w:numPr>
          <w:ilvl w:val="0"/>
          <w:numId w:val="12"/>
        </w:numPr>
        <w:ind w:hanging="720"/>
        <w:rPr>
          <w:b/>
        </w:rPr>
      </w:pPr>
      <w:r>
        <w:rPr>
          <w:b/>
        </w:rPr>
        <w:t xml:space="preserve">Validity of Pledges </w:t>
      </w:r>
      <w:r>
        <w:t>– A Pledge by an Absolute Assignee may be made to secure any Funding Obligation and when made shall be valid and enforceable in accordance with its terms and shall be effective to confer upon the Pledgee a valid security interest in, to and in respect of the related Investment Interest in accordance with the terms of the Pledge.  No consent of, or notice to, any person shall be required to give effect to a Pledge made to secure any Funding Obligation.</w:t>
      </w:r>
    </w:p>
    <w:p w:rsidR="001967C3" w:rsidRDefault="001967C3" w:rsidP="001967C3">
      <w:pPr>
        <w:pStyle w:val="BodyText"/>
        <w:numPr>
          <w:ilvl w:val="0"/>
          <w:numId w:val="12"/>
        </w:numPr>
        <w:ind w:hanging="720"/>
      </w:pPr>
      <w:r>
        <w:rPr>
          <w:b/>
        </w:rPr>
        <w:t>Perfection and Priority of Pledges</w:t>
      </w:r>
      <w:r>
        <w:t xml:space="preserve"> -</w:t>
      </w:r>
      <w:r>
        <w:rPr>
          <w:rFonts w:ascii="Times New Roman" w:hAnsi="Times New Roman" w:cs="Times New Roman"/>
        </w:rPr>
        <w:t xml:space="preserve"> </w:t>
      </w:r>
      <w:r>
        <w:t xml:space="preserve">For purposes of the </w:t>
      </w:r>
      <w:r>
        <w:rPr>
          <w:i/>
        </w:rPr>
        <w:t>Personal Property Security Act</w:t>
      </w:r>
      <w:r>
        <w:t xml:space="preserve"> (the “</w:t>
      </w:r>
      <w:r>
        <w:rPr>
          <w:u w:val="single"/>
        </w:rPr>
        <w:t>PPSA</w:t>
      </w:r>
      <w:r>
        <w:t xml:space="preserve">”), the Regulatory Asset shall be intangible personal property and any Pledge made by an Absolute Assignee in respect of a Funding Obligation shall, subject to the terms thereof, give rise to a security interest </w:t>
      </w:r>
      <w:r w:rsidR="00415F25">
        <w:t xml:space="preserve">in respect </w:t>
      </w:r>
      <w:r>
        <w:t>of which the PPSA applies, and may be perfected by filing a financing statement under the PPSA on that basis. All proceeds of a related Investment Interest that are subject to such a Pledge that are received by the Absolute Assignee shall immediately be subject to the such Pledge, and the security interest in such proceeds shall be perfected pursuant to the PPSA.</w:t>
      </w:r>
      <w:r>
        <w:rPr>
          <w:rStyle w:val="FootnoteReference"/>
        </w:rPr>
        <w:footnoteReference w:id="26"/>
      </w:r>
      <w:r>
        <w:t xml:space="preserve">  A Pledge perfected under the PPSA shall be a continuously perfected security interest and shall have priority over any other lien or security interest, created by operation of law or otherwise, that may attach to the property rights and interests in the Investment Interest subject to the Pledge unless the Pledgee has otherwise agreed in writing. A Pledgee shall have a perfected security interest in a related Investment Interest, including the Absolute Assignee’s rights and interests in and to Transition Charge Collections or other related proceeds in respect of the Investment Interest and that are deposited in any Regulatory Asset Account or other account of any Electricity Distributor, IESO, Alternative Collection Agent or other person who may have commingled such Transition Charge Collections or such other proceeds with other funds.  All provisions of the PPSA shall apply to the Regulatory Asset on the basis that it is intangible personal  property, except to the extent otherwise provided in this Section 6(5).</w:t>
      </w:r>
    </w:p>
    <w:p w:rsidR="001967C3" w:rsidRDefault="001967C3" w:rsidP="001967C3">
      <w:pPr>
        <w:pStyle w:val="BodyText"/>
        <w:numPr>
          <w:ilvl w:val="0"/>
          <w:numId w:val="12"/>
        </w:numPr>
        <w:ind w:hanging="720"/>
        <w:rPr>
          <w:b/>
        </w:rPr>
      </w:pPr>
      <w:r>
        <w:rPr>
          <w:b/>
        </w:rPr>
        <w:t xml:space="preserve">Enforcement of Property Rights </w:t>
      </w:r>
      <w:r>
        <w:t>– The rights of any Regulatory Asset Owner or Pledgee to collect and enforce its rights and interests in, to or in respect of the Regulatory Asset shall be exercised in the manner set forth in Article 5.</w:t>
      </w:r>
    </w:p>
    <w:p w:rsidR="001967C3" w:rsidRDefault="001967C3" w:rsidP="001967C3">
      <w:pPr>
        <w:pStyle w:val="BodyText"/>
        <w:numPr>
          <w:ilvl w:val="0"/>
          <w:numId w:val="12"/>
        </w:numPr>
        <w:ind w:hanging="720"/>
        <w:rPr>
          <w:b/>
        </w:rPr>
      </w:pPr>
      <w:r>
        <w:rPr>
          <w:b/>
        </w:rPr>
        <w:lastRenderedPageBreak/>
        <w:t>Owners of a Specified Portion of the Regulatory Asset</w:t>
      </w:r>
      <w:r>
        <w:t xml:space="preserve"> – A Regulatory Asset Owner may effect a Disposition to an Absolute Assignee of a specified portion of its rights and interests in the Regulatory Asset, including by way of a Disposition of a divided or an undivided interest therein as specified in a related Disposition Document.  In no circumstance may the specified portions of the rights and interests in the Regulatory Asset owned by all Regulatory Asset Owners be greater than all of the rights and interests that comprise the Regulatory Asset in the aggregate.</w:t>
      </w:r>
    </w:p>
    <w:p w:rsidR="001967C3" w:rsidRDefault="001967C3" w:rsidP="001967C3">
      <w:pPr>
        <w:pStyle w:val="BodyText"/>
        <w:numPr>
          <w:ilvl w:val="0"/>
          <w:numId w:val="12"/>
        </w:numPr>
        <w:rPr>
          <w:b/>
        </w:rPr>
      </w:pPr>
      <w:r>
        <w:rPr>
          <w:b/>
        </w:rPr>
        <w:t xml:space="preserve">Collective Action Required </w:t>
      </w:r>
      <w:r>
        <w:t>– If a Regulatory Asset Owner’s rights and interests in the Regulatory Asset comprises less than the entire property right and interest constituted by the Regulatory Asset, such Regulatory Asset Owner shall only enforce such right and interest on a collective and coordinated basis with each other Regulatory Asset Owner in accordance with the Collective Rights Agreement.</w:t>
      </w:r>
      <w:r w:rsidRPr="000A40D6">
        <w:rPr>
          <w:b/>
        </w:rPr>
        <w:t xml:space="preserve"> </w:t>
      </w:r>
    </w:p>
    <w:p w:rsidR="001967C3" w:rsidRDefault="001967C3" w:rsidP="001967C3">
      <w:pPr>
        <w:pStyle w:val="BodyText"/>
        <w:rPr>
          <w:b/>
        </w:rPr>
      </w:pPr>
      <w:r>
        <w:rPr>
          <w:b/>
        </w:rPr>
        <w:t>Article 7 – Establishment of the Fair Allocation Plan</w:t>
      </w:r>
      <w:r>
        <w:rPr>
          <w:rStyle w:val="FootnoteReference"/>
          <w:b/>
        </w:rPr>
        <w:footnoteReference w:id="27"/>
      </w:r>
      <w:r w:rsidRPr="00906D7E">
        <w:rPr>
          <w:b/>
        </w:rPr>
        <w:t xml:space="preserve"> </w:t>
      </w:r>
    </w:p>
    <w:p w:rsidR="001967C3" w:rsidRDefault="001967C3" w:rsidP="001967C3">
      <w:pPr>
        <w:pStyle w:val="BodyText"/>
        <w:numPr>
          <w:ilvl w:val="0"/>
          <w:numId w:val="17"/>
        </w:numPr>
        <w:ind w:hanging="720"/>
        <w:rPr>
          <w:b/>
        </w:rPr>
      </w:pPr>
      <w:r>
        <w:rPr>
          <w:b/>
        </w:rPr>
        <w:t>Adoption of the Fair Allocation Plan</w:t>
      </w:r>
      <w:r>
        <w:t xml:space="preserve"> – The Delegate may, by written declaration, designate and adopt a Fair Allocation Plan in compliance with Article 7.  The Fair Allocation Plan so designated and adopted shall be the Fair Allocation Plan for all purposes of this Act, except if amended, amended and restated or terminated by a further written declaration made by the Delegate in compliance with</w:t>
      </w:r>
      <w:r w:rsidRPr="00415F25">
        <w:t xml:space="preserve"> [the Regulations]</w:t>
      </w:r>
      <w:r w:rsidR="00415F25">
        <w:rPr>
          <w:b/>
        </w:rPr>
        <w:t>.</w:t>
      </w:r>
      <w:r w:rsidRPr="00415F25">
        <w:rPr>
          <w:b/>
        </w:rPr>
        <w:t xml:space="preserve">  </w:t>
      </w:r>
    </w:p>
    <w:p w:rsidR="001967C3" w:rsidRDefault="001967C3" w:rsidP="001967C3">
      <w:pPr>
        <w:pStyle w:val="BodyText"/>
        <w:numPr>
          <w:ilvl w:val="0"/>
          <w:numId w:val="17"/>
        </w:numPr>
        <w:ind w:hanging="720"/>
      </w:pPr>
      <w:r>
        <w:rPr>
          <w:b/>
        </w:rPr>
        <w:t>Principles and Parameters</w:t>
      </w:r>
      <w:r>
        <w:t xml:space="preserve"> – A Fair Allocation Plan shall seek to allocate Future Fair Share of Green Transition Benefits across present and future Regulated Consumers on a basis that the Delegate, in its sole and absolute discretion, determines to be equitable, having regard to the following principles and parameters:</w:t>
      </w:r>
    </w:p>
    <w:p w:rsidR="001967C3" w:rsidRDefault="001967C3" w:rsidP="001967C3">
      <w:pPr>
        <w:pStyle w:val="BodyText"/>
        <w:numPr>
          <w:ilvl w:val="0"/>
          <w:numId w:val="18"/>
        </w:numPr>
        <w:ind w:left="1440" w:hanging="720"/>
      </w:pPr>
      <w:r>
        <w:t>Future Fair Share of Green Transition Benefits should be allocated over the period ending on the Program End Date.</w:t>
      </w:r>
    </w:p>
    <w:p w:rsidR="00422971" w:rsidRPr="00C24DA2" w:rsidRDefault="00422971" w:rsidP="00422971">
      <w:pPr>
        <w:pStyle w:val="BodyText"/>
        <w:numPr>
          <w:ilvl w:val="0"/>
          <w:numId w:val="18"/>
        </w:numPr>
        <w:ind w:left="1440" w:hanging="720"/>
      </w:pPr>
      <w:r w:rsidRPr="00C24DA2">
        <w:t xml:space="preserve">The Fair Allocation Plan should specify the Reference Periods for the purpose of identifying applicable </w:t>
      </w:r>
      <w:r>
        <w:t>Regulated Consumer</w:t>
      </w:r>
      <w:r w:rsidRPr="00C24DA2">
        <w:t xml:space="preserve"> Groups and allocating </w:t>
      </w:r>
      <w:r>
        <w:t>Future Fair Share of Green Transition Benefits</w:t>
      </w:r>
      <w:r w:rsidRPr="00C24DA2">
        <w:t xml:space="preserve"> among them on a relative basis over time. </w:t>
      </w:r>
    </w:p>
    <w:p w:rsidR="001967C3" w:rsidRDefault="001967C3" w:rsidP="001967C3">
      <w:pPr>
        <w:pStyle w:val="BodyText"/>
        <w:numPr>
          <w:ilvl w:val="0"/>
          <w:numId w:val="18"/>
        </w:numPr>
        <w:ind w:left="1440" w:hanging="720"/>
      </w:pPr>
      <w:r>
        <w:t>The share of Future Fair Share of Green Transition Benefits allocable to a particular Regulated Consumer in respect of a Reference Period should be proportionate to a reasonable assessment of the benefits of the Green Generation Initiative to such Regulated Consumer over such Reference Period, other than in exceptional circumstances.</w:t>
      </w:r>
      <w:r w:rsidRPr="008508A4">
        <w:t xml:space="preserve"> </w:t>
      </w:r>
    </w:p>
    <w:p w:rsidR="00422971" w:rsidRPr="00C24DA2" w:rsidRDefault="00422971" w:rsidP="00422971">
      <w:pPr>
        <w:pStyle w:val="BodyText"/>
        <w:numPr>
          <w:ilvl w:val="0"/>
          <w:numId w:val="18"/>
        </w:numPr>
        <w:ind w:left="1440" w:hanging="720"/>
      </w:pPr>
      <w:r w:rsidRPr="00C24DA2">
        <w:t xml:space="preserve">The </w:t>
      </w:r>
      <w:r>
        <w:t>share of Future Fair Share of Green Transition Benefits</w:t>
      </w:r>
      <w:r w:rsidRPr="00C24DA2">
        <w:t xml:space="preserve"> to be allocated to a </w:t>
      </w:r>
      <w:r w:rsidR="00C661F6">
        <w:t>Regulated</w:t>
      </w:r>
      <w:r>
        <w:t xml:space="preserve"> Consumer</w:t>
      </w:r>
      <w:r w:rsidRPr="00C24DA2">
        <w:t xml:space="preserve"> Group and any future </w:t>
      </w:r>
      <w:r w:rsidR="00C661F6">
        <w:t>Regulated</w:t>
      </w:r>
      <w:r>
        <w:t xml:space="preserve"> Consumer</w:t>
      </w:r>
      <w:r w:rsidRPr="00C24DA2">
        <w:t xml:space="preserve"> Group at a particular time should not exceed the </w:t>
      </w:r>
      <w:r>
        <w:t xml:space="preserve">Estimated Future Green Transition </w:t>
      </w:r>
      <w:r>
        <w:lastRenderedPageBreak/>
        <w:t>Benefits</w:t>
      </w:r>
      <w:r w:rsidRPr="00C24DA2">
        <w:t xml:space="preserve">, measured in respect of the </w:t>
      </w:r>
      <w:r>
        <w:t>Reference P</w:t>
      </w:r>
      <w:r w:rsidRPr="00C24DA2">
        <w:t>eriod</w:t>
      </w:r>
      <w:r>
        <w:t>s</w:t>
      </w:r>
      <w:r w:rsidRPr="00C24DA2">
        <w:t xml:space="preserve"> following such particular time</w:t>
      </w:r>
      <w:r>
        <w:t xml:space="preserve"> and to the Program End Date</w:t>
      </w:r>
      <w:r w:rsidRPr="00C24DA2">
        <w:t>.</w:t>
      </w:r>
    </w:p>
    <w:p w:rsidR="00422971" w:rsidRPr="00C24DA2" w:rsidRDefault="00422971" w:rsidP="00422971">
      <w:pPr>
        <w:pStyle w:val="BodyText"/>
        <w:numPr>
          <w:ilvl w:val="0"/>
          <w:numId w:val="18"/>
        </w:numPr>
        <w:ind w:left="1440" w:hanging="720"/>
      </w:pPr>
      <w:r w:rsidRPr="00C24DA2">
        <w:t xml:space="preserve">No future </w:t>
      </w:r>
      <w:r w:rsidR="00C661F6">
        <w:t>Regulated</w:t>
      </w:r>
      <w:r>
        <w:t xml:space="preserve"> Consumer</w:t>
      </w:r>
      <w:r w:rsidRPr="00C24DA2">
        <w:t xml:space="preserve"> Group should </w:t>
      </w:r>
      <w:r>
        <w:t xml:space="preserve">be allocated </w:t>
      </w:r>
      <w:r w:rsidRPr="00C24DA2">
        <w:t xml:space="preserve">an unreasonably disproportionate share of </w:t>
      </w:r>
      <w:r>
        <w:t>Estimated Future Green Transition Benefits</w:t>
      </w:r>
      <w:r w:rsidRPr="00C24DA2">
        <w:t xml:space="preserve">.  Except in exceptional circumstances or in the case of any </w:t>
      </w:r>
      <w:r>
        <w:t>reallocation of an Over-Assessed Amount</w:t>
      </w:r>
      <w:r w:rsidRPr="00C24DA2">
        <w:t xml:space="preserve"> as contemplated in 7, below, the </w:t>
      </w:r>
      <w:r>
        <w:t>Future Fair Share of Green Transition Benefits</w:t>
      </w:r>
      <w:r w:rsidRPr="00C24DA2">
        <w:t xml:space="preserve"> to be allocated under a Fair Allocation Plan to any future </w:t>
      </w:r>
      <w:r w:rsidR="00C661F6">
        <w:t>Regulated</w:t>
      </w:r>
      <w:r>
        <w:t xml:space="preserve"> Consumer</w:t>
      </w:r>
      <w:r w:rsidRPr="00C24DA2">
        <w:t xml:space="preserve"> Group should have regard to </w:t>
      </w:r>
      <w:r w:rsidRPr="000322D6">
        <w:rPr>
          <w:i/>
        </w:rPr>
        <w:t>[Insert formula if a year-over-year maximum amount is determined to be appropriate]</w:t>
      </w:r>
      <w:r w:rsidRPr="00C24DA2">
        <w:t>.</w:t>
      </w:r>
    </w:p>
    <w:p w:rsidR="00422971" w:rsidRPr="00C24DA2" w:rsidRDefault="00422971" w:rsidP="00422971">
      <w:pPr>
        <w:pStyle w:val="BodyText"/>
        <w:numPr>
          <w:ilvl w:val="0"/>
          <w:numId w:val="18"/>
        </w:numPr>
        <w:ind w:left="1440" w:hanging="720"/>
      </w:pPr>
      <w:r>
        <w:t>T</w:t>
      </w:r>
      <w:r w:rsidRPr="00C24DA2">
        <w:t xml:space="preserve">he </w:t>
      </w:r>
      <w:r>
        <w:t xml:space="preserve">time value of money </w:t>
      </w:r>
      <w:r w:rsidRPr="00C24DA2">
        <w:t xml:space="preserve">should be </w:t>
      </w:r>
      <w:r>
        <w:t xml:space="preserve">reflected in the Fair Allocation Plan, in order to </w:t>
      </w:r>
      <w:r w:rsidRPr="00C24DA2">
        <w:t>equate the relative values of the nominal a</w:t>
      </w:r>
      <w:r>
        <w:t xml:space="preserve">llocations of Future Fair Share of Green Transition Benefits, calculated in current dollars, </w:t>
      </w:r>
      <w:r w:rsidRPr="00C24DA2">
        <w:t xml:space="preserve">to </w:t>
      </w:r>
      <w:r>
        <w:t xml:space="preserve">future </w:t>
      </w:r>
      <w:r w:rsidR="00C661F6">
        <w:t>Regulated</w:t>
      </w:r>
      <w:r>
        <w:t xml:space="preserve"> Consumer</w:t>
      </w:r>
      <w:r w:rsidRPr="00C24DA2">
        <w:t xml:space="preserve"> Groups over time.</w:t>
      </w:r>
    </w:p>
    <w:p w:rsidR="001967C3" w:rsidRDefault="00422971" w:rsidP="00422971">
      <w:pPr>
        <w:pStyle w:val="BodyText"/>
        <w:numPr>
          <w:ilvl w:val="0"/>
          <w:numId w:val="18"/>
        </w:numPr>
        <w:ind w:left="1440" w:hanging="720"/>
      </w:pPr>
      <w:r>
        <w:t xml:space="preserve">To the extent there has been an Over-Assessed Amount, the </w:t>
      </w:r>
      <w:r w:rsidRPr="00C24DA2">
        <w:t xml:space="preserve">Fair Allocation Plan may </w:t>
      </w:r>
      <w:r>
        <w:t xml:space="preserve">determine that an adjustment should fairly be made to rebate </w:t>
      </w:r>
      <w:r w:rsidR="00C661F6">
        <w:t>Regulated</w:t>
      </w:r>
      <w:r>
        <w:t xml:space="preserve"> Consumers for such an amount, by reducing the costs otherwise attributable under the Act to such </w:t>
      </w:r>
      <w:r w:rsidR="00C661F6">
        <w:t>Regulated</w:t>
      </w:r>
      <w:r>
        <w:t xml:space="preserve"> Consumers.  The relative costs of the Green Generation Initiative are reflected under the Act by the attribution of Transition Charges to such Consumer Groups, based on the Financing Plan seeking to track the allocations of benefits under the Fair Allocation Plan.  Accordingly, the Maximum Transition Charge Amount determined for one or more </w:t>
      </w:r>
      <w:r w:rsidR="00C661F6">
        <w:t>Regulated</w:t>
      </w:r>
      <w:r>
        <w:t xml:space="preserve"> Consumer Groups having regard to the Fair Allocation Plan otherwise applicable may be appropriately reduced to recognize the effect of the Over-Assessed Amount.  In such a case, a determination to reduce the Maximum Transition Charge Amount applicable for certain related Reference Periods should have regard to the principle that the corresponding rebate should be extended to benefit the Consumer Group or Consumer Groups in closest proximity to the Legislative Implementation Date.</w:t>
      </w:r>
    </w:p>
    <w:p w:rsidR="001967C3" w:rsidRPr="003B1167" w:rsidRDefault="001967C3" w:rsidP="001967C3">
      <w:pPr>
        <w:pStyle w:val="BodyText"/>
        <w:numPr>
          <w:ilvl w:val="0"/>
          <w:numId w:val="17"/>
        </w:numPr>
      </w:pPr>
      <w:r>
        <w:rPr>
          <w:b/>
        </w:rPr>
        <w:t>Attribution Methodology</w:t>
      </w:r>
      <w:r>
        <w:t xml:space="preserve"> – The Fair Allocation Plan shall specify the Attribution Methodology for the purposes of allocating the Period Finance Charges across the Regulated Consumers.  The Attribution Methodology shall result in an attribution of such Transition Charges that is considered by the Delegate to be equitable, and may have regard to such principles and parameters as may be further set forth in a Regulation; </w:t>
      </w:r>
      <w:r w:rsidRPr="00B808D8">
        <w:t>provided that the Attribution Methodology shall not be used to limit the recovery of Transition Charges</w:t>
      </w:r>
      <w:r>
        <w:t xml:space="preserve">. </w:t>
      </w:r>
    </w:p>
    <w:p w:rsidR="001967C3" w:rsidRDefault="001967C3" w:rsidP="001967C3">
      <w:pPr>
        <w:pStyle w:val="BodyText"/>
        <w:numPr>
          <w:ilvl w:val="0"/>
          <w:numId w:val="17"/>
        </w:numPr>
      </w:pPr>
      <w:r>
        <w:rPr>
          <w:b/>
        </w:rPr>
        <w:t xml:space="preserve">Amendments of the Fair Allocation Plan </w:t>
      </w:r>
      <w:r>
        <w:t xml:space="preserve">– The Fair Allocation Plan may be amended, amended and restated or terminated by the Delegate, provided that such amendment, amendment and restatement or termination shall (a) not be inconsistent with the principles and parameters set forth in (2) or (3), above, or the Regulation, (b) comply with any restrictions or limitations specified with respect thereto in any Funding </w:t>
      </w:r>
      <w:r>
        <w:lastRenderedPageBreak/>
        <w:t>Obligation, and (c) not impair any Regulatory Asset, outstanding Funding Obligation</w:t>
      </w:r>
      <w:r w:rsidR="00422971">
        <w:t>s</w:t>
      </w:r>
      <w:r>
        <w:t xml:space="preserve"> or any Transition Charges.</w:t>
      </w:r>
      <w:r w:rsidR="00422971">
        <w:rPr>
          <w:rStyle w:val="FootnoteReference"/>
        </w:rPr>
        <w:footnoteReference w:id="28"/>
      </w:r>
    </w:p>
    <w:p w:rsidR="001967C3" w:rsidRDefault="001967C3" w:rsidP="001967C3">
      <w:pPr>
        <w:pStyle w:val="BodyText"/>
        <w:rPr>
          <w:b/>
        </w:rPr>
      </w:pPr>
      <w:r>
        <w:rPr>
          <w:b/>
        </w:rPr>
        <w:t xml:space="preserve">Article 8 – The IESO Funding Shortfall </w:t>
      </w:r>
    </w:p>
    <w:p w:rsidR="001967C3" w:rsidRPr="00FA2517" w:rsidRDefault="001967C3" w:rsidP="001967C3">
      <w:pPr>
        <w:pStyle w:val="BodyText"/>
        <w:numPr>
          <w:ilvl w:val="0"/>
          <w:numId w:val="41"/>
        </w:numPr>
        <w:rPr>
          <w:b/>
        </w:rPr>
      </w:pPr>
      <w:r w:rsidRPr="00D25AD5">
        <w:rPr>
          <w:b/>
        </w:rPr>
        <w:t xml:space="preserve">Recording of IESO Funding Shortfall </w:t>
      </w:r>
      <w:r w:rsidR="00FA2517">
        <w:t>–</w:t>
      </w:r>
      <w:r>
        <w:t xml:space="preserve"> </w:t>
      </w:r>
      <w:r w:rsidR="00FA2517">
        <w:t xml:space="preserve">Subject to 8(3), </w:t>
      </w:r>
      <w:r>
        <w:t>IESO will record any I</w:t>
      </w:r>
      <w:r w:rsidRPr="00D25AD5">
        <w:t xml:space="preserve">ESO Funding Shortfall </w:t>
      </w:r>
      <w:r w:rsidR="008B3DA7">
        <w:t>[</w:t>
      </w:r>
      <w:r w:rsidRPr="00D25AD5">
        <w:t>in its books</w:t>
      </w:r>
      <w:r w:rsidR="008B3DA7">
        <w:t xml:space="preserve">] [in a variance account established in accordance with </w:t>
      </w:r>
      <w:r w:rsidR="008B3DA7" w:rsidRPr="00A1486F">
        <w:t>s</w:t>
      </w:r>
      <w:r w:rsidR="008B3DA7">
        <w:t>ection</w:t>
      </w:r>
      <w:r w:rsidR="008B3DA7" w:rsidRPr="00A1486F">
        <w:t xml:space="preserve"> 25.33 of the E</w:t>
      </w:r>
      <w:r w:rsidR="008B3DA7">
        <w:t xml:space="preserve">lectricity </w:t>
      </w:r>
      <w:r w:rsidR="008B3DA7" w:rsidRPr="00A1486F">
        <w:t>A</w:t>
      </w:r>
      <w:r w:rsidR="008B3DA7">
        <w:t xml:space="preserve">ct </w:t>
      </w:r>
      <w:r w:rsidR="008B3DA7" w:rsidRPr="00A1486F">
        <w:t>/</w:t>
      </w:r>
      <w:r w:rsidR="008B3DA7">
        <w:t xml:space="preserve"> </w:t>
      </w:r>
      <w:r w:rsidR="008B3DA7" w:rsidRPr="00A1486F">
        <w:t>O</w:t>
      </w:r>
      <w:r w:rsidR="008B3DA7">
        <w:t>ntario</w:t>
      </w:r>
      <w:r w:rsidR="008B3DA7" w:rsidRPr="00A1486F">
        <w:t xml:space="preserve"> Reg</w:t>
      </w:r>
      <w:r w:rsidR="008B3DA7">
        <w:t>ulation</w:t>
      </w:r>
      <w:r w:rsidR="008B3DA7" w:rsidRPr="00A1486F">
        <w:t xml:space="preserve"> 430/04</w:t>
      </w:r>
      <w:r w:rsidR="008B3DA7">
        <w:t>, as</w:t>
      </w:r>
      <w:r w:rsidR="008B3DA7" w:rsidRPr="00A1486F">
        <w:t xml:space="preserve"> amended</w:t>
      </w:r>
      <w:r w:rsidR="008B3DA7">
        <w:t>]</w:t>
      </w:r>
      <w:r w:rsidRPr="00D25AD5">
        <w:t>.</w:t>
      </w:r>
    </w:p>
    <w:p w:rsidR="00FA2517" w:rsidRPr="00693E3E" w:rsidRDefault="00FA2517" w:rsidP="009849E2">
      <w:pPr>
        <w:pStyle w:val="BodyText"/>
        <w:numPr>
          <w:ilvl w:val="0"/>
          <w:numId w:val="41"/>
        </w:numPr>
        <w:rPr>
          <w:b/>
        </w:rPr>
      </w:pPr>
      <w:r>
        <w:rPr>
          <w:b/>
        </w:rPr>
        <w:t>Adjustments</w:t>
      </w:r>
      <w:r>
        <w:t xml:space="preserve"> – IESO will record it </w:t>
      </w:r>
      <w:r w:rsidR="008B3DA7">
        <w:t>[</w:t>
      </w:r>
      <w:r>
        <w:t>its books</w:t>
      </w:r>
      <w:r w:rsidR="008B3DA7">
        <w:t>][its variance account]</w:t>
      </w:r>
      <w:r>
        <w:t xml:space="preserve"> all adjustments to the IESO Regulatory Asset Amount from time to time. Such books of account shall be determinative with respect to the amount of IESO’s related regulatory asset.</w:t>
      </w:r>
    </w:p>
    <w:p w:rsidR="00FA2517" w:rsidRPr="0070506E" w:rsidRDefault="00FA2517" w:rsidP="009849E2">
      <w:pPr>
        <w:pStyle w:val="BodyText"/>
        <w:numPr>
          <w:ilvl w:val="0"/>
          <w:numId w:val="41"/>
        </w:numPr>
        <w:rPr>
          <w:b/>
        </w:rPr>
      </w:pPr>
      <w:r>
        <w:rPr>
          <w:b/>
        </w:rPr>
        <w:t xml:space="preserve">Limitation on Additions </w:t>
      </w:r>
      <w:r>
        <w:t xml:space="preserve">– </w:t>
      </w:r>
      <w:r w:rsidR="009849E2">
        <w:t>Subject to 8(3),</w:t>
      </w:r>
      <w:r w:rsidR="009849E2">
        <w:t xml:space="preserve"> </w:t>
      </w:r>
      <w:r>
        <w:t>IESO shall not record additions to the</w:t>
      </w:r>
      <w:r w:rsidRPr="00693E3E">
        <w:t xml:space="preserve"> </w:t>
      </w:r>
      <w:r>
        <w:t xml:space="preserve">IESO </w:t>
      </w:r>
      <w:r w:rsidR="009849E2">
        <w:t xml:space="preserve">Regulatory Asset </w:t>
      </w:r>
      <w:r>
        <w:t xml:space="preserve">Amount in respect of IESO Funding Shortfalls (a) if such additions are restricted by the terms of any Disposition Document or the Collective Action Agreement, or (b) on or after </w:t>
      </w:r>
      <w:r>
        <w:rPr>
          <w:rFonts w:cstheme="minorHAnsi"/>
        </w:rPr>
        <w:t>•</w:t>
      </w:r>
      <w:r>
        <w:t>, 2017.</w:t>
      </w:r>
    </w:p>
    <w:p w:rsidR="001967C3" w:rsidRDefault="001967C3" w:rsidP="001967C3">
      <w:pPr>
        <w:pStyle w:val="BodyText"/>
        <w:numPr>
          <w:ilvl w:val="0"/>
          <w:numId w:val="41"/>
        </w:numPr>
        <w:rPr>
          <w:b/>
        </w:rPr>
      </w:pPr>
      <w:r>
        <w:rPr>
          <w:b/>
        </w:rPr>
        <w:t>Dispositions</w:t>
      </w:r>
      <w:r>
        <w:t xml:space="preserve"> – IESO may effect a Disposition of its right to recover all or any part of the </w:t>
      </w:r>
      <w:r w:rsidR="009849E2">
        <w:t xml:space="preserve">IESO Regulatory Asset Amount </w:t>
      </w:r>
      <w:r>
        <w:t xml:space="preserve">to an Absolute Assignee if </w:t>
      </w:r>
      <w:r w:rsidR="009849E2">
        <w:t xml:space="preserve">(a) the Absolute Assignee has or will concurrently become bound by the Collective Rights Agreement; </w:t>
      </w:r>
      <w:r>
        <w:t>(</w:t>
      </w:r>
      <w:r w:rsidR="009849E2">
        <w:t>b</w:t>
      </w:r>
      <w:r>
        <w:t>) the Disposition is effected pursuant to a Disposition Agreement duly executed by IESO; and (</w:t>
      </w:r>
      <w:r w:rsidR="009849E2">
        <w:t>c</w:t>
      </w:r>
      <w:r>
        <w:t xml:space="preserve">) the Financial Services </w:t>
      </w:r>
      <w:r w:rsidRPr="00EC2CB5">
        <w:t>Manager</w:t>
      </w:r>
      <w:r>
        <w:t xml:space="preserve"> confirms in writing that the Disposition complies with any restrictions or limitations specified with respect thereto in any documents evidencing the Funding Obligations and is permitted under the Financing Plan.</w:t>
      </w:r>
    </w:p>
    <w:p w:rsidR="001967C3" w:rsidRPr="009849E2" w:rsidRDefault="001967C3" w:rsidP="001967C3">
      <w:pPr>
        <w:pStyle w:val="BodyText"/>
        <w:numPr>
          <w:ilvl w:val="0"/>
          <w:numId w:val="41"/>
        </w:numPr>
        <w:rPr>
          <w:b/>
        </w:rPr>
      </w:pPr>
      <w:r>
        <w:rPr>
          <w:b/>
        </w:rPr>
        <w:t xml:space="preserve">No Continuing Interest in any Investment Interest </w:t>
      </w:r>
      <w:r>
        <w:t>– IESO shall have no continuing right or interest in</w:t>
      </w:r>
      <w:r w:rsidR="009849E2">
        <w:t>, or maintain any right to</w:t>
      </w:r>
      <w:r>
        <w:t xml:space="preserve"> </w:t>
      </w:r>
      <w:r w:rsidR="009849E2">
        <w:t>recover all or any part of</w:t>
      </w:r>
      <w:r w:rsidR="009849E2">
        <w:t>,</w:t>
      </w:r>
      <w:r w:rsidR="009849E2">
        <w:t xml:space="preserve"> </w:t>
      </w:r>
      <w:r w:rsidR="009849E2">
        <w:t>any</w:t>
      </w:r>
      <w:r w:rsidR="009849E2">
        <w:t xml:space="preserve"> IESO Regulatory Asset Amount </w:t>
      </w:r>
      <w:r w:rsidR="009849E2">
        <w:t xml:space="preserve">that is </w:t>
      </w:r>
      <w:r>
        <w:t>subject to a Disposition effected by IESO under a Disposition Document to which IESO is a party.</w:t>
      </w:r>
    </w:p>
    <w:p w:rsidR="009849E2" w:rsidRDefault="009849E2" w:rsidP="009849E2">
      <w:pPr>
        <w:pStyle w:val="BodyText"/>
        <w:numPr>
          <w:ilvl w:val="0"/>
          <w:numId w:val="41"/>
        </w:numPr>
        <w:rPr>
          <w:b/>
        </w:rPr>
      </w:pPr>
      <w:r>
        <w:rPr>
          <w:b/>
        </w:rPr>
        <w:t xml:space="preserve">IESO Recoveries </w:t>
      </w:r>
      <w:r>
        <w:t xml:space="preserve">– IESO shall, in respect of a month, be entitled to receive from IESO Remittances on a related Settlement Date the amount (if any) </w:t>
      </w:r>
      <w:r>
        <w:t>of any IESO Recoveries</w:t>
      </w:r>
      <w:r>
        <w:t>.</w:t>
      </w:r>
    </w:p>
    <w:p w:rsidR="001967C3" w:rsidRDefault="001967C3" w:rsidP="001967C3">
      <w:pPr>
        <w:pStyle w:val="BodyText"/>
        <w:rPr>
          <w:b/>
        </w:rPr>
      </w:pPr>
      <w:r>
        <w:rPr>
          <w:b/>
        </w:rPr>
        <w:t xml:space="preserve">Article 9 – The Financing Plan </w:t>
      </w:r>
    </w:p>
    <w:p w:rsidR="001967C3" w:rsidRDefault="001967C3" w:rsidP="001967C3">
      <w:pPr>
        <w:pStyle w:val="BodyText"/>
        <w:numPr>
          <w:ilvl w:val="0"/>
          <w:numId w:val="20"/>
        </w:numPr>
        <w:rPr>
          <w:b/>
        </w:rPr>
      </w:pPr>
      <w:r>
        <w:rPr>
          <w:b/>
        </w:rPr>
        <w:t>Power to Prepare, Implement and Amend the Financing Plan</w:t>
      </w:r>
      <w:r>
        <w:t xml:space="preserve"> – The Financial Services </w:t>
      </w:r>
      <w:r w:rsidRPr="00EC2CB5">
        <w:t>Manager</w:t>
      </w:r>
      <w:r>
        <w:t xml:space="preserve"> shall be authorized to prepare, implement and amend a financing plan </w:t>
      </w:r>
      <w:r w:rsidR="008B3DA7">
        <w:t>[</w:t>
      </w:r>
      <w:r>
        <w:t>for the Financing Entities</w:t>
      </w:r>
      <w:r w:rsidR="008B3DA7">
        <w:t>]</w:t>
      </w:r>
      <w:r>
        <w:t xml:space="preserve"> and propose the adoption of such financing plan as the Financing Plan for the purposes of this Act. </w:t>
      </w:r>
      <w:r w:rsidR="008B3DA7">
        <w:t>[</w:t>
      </w:r>
      <w:r>
        <w:t xml:space="preserve">The Financial Services </w:t>
      </w:r>
      <w:r w:rsidRPr="00EC2CB5">
        <w:t>Manager</w:t>
      </w:r>
      <w:r>
        <w:t xml:space="preserve"> shall have the right to withdraw its financing plan as the Financing Plan at any time if it determines that implementing the Financing Plan in such manner would not be in the best interests of a Financing Entity.</w:t>
      </w:r>
      <w:r w:rsidR="008B3DA7">
        <w:t>]</w:t>
      </w:r>
    </w:p>
    <w:p w:rsidR="001967C3" w:rsidRDefault="001967C3" w:rsidP="001967C3">
      <w:pPr>
        <w:pStyle w:val="BodyText"/>
        <w:numPr>
          <w:ilvl w:val="0"/>
          <w:numId w:val="20"/>
        </w:numPr>
        <w:rPr>
          <w:b/>
        </w:rPr>
      </w:pPr>
      <w:r>
        <w:rPr>
          <w:b/>
        </w:rPr>
        <w:lastRenderedPageBreak/>
        <w:t>Principles and Parameters of the Financing Plan</w:t>
      </w:r>
      <w:r>
        <w:t xml:space="preserve"> – The Financing Plan shall establish the basis for each Absolute Assignee’s funding decisions</w:t>
      </w:r>
      <w:r w:rsidR="00861D84">
        <w:t>,</w:t>
      </w:r>
      <w:r>
        <w:t xml:space="preserve"> having regard to the principles and parameters set forth in Schedule 3.</w:t>
      </w:r>
    </w:p>
    <w:p w:rsidR="001967C3" w:rsidRDefault="001967C3" w:rsidP="001967C3">
      <w:pPr>
        <w:pStyle w:val="BodyText"/>
        <w:numPr>
          <w:ilvl w:val="0"/>
          <w:numId w:val="20"/>
        </w:numPr>
        <w:rPr>
          <w:b/>
        </w:rPr>
      </w:pPr>
      <w:r>
        <w:rPr>
          <w:b/>
        </w:rPr>
        <w:t>OEB Approval</w:t>
      </w:r>
      <w:r>
        <w:t xml:space="preserve"> – </w:t>
      </w:r>
      <w:r w:rsidR="00861D84">
        <w:t>[</w:t>
      </w:r>
      <w:r>
        <w:t xml:space="preserve">Any Additional Funding Charge payable to the Financial Services </w:t>
      </w:r>
      <w:r w:rsidRPr="00EC2CB5">
        <w:t>Manager</w:t>
      </w:r>
      <w:r>
        <w:t xml:space="preserve"> in respect of services provided by the Financial Services Manager (other than third party costs) shall be subject to review and approval by the OEB.</w:t>
      </w:r>
      <w:r w:rsidR="00861D84">
        <w:t>]</w:t>
      </w:r>
      <w:r w:rsidR="00861D84">
        <w:rPr>
          <w:rStyle w:val="FootnoteReference"/>
        </w:rPr>
        <w:footnoteReference w:id="29"/>
      </w:r>
    </w:p>
    <w:p w:rsidR="001967C3" w:rsidRDefault="001967C3" w:rsidP="001967C3">
      <w:pPr>
        <w:pStyle w:val="BodyText"/>
        <w:numPr>
          <w:ilvl w:val="0"/>
          <w:numId w:val="20"/>
        </w:numPr>
        <w:rPr>
          <w:b/>
        </w:rPr>
      </w:pPr>
      <w:r>
        <w:rPr>
          <w:b/>
        </w:rPr>
        <w:t>Review of Financing Plan</w:t>
      </w:r>
      <w:r>
        <w:t xml:space="preserve"> – The [OEB shall undertake an annual review of the records maintained by the Financial Services </w:t>
      </w:r>
      <w:r w:rsidRPr="00EC2CB5">
        <w:t>Manager</w:t>
      </w:r>
      <w:r>
        <w:t xml:space="preserve"> for the purpose of confirming that the Funding Obligations incurred and the Finance Amounts paid by or on behalf of the Absolute Assignees were incurred and paid, respectively, in material conformity with the Financing Plan.</w:t>
      </w:r>
      <w:r w:rsidR="00861D84">
        <w:t>]</w:t>
      </w:r>
      <w:r w:rsidR="00861D84" w:rsidRPr="00861D84">
        <w:rPr>
          <w:rStyle w:val="FootnoteReference"/>
        </w:rPr>
        <w:t xml:space="preserve"> </w:t>
      </w:r>
      <w:r w:rsidR="00861D84">
        <w:rPr>
          <w:rStyle w:val="FootnoteReference"/>
        </w:rPr>
        <w:footnoteReference w:id="30"/>
      </w:r>
    </w:p>
    <w:p w:rsidR="001967C3" w:rsidRDefault="001967C3" w:rsidP="001967C3">
      <w:pPr>
        <w:pStyle w:val="BodyText"/>
        <w:numPr>
          <w:ilvl w:val="0"/>
          <w:numId w:val="20"/>
        </w:numPr>
        <w:rPr>
          <w:b/>
        </w:rPr>
      </w:pPr>
      <w:r>
        <w:rPr>
          <w:b/>
        </w:rPr>
        <w:t>Replacement of the Financial Services Manager</w:t>
      </w:r>
      <w:r>
        <w:t xml:space="preserve"> – If the OEB identifies deficiencies or makes recommendations in its review under Section 9(4), the </w:t>
      </w:r>
      <w:r w:rsidRPr="0009733D">
        <w:t>Financial Services Manager</w:t>
      </w:r>
      <w:r>
        <w:t xml:space="preserve"> shall take reasonable measures to remedy such deficiencies if remediable, and shall in any event have regard to the recommendations of the OEB in relation to further actions undertaken by the Financial Services </w:t>
      </w:r>
      <w:r w:rsidRPr="00EC2CB5">
        <w:t xml:space="preserve">Manager </w:t>
      </w:r>
      <w:r>
        <w:t xml:space="preserve">under the Financing Plan.  If the Financial Services </w:t>
      </w:r>
      <w:r w:rsidRPr="00EC2CB5">
        <w:t>Manager</w:t>
      </w:r>
      <w:r>
        <w:t xml:space="preserve"> is unwilling or unable to reflect such recommendations in relation to such further actions, the Delegate may by written declaration designate one or more other persons who shall thereafter become the Financial Services Manager. </w:t>
      </w:r>
      <w:r w:rsidR="00861D84">
        <w:t>[</w:t>
      </w:r>
      <w:r>
        <w:t xml:space="preserve">Any replacement </w:t>
      </w:r>
      <w:r w:rsidR="00861D84">
        <w:t>f</w:t>
      </w:r>
      <w:r w:rsidR="00861D84">
        <w:t xml:space="preserve">inancial </w:t>
      </w:r>
      <w:r w:rsidR="00861D84">
        <w:t>s</w:t>
      </w:r>
      <w:r w:rsidR="00861D84">
        <w:t xml:space="preserve">ervices </w:t>
      </w:r>
      <w:r w:rsidR="00861D84">
        <w:t>m</w:t>
      </w:r>
      <w:r w:rsidR="00861D84" w:rsidRPr="00EC2CB5">
        <w:t xml:space="preserve">anager </w:t>
      </w:r>
      <w:r>
        <w:t>must comply with the restrictions and limitations specified in the documents evidencing the Funding Obligations.</w:t>
      </w:r>
      <w:r w:rsidR="00861D84">
        <w:t>]</w:t>
      </w:r>
    </w:p>
    <w:p w:rsidR="001967C3" w:rsidRDefault="001967C3" w:rsidP="001967C3">
      <w:pPr>
        <w:pStyle w:val="BodyText"/>
        <w:numPr>
          <w:ilvl w:val="0"/>
          <w:numId w:val="20"/>
        </w:numPr>
      </w:pPr>
      <w:r>
        <w:rPr>
          <w:b/>
        </w:rPr>
        <w:t>Obligation to Apply IESO Remittances</w:t>
      </w:r>
      <w:r>
        <w:t xml:space="preserve"> – The Financial Services </w:t>
      </w:r>
      <w:r w:rsidRPr="00EC2CB5">
        <w:t>Manager</w:t>
      </w:r>
      <w:r>
        <w:t xml:space="preserve"> shall ensure that amounts transferred to it </w:t>
      </w:r>
      <w:r w:rsidR="00861D84">
        <w:t>[</w:t>
      </w:r>
      <w:r>
        <w:t>under Article 5, as agent for and on behalf of the Absolute Assignees</w:t>
      </w:r>
      <w:r w:rsidR="00861D84">
        <w:t>]</w:t>
      </w:r>
      <w:r>
        <w:t>, or otherwise in respect of or as proceeds from an applicable Investment Interest shall only be applied or used to pay related Finance Amounts when they are due and payable and for no other purpose.</w:t>
      </w:r>
    </w:p>
    <w:p w:rsidR="001967C3" w:rsidRDefault="001967C3" w:rsidP="001967C3">
      <w:pPr>
        <w:pStyle w:val="BodyText"/>
        <w:numPr>
          <w:ilvl w:val="0"/>
          <w:numId w:val="20"/>
        </w:numPr>
      </w:pPr>
      <w:r>
        <w:rPr>
          <w:b/>
        </w:rPr>
        <w:t>Non-Recourse</w:t>
      </w:r>
      <w:r>
        <w:t xml:space="preserve"> – The Financing Plan shall be implemented so that Funding Obligations incurred shall be without recourse to or to any assets of the Electricity Distributors, IESO, any Alternative Servicer, any Alternative Collection Agent, the Financial Services </w:t>
      </w:r>
      <w:r w:rsidRPr="00EC2CB5">
        <w:t>Manager</w:t>
      </w:r>
      <w:r>
        <w:t>, the OEB or</w:t>
      </w:r>
      <w:r w:rsidRPr="006A292A">
        <w:t xml:space="preserve"> Her Majesty in right of Ontario</w:t>
      </w:r>
      <w:r>
        <w:t xml:space="preserve">, other than if and to the extent that such persons or entities are liable for the performance of obligations or duties arising under this Act or expressly agree to become liable pursuant to any Funding Obligation or obligation in relation to a  Finance Amount.  </w:t>
      </w:r>
    </w:p>
    <w:p w:rsidR="001967C3" w:rsidRDefault="001967C3" w:rsidP="001967C3">
      <w:pPr>
        <w:pStyle w:val="BodyText"/>
        <w:numPr>
          <w:ilvl w:val="0"/>
          <w:numId w:val="20"/>
        </w:numPr>
      </w:pPr>
      <w:r w:rsidRPr="00021162">
        <w:rPr>
          <w:b/>
        </w:rPr>
        <w:t xml:space="preserve">Incurrences are Binding </w:t>
      </w:r>
      <w:r w:rsidRPr="00021162">
        <w:t xml:space="preserve">– Each Disposition made to or by an Absolute Assignee, all amounts payable or becoming due and payable by or on behalf of an Absolute Assignee under or in connection with any obligation purporting to be a Funding Obligation and each Pledge entered into by an Absolute Assignee, shall be valid and binding, including in determining the amount of related Transition Charges, notwithstanding any defect in the manner </w:t>
      </w:r>
      <w:r w:rsidR="00861D84">
        <w:t>of</w:t>
      </w:r>
      <w:r w:rsidRPr="00021162">
        <w:t xml:space="preserve"> incurrence or any inconsistency with the Fair Allocation Plan or the Financing Plan.</w:t>
      </w:r>
      <w:r>
        <w:t xml:space="preserve"> </w:t>
      </w:r>
    </w:p>
    <w:p w:rsidR="001967C3" w:rsidRDefault="001967C3" w:rsidP="001967C3">
      <w:pPr>
        <w:pStyle w:val="BodyText"/>
        <w:rPr>
          <w:b/>
        </w:rPr>
      </w:pPr>
      <w:r>
        <w:rPr>
          <w:b/>
        </w:rPr>
        <w:lastRenderedPageBreak/>
        <w:t>[Article 10 – Compliance Matters</w:t>
      </w:r>
      <w:r>
        <w:rPr>
          <w:rStyle w:val="FootnoteReference"/>
          <w:b/>
        </w:rPr>
        <w:footnoteReference w:id="31"/>
      </w:r>
    </w:p>
    <w:p w:rsidR="001967C3" w:rsidRDefault="001967C3" w:rsidP="001967C3">
      <w:pPr>
        <w:pStyle w:val="BodyText"/>
        <w:numPr>
          <w:ilvl w:val="0"/>
          <w:numId w:val="29"/>
        </w:numPr>
        <w:ind w:hanging="720"/>
        <w:rPr>
          <w:rFonts w:asciiTheme="majorHAnsi" w:hAnsiTheme="majorHAnsi" w:cstheme="majorHAnsi"/>
        </w:rPr>
      </w:pPr>
      <w:r>
        <w:rPr>
          <w:rFonts w:asciiTheme="majorHAnsi" w:hAnsiTheme="majorHAnsi" w:cstheme="majorHAnsi"/>
          <w:b/>
        </w:rPr>
        <w:t>Right of the [OEB] to Inspect Books and Records</w:t>
      </w:r>
      <w:r>
        <w:rPr>
          <w:rFonts w:asciiTheme="majorHAnsi" w:hAnsiTheme="majorHAnsi" w:cstheme="majorHAnsi"/>
        </w:rPr>
        <w:t xml:space="preserve"> - For the purpose of investigating compliance with the provisions of this Act, the OEB shall have the right, jurisdiction, power and authority to examine the books and records of </w:t>
      </w:r>
      <w:r>
        <w:rPr>
          <w:rFonts w:asciiTheme="majorHAnsi" w:hAnsiTheme="majorHAnsi" w:cstheme="majorHAnsi"/>
          <w:i/>
        </w:rPr>
        <w:t>[Insert names if any]</w:t>
      </w:r>
      <w:r>
        <w:rPr>
          <w:rFonts w:asciiTheme="majorHAnsi" w:hAnsiTheme="majorHAnsi" w:cstheme="majorHAnsi"/>
        </w:rPr>
        <w:t>.</w:t>
      </w:r>
    </w:p>
    <w:p w:rsidR="001967C3" w:rsidRDefault="001967C3" w:rsidP="001967C3">
      <w:pPr>
        <w:pStyle w:val="BodyText"/>
        <w:numPr>
          <w:ilvl w:val="0"/>
          <w:numId w:val="29"/>
        </w:numPr>
        <w:rPr>
          <w:b/>
          <w:color w:val="FF0000"/>
        </w:rPr>
      </w:pPr>
      <w:r>
        <w:rPr>
          <w:rFonts w:asciiTheme="majorHAnsi" w:hAnsiTheme="majorHAnsi" w:cstheme="majorHAnsi"/>
          <w:b/>
        </w:rPr>
        <w:t xml:space="preserve">[OPG’s Rate Settings </w:t>
      </w:r>
      <w:r>
        <w:rPr>
          <w:rFonts w:asciiTheme="majorHAnsi" w:hAnsiTheme="majorHAnsi" w:cstheme="majorHAnsi"/>
        </w:rPr>
        <w:t xml:space="preserve">– When setting other rates for or in respect of OPG, the OEB shall not take into account (a) the administrative or servicing fees charged by OPG as Financial Services </w:t>
      </w:r>
      <w:r w:rsidRPr="00EC2CB5">
        <w:rPr>
          <w:rFonts w:asciiTheme="majorHAnsi" w:hAnsiTheme="majorHAnsi" w:cstheme="majorHAnsi"/>
        </w:rPr>
        <w:t>Manager</w:t>
      </w:r>
      <w:r>
        <w:rPr>
          <w:rFonts w:asciiTheme="majorHAnsi" w:hAnsiTheme="majorHAnsi" w:cstheme="majorHAnsi"/>
        </w:rPr>
        <w:t xml:space="preserve"> [in excess of the actual incremental costs incurred by such person of providing administrative or servicing services]; (b) the cost consequences to OPG of being the Financial Services </w:t>
      </w:r>
      <w:r w:rsidRPr="00EC2CB5">
        <w:rPr>
          <w:rFonts w:asciiTheme="majorHAnsi" w:hAnsiTheme="majorHAnsi" w:cstheme="majorHAnsi"/>
        </w:rPr>
        <w:t>Manager</w:t>
      </w:r>
      <w:r>
        <w:rPr>
          <w:rFonts w:asciiTheme="majorHAnsi" w:hAnsiTheme="majorHAnsi" w:cstheme="majorHAnsi"/>
        </w:rPr>
        <w:t>; or (c) the consequence of OPG consolidating the assets and liabilities of any Financing Entity for OPG’s accounting purposes, in each case in setting any regulated payment amounts</w:t>
      </w:r>
      <w:r>
        <w:t xml:space="preserve"> for OPG.]</w:t>
      </w:r>
      <w:r>
        <w:rPr>
          <w:rStyle w:val="FootnoteReference"/>
        </w:rPr>
        <w:footnoteReference w:id="32"/>
      </w:r>
    </w:p>
    <w:p w:rsidR="001967C3" w:rsidRDefault="001967C3" w:rsidP="001967C3">
      <w:pPr>
        <w:pStyle w:val="BodyText"/>
        <w:rPr>
          <w:b/>
        </w:rPr>
      </w:pPr>
      <w:r>
        <w:rPr>
          <w:b/>
        </w:rPr>
        <w:t>Article 11 – Undertaking of the Her Majesty in right of Ontario</w:t>
      </w:r>
      <w:r>
        <w:rPr>
          <w:rStyle w:val="FootnoteReference"/>
          <w:b/>
        </w:rPr>
        <w:footnoteReference w:id="33"/>
      </w:r>
    </w:p>
    <w:p w:rsidR="001967C3" w:rsidRDefault="001967C3" w:rsidP="001967C3">
      <w:pPr>
        <w:pStyle w:val="BodyText"/>
        <w:numPr>
          <w:ilvl w:val="0"/>
          <w:numId w:val="30"/>
        </w:numPr>
        <w:ind w:hanging="720"/>
        <w:rPr>
          <w:rFonts w:cstheme="minorHAnsi"/>
        </w:rPr>
      </w:pPr>
      <w:r>
        <w:rPr>
          <w:rFonts w:cstheme="minorHAnsi"/>
          <w:b/>
        </w:rPr>
        <w:t>No Action to limit, alter, or impair or terminate Transition Charges, the Regulatory Asset or Collections</w:t>
      </w:r>
      <w:r>
        <w:rPr>
          <w:rFonts w:cstheme="minorHAnsi"/>
        </w:rPr>
        <w:t xml:space="preserve"> – Her Majesty in right of Ontario shall not in any way take or permit (including by any agency or administrative body) any action to reduce, impair, postpone or terminate the obligation of Regulated Consumers to pay Transition Charges or to impair the Regulatory Asset or the collection or recovery of Transition Charge Collections, Electricity Distributor Remittances or IESO Remittances, either directly or indirectly, including through the introduction of any bill or the passing of any legislation or regulation having such effect. The amount of Transition Charges determined under this Act shall not be subject in any way to reduction, impairment, postponement or termination as a result of any action taken or failure by Her Majesty in right of Ontario (including by any agency or administrative body), including through the introduction of any bill or the passing of any legislation or regulation having such effect. </w:t>
      </w:r>
    </w:p>
    <w:p w:rsidR="001967C3" w:rsidRDefault="001967C3" w:rsidP="001967C3">
      <w:pPr>
        <w:pStyle w:val="BodyText"/>
        <w:numPr>
          <w:ilvl w:val="0"/>
          <w:numId w:val="30"/>
        </w:numPr>
        <w:ind w:hanging="720"/>
        <w:rPr>
          <w:rFonts w:cstheme="minorHAnsi"/>
        </w:rPr>
      </w:pPr>
      <w:r>
        <w:rPr>
          <w:b/>
        </w:rPr>
        <w:t>Undertaking</w:t>
      </w:r>
      <w:r>
        <w:rPr>
          <w:rFonts w:cstheme="minorHAnsi"/>
          <w:b/>
        </w:rPr>
        <w:t xml:space="preserve"> and Agreement</w:t>
      </w:r>
      <w:r>
        <w:rPr>
          <w:rFonts w:cstheme="minorHAnsi"/>
        </w:rPr>
        <w:t xml:space="preserve"> – Her Majesty in right of Ontario shall not:</w:t>
      </w:r>
    </w:p>
    <w:p w:rsidR="001967C3" w:rsidRDefault="001967C3" w:rsidP="001967C3">
      <w:pPr>
        <w:pStyle w:val="BodyText"/>
        <w:numPr>
          <w:ilvl w:val="0"/>
          <w:numId w:val="42"/>
        </w:numPr>
        <w:rPr>
          <w:rFonts w:cstheme="minorHAnsi"/>
        </w:rPr>
      </w:pPr>
      <w:r>
        <w:rPr>
          <w:rFonts w:cstheme="minorHAnsi"/>
        </w:rPr>
        <w:t>in any way take or permit any action that limits, alters or impairs the value of any Investment Interest;</w:t>
      </w:r>
    </w:p>
    <w:p w:rsidR="001967C3" w:rsidRDefault="001967C3" w:rsidP="001967C3">
      <w:pPr>
        <w:pStyle w:val="BodyText"/>
        <w:numPr>
          <w:ilvl w:val="0"/>
          <w:numId w:val="42"/>
        </w:numPr>
        <w:rPr>
          <w:rFonts w:cstheme="minorHAnsi"/>
        </w:rPr>
      </w:pPr>
      <w:r>
        <w:rPr>
          <w:rFonts w:cstheme="minorHAnsi"/>
        </w:rPr>
        <w:lastRenderedPageBreak/>
        <w:t>except as required by the estimates and adjustments made in determining the True-up Amount, reduce, alter or impair Transition Charges that are imposed, billed, invoiced, collected and remitted for the benefit of the Absolute Assignees or any Pledgee from time to time;</w:t>
      </w:r>
    </w:p>
    <w:p w:rsidR="001967C3" w:rsidRDefault="001967C3" w:rsidP="001967C3">
      <w:pPr>
        <w:pStyle w:val="BodyText"/>
        <w:numPr>
          <w:ilvl w:val="0"/>
          <w:numId w:val="42"/>
        </w:numPr>
        <w:rPr>
          <w:rFonts w:cstheme="minorHAnsi"/>
        </w:rPr>
      </w:pPr>
      <w:r>
        <w:rPr>
          <w:rFonts w:cstheme="minorHAnsi"/>
        </w:rPr>
        <w:t xml:space="preserve">permit the amendment, amendment and restatement or termination of the Fair Allocation Plan if such amendment, amendment and restatement or termination would adversely affect the validity or enforceability of any Funding Obligation or the rights of an Absolute Assignee or Pledgee thereunder, or would not otherwise comply with the restrictions and limitations specified in the documents evidencing the Funding Obligations,  </w:t>
      </w:r>
    </w:p>
    <w:p w:rsidR="001967C3" w:rsidRDefault="001967C3" w:rsidP="001967C3">
      <w:pPr>
        <w:pStyle w:val="BodyText"/>
        <w:ind w:left="720"/>
        <w:rPr>
          <w:rFonts w:cstheme="minorHAnsi"/>
        </w:rPr>
      </w:pPr>
      <w:r>
        <w:rPr>
          <w:rFonts w:cstheme="minorHAnsi"/>
        </w:rPr>
        <w:t>in each case including through the introduction of any bill or the passing of any legislation or regulation having such effect.</w:t>
      </w:r>
    </w:p>
    <w:p w:rsidR="001967C3" w:rsidRDefault="001967C3" w:rsidP="001967C3">
      <w:pPr>
        <w:pStyle w:val="BodyText"/>
        <w:numPr>
          <w:ilvl w:val="0"/>
          <w:numId w:val="30"/>
        </w:numPr>
        <w:ind w:hanging="720"/>
        <w:rPr>
          <w:rFonts w:cstheme="minorHAnsi"/>
        </w:rPr>
      </w:pPr>
      <w:r>
        <w:rPr>
          <w:rFonts w:cstheme="minorHAnsi"/>
          <w:b/>
        </w:rPr>
        <w:t>Successor IESO</w:t>
      </w:r>
      <w:r>
        <w:rPr>
          <w:rFonts w:cstheme="minorHAnsi"/>
        </w:rPr>
        <w:t xml:space="preserve"> – If IESO is restructured, dissolved or becomes insolvent or is otherwise incapable of performing its obligations under this Act, an IESO Successor shall immediately be established by Her Majesty in right of Ontario to perform such obligations.  </w:t>
      </w:r>
    </w:p>
    <w:p w:rsidR="001967C3" w:rsidRDefault="001967C3" w:rsidP="001967C3">
      <w:pPr>
        <w:pStyle w:val="BodyText"/>
        <w:numPr>
          <w:ilvl w:val="0"/>
          <w:numId w:val="30"/>
        </w:numPr>
        <w:ind w:hanging="720"/>
        <w:rPr>
          <w:rFonts w:cstheme="minorHAnsi"/>
        </w:rPr>
      </w:pPr>
      <w:r>
        <w:rPr>
          <w:rFonts w:cstheme="minorHAnsi"/>
          <w:b/>
        </w:rPr>
        <w:t xml:space="preserve">Compensation for Failure </w:t>
      </w:r>
      <w:r>
        <w:rPr>
          <w:rFonts w:cstheme="minorHAnsi"/>
        </w:rPr>
        <w:t>– Absolute Assignees shall be compensated by Her Majesty in right of Ontario for any losses suffered by them as a result of any failure by Her Majesty in right of Ontario to comply with its undertakings and agreements in this Article 11.</w:t>
      </w:r>
      <w:r>
        <w:rPr>
          <w:rStyle w:val="FootnoteReference"/>
          <w:rFonts w:cstheme="minorHAnsi"/>
        </w:rPr>
        <w:footnoteReference w:id="34"/>
      </w:r>
    </w:p>
    <w:p w:rsidR="001967C3" w:rsidRDefault="001967C3" w:rsidP="001967C3">
      <w:pPr>
        <w:pStyle w:val="BodyText"/>
        <w:numPr>
          <w:ilvl w:val="0"/>
          <w:numId w:val="30"/>
        </w:numPr>
      </w:pPr>
      <w:r>
        <w:rPr>
          <w:rFonts w:cstheme="minorHAnsi"/>
          <w:b/>
        </w:rPr>
        <w:t>No</w:t>
      </w:r>
      <w:r>
        <w:rPr>
          <w:b/>
        </w:rPr>
        <w:t xml:space="preserve"> Wind-up of Financing Entity</w:t>
      </w:r>
      <w:r>
        <w:t xml:space="preserve">. No Financing Entity may be voluntarily wound up, liquidated or dissolved until one year after all of its Funding Obligations are repaid. </w:t>
      </w:r>
    </w:p>
    <w:p w:rsidR="001967C3" w:rsidRDefault="001967C3" w:rsidP="001967C3">
      <w:pPr>
        <w:pStyle w:val="BodyText"/>
        <w:numPr>
          <w:ilvl w:val="0"/>
          <w:numId w:val="30"/>
        </w:numPr>
        <w:ind w:hanging="720"/>
        <w:rPr>
          <w:rFonts w:cstheme="minorHAnsi"/>
        </w:rPr>
      </w:pPr>
      <w:r>
        <w:rPr>
          <w:rFonts w:cstheme="minorHAnsi"/>
          <w:b/>
        </w:rPr>
        <w:t xml:space="preserve">References to the </w:t>
      </w:r>
      <w:r>
        <w:rPr>
          <w:b/>
        </w:rPr>
        <w:t>Undertaking</w:t>
      </w:r>
      <w:r>
        <w:rPr>
          <w:rFonts w:cstheme="minorHAnsi"/>
          <w:b/>
        </w:rPr>
        <w:t xml:space="preserve"> and Agreement</w:t>
      </w:r>
      <w:r>
        <w:rPr>
          <w:rFonts w:cstheme="minorHAnsi"/>
        </w:rPr>
        <w:t xml:space="preserve"> –  Any non-confidential reference to the Undertaking of the </w:t>
      </w:r>
      <w:r>
        <w:t>Her Majesty in right of Ontario</w:t>
      </w:r>
      <w:r>
        <w:rPr>
          <w:rFonts w:cstheme="minorHAnsi"/>
        </w:rPr>
        <w:t>, including in marketing materials and other documentation authorized for use by the Administrative in connection with any Funding Obligation, may be made provided that [</w:t>
      </w:r>
      <w:r>
        <w:rPr>
          <w:rFonts w:cstheme="minorHAnsi"/>
          <w:i/>
        </w:rPr>
        <w:t>Add conditions to protect the Province</w:t>
      </w:r>
      <w:r>
        <w:rPr>
          <w:rFonts w:cstheme="minorHAnsi"/>
        </w:rPr>
        <w:t>].</w:t>
      </w:r>
    </w:p>
    <w:p w:rsidR="001967C3" w:rsidRDefault="001967C3" w:rsidP="001967C3">
      <w:pPr>
        <w:pStyle w:val="BodyText"/>
        <w:rPr>
          <w:b/>
        </w:rPr>
      </w:pPr>
      <w:r>
        <w:rPr>
          <w:b/>
        </w:rPr>
        <w:t>Article 12 – Regulations</w:t>
      </w:r>
    </w:p>
    <w:p w:rsidR="001967C3" w:rsidRDefault="001967C3" w:rsidP="001967C3">
      <w:pPr>
        <w:pStyle w:val="BodyText"/>
      </w:pPr>
      <w:r>
        <w:t xml:space="preserve">Regulations may be made under this Act for the purposes described in Sections </w:t>
      </w:r>
      <w:r>
        <w:rPr>
          <w:rFonts w:cstheme="minorHAnsi"/>
        </w:rPr>
        <w:t>•,•,• and • and may be promulgated for any of the following purposes:</w:t>
      </w:r>
    </w:p>
    <w:p w:rsidR="001967C3" w:rsidRDefault="001967C3" w:rsidP="001967C3">
      <w:pPr>
        <w:pStyle w:val="BodyText"/>
        <w:numPr>
          <w:ilvl w:val="0"/>
          <w:numId w:val="26"/>
        </w:numPr>
        <w:ind w:left="1440" w:hanging="720"/>
      </w:pPr>
      <w:r>
        <w:t>to set standards and measures regarding the commercially reasonable requirements of the Province associated with an Absolute Assignee incurring Funding Obligations or becoming obligated to pay any Finance Amount, including to establish guidelines regarding all-in funding costs; permitted Additional Funding Charges; required maturities and redemption and termination rights of Funding Obligations; liquidity requirements, in each case to a Financing Plan that is consistent in its effect with the Fair Allocation Plan;</w:t>
      </w:r>
    </w:p>
    <w:p w:rsidR="001967C3" w:rsidRDefault="001967C3" w:rsidP="001967C3">
      <w:pPr>
        <w:pStyle w:val="BodyText"/>
        <w:numPr>
          <w:ilvl w:val="0"/>
          <w:numId w:val="26"/>
        </w:numPr>
        <w:ind w:left="1440" w:hanging="720"/>
      </w:pPr>
      <w:r>
        <w:lastRenderedPageBreak/>
        <w:t>to establish and empower one or more regulated entities to undertake decision-making activities with respect to this Act;</w:t>
      </w:r>
    </w:p>
    <w:p w:rsidR="001967C3" w:rsidRDefault="001967C3" w:rsidP="001967C3">
      <w:pPr>
        <w:pStyle w:val="BodyText"/>
        <w:numPr>
          <w:ilvl w:val="0"/>
          <w:numId w:val="26"/>
        </w:numPr>
        <w:ind w:left="1440" w:hanging="720"/>
      </w:pPr>
      <w:r>
        <w:t xml:space="preserve">to set out reasonable requirements regarding the appointment or retention of advisors, agents, service providers, contract counterparties, including in relation to ‘market terms and conditions’ parameters; </w:t>
      </w:r>
    </w:p>
    <w:p w:rsidR="001967C3" w:rsidRDefault="001967C3" w:rsidP="001967C3">
      <w:pPr>
        <w:pStyle w:val="BodyText"/>
        <w:numPr>
          <w:ilvl w:val="0"/>
          <w:numId w:val="26"/>
        </w:numPr>
        <w:ind w:left="1440" w:hanging="720"/>
      </w:pPr>
      <w:r>
        <w:t xml:space="preserve">to provide for audit and compliance standards applicable to those persons </w:t>
      </w:r>
      <w:r>
        <w:rPr>
          <w:rFonts w:asciiTheme="majorHAnsi" w:hAnsiTheme="majorHAnsi" w:cstheme="majorHAnsi"/>
        </w:rPr>
        <w:t>who are or may become obligated or have duties that arise under this Act [or under any Funding Obligation]</w:t>
      </w:r>
      <w:r>
        <w:t>;</w:t>
      </w:r>
    </w:p>
    <w:p w:rsidR="001967C3" w:rsidRDefault="001967C3" w:rsidP="001967C3">
      <w:pPr>
        <w:pStyle w:val="BodyText"/>
        <w:numPr>
          <w:ilvl w:val="0"/>
          <w:numId w:val="26"/>
        </w:numPr>
        <w:ind w:left="1440" w:hanging="720"/>
      </w:pPr>
      <w:r>
        <w:t>to provide for any pre-vetting and approval requirements in relation to any incurrence by an Absolute Assignee of any Funding Obligation or obligation to pay any Finance Amount; and</w:t>
      </w:r>
    </w:p>
    <w:p w:rsidR="001967C3" w:rsidRDefault="001967C3" w:rsidP="001967C3">
      <w:pPr>
        <w:pStyle w:val="BodyText"/>
        <w:numPr>
          <w:ilvl w:val="0"/>
          <w:numId w:val="26"/>
        </w:numPr>
        <w:ind w:left="1440" w:hanging="720"/>
        <w:rPr>
          <w:b/>
        </w:rPr>
      </w:pPr>
      <w:r>
        <w:t>to provide for appeal and due process considerations in connection with the establishment, adoption, implementation and review of the Fair Allocation Plan or the Financing Plan.</w:t>
      </w:r>
    </w:p>
    <w:p w:rsidR="001967C3" w:rsidRDefault="001967C3" w:rsidP="001967C3">
      <w:pPr>
        <w:pStyle w:val="BodyText"/>
        <w:rPr>
          <w:b/>
        </w:rPr>
      </w:pPr>
      <w:r>
        <w:rPr>
          <w:b/>
        </w:rPr>
        <w:t>Article 13- Miscellaneous</w:t>
      </w:r>
      <w:r>
        <w:rPr>
          <w:rStyle w:val="FootnoteReference"/>
          <w:b/>
        </w:rPr>
        <w:footnoteReference w:id="35"/>
      </w:r>
    </w:p>
    <w:p w:rsidR="001967C3" w:rsidRDefault="001967C3" w:rsidP="001967C3">
      <w:pPr>
        <w:pStyle w:val="BodyText"/>
        <w:numPr>
          <w:ilvl w:val="0"/>
          <w:numId w:val="31"/>
        </w:numPr>
        <w:ind w:hanging="720"/>
        <w:rPr>
          <w:rFonts w:cstheme="minorHAnsi"/>
          <w:b/>
        </w:rPr>
      </w:pPr>
      <w:r>
        <w:rPr>
          <w:rFonts w:cstheme="minorHAnsi"/>
          <w:b/>
        </w:rPr>
        <w:t>Choice of law</w:t>
      </w:r>
      <w:r>
        <w:rPr>
          <w:rFonts w:cstheme="minorHAnsi"/>
        </w:rPr>
        <w:t xml:space="preserve"> – The law governing, as applicable, the validity, enforceability, attachment, perfection, priority and exercise of remedies with respect to the transfer of an interest or right or creation of a security interest in the Regulatory Asset, any Transition Charge or the Undertaking of the Province shall be the laws of the Province.</w:t>
      </w:r>
    </w:p>
    <w:p w:rsidR="001967C3" w:rsidRDefault="001967C3" w:rsidP="001967C3">
      <w:pPr>
        <w:pStyle w:val="BodyText"/>
        <w:numPr>
          <w:ilvl w:val="0"/>
          <w:numId w:val="31"/>
        </w:numPr>
        <w:ind w:hanging="720"/>
        <w:rPr>
          <w:rFonts w:cstheme="minorHAnsi"/>
        </w:rPr>
      </w:pPr>
      <w:r>
        <w:rPr>
          <w:rFonts w:cstheme="minorHAnsi"/>
          <w:b/>
        </w:rPr>
        <w:t xml:space="preserve">Conflict of law </w:t>
      </w:r>
      <w:r>
        <w:rPr>
          <w:rFonts w:cstheme="minorHAnsi"/>
        </w:rPr>
        <w:t xml:space="preserve">– In the event of conflict between this Act and any other law of the Province regarding the attachment, assignment or perfection, or the effect of perfection, or priority of any Disposition or Pledge, this Act shall govern to the extent of the conflict. </w:t>
      </w:r>
    </w:p>
    <w:p w:rsidR="001967C3" w:rsidRDefault="001967C3" w:rsidP="001967C3">
      <w:pPr>
        <w:pStyle w:val="BodyText"/>
        <w:numPr>
          <w:ilvl w:val="0"/>
          <w:numId w:val="31"/>
        </w:numPr>
        <w:ind w:hanging="720"/>
        <w:rPr>
          <w:rFonts w:cstheme="minorHAnsi"/>
        </w:rPr>
      </w:pPr>
      <w:r>
        <w:rPr>
          <w:rFonts w:cstheme="minorHAnsi"/>
          <w:b/>
        </w:rPr>
        <w:t xml:space="preserve">No further acts or approvals required </w:t>
      </w:r>
      <w:r>
        <w:rPr>
          <w:rFonts w:cstheme="minorHAnsi"/>
        </w:rPr>
        <w:t>- Notwithstanding any provisions of any law of the Province to the contrary, no approvals, notices or authorizations other than those specified in this Act shall be required with respect to the actions to be taken in compliance with this Act, including under the Financing Plan or in relation to the establishment of the Fair Allocation Plan, and the transactions and contracts authorized in or contemplated by this Act or the Financing Plan, including the incurrence of any Funding Obligation, any Disposition, any Pledge or in the payment and performance of any attendant or incidental contract and any related expenses incurred to facilitate the preparation and implementation of the Financing Plan.</w:t>
      </w:r>
    </w:p>
    <w:p w:rsidR="001967C3" w:rsidRDefault="001967C3" w:rsidP="001967C3">
      <w:pPr>
        <w:pStyle w:val="BodyText"/>
        <w:numPr>
          <w:ilvl w:val="0"/>
          <w:numId w:val="31"/>
        </w:numPr>
        <w:ind w:hanging="720"/>
        <w:rPr>
          <w:rFonts w:cstheme="minorHAnsi"/>
        </w:rPr>
      </w:pPr>
      <w:r>
        <w:rPr>
          <w:rFonts w:cstheme="minorHAnsi"/>
          <w:b/>
        </w:rPr>
        <w:t>Effect of invalidity after the Incurrence of any Funding Obligation</w:t>
      </w:r>
      <w:r>
        <w:rPr>
          <w:rFonts w:cstheme="minorHAnsi"/>
        </w:rPr>
        <w:t xml:space="preserve"> - Effective on the date that a Funding Obligation is incurred under this Act, if any provision of this Act is held to be invalid or is invalidated, superseded, replaced, repealed or expires for any reason, that occurrence shall not affect any action allowed under this Act that is taken by </w:t>
      </w:r>
      <w:r>
        <w:rPr>
          <w:rFonts w:cstheme="minorHAnsi"/>
        </w:rPr>
        <w:lastRenderedPageBreak/>
        <w:t xml:space="preserve">any person </w:t>
      </w:r>
      <w:r>
        <w:rPr>
          <w:rFonts w:asciiTheme="majorHAnsi" w:hAnsiTheme="majorHAnsi" w:cstheme="majorHAnsi"/>
        </w:rPr>
        <w:t xml:space="preserve">who is or may become obligated or have duties that arise under this Act </w:t>
      </w:r>
      <w:r>
        <w:rPr>
          <w:rFonts w:cstheme="minorHAnsi"/>
        </w:rPr>
        <w:t xml:space="preserve"> and any such action shall remain in full force and effect.</w:t>
      </w:r>
    </w:p>
    <w:p w:rsidR="001967C3" w:rsidRDefault="001967C3" w:rsidP="001967C3">
      <w:pPr>
        <w:pStyle w:val="BodyText"/>
        <w:numPr>
          <w:ilvl w:val="0"/>
          <w:numId w:val="31"/>
        </w:numPr>
        <w:ind w:hanging="720"/>
        <w:rPr>
          <w:b/>
        </w:rPr>
      </w:pPr>
      <w:r>
        <w:rPr>
          <w:rFonts w:cstheme="minorHAnsi"/>
          <w:b/>
        </w:rPr>
        <w:t>Severability</w:t>
      </w:r>
      <w:r>
        <w:rPr>
          <w:rFonts w:cstheme="minorHAnsi"/>
        </w:rPr>
        <w:t xml:space="preserve"> - If any Article, Section, paragraph or subparagraph of this Act or the application thereof to any person, circumstance or transaction is held by a court of competent jurisdiction to be unconstitutional or invalid, the unconstitutionality or invalidity shall not affect the constitutionality or validity of any other Article, Section, paragraph or subparagraph of this act or its application or validity to any person, circumstance or transaction, including the irrevocability of Transition Charges, the validity of the Regulatory Asset, the incurrence of any Funding Obligation, any Disposition, any Pledge, or the collection and recovery of Transition Charge Collections.  To these ends, the Legislature hereby declares that the provisions of this Act are intended to be severable and that the Legislature would have enacted this Act even if any Article, Section, paragraph or subparagraph of this Act held to be unconstitutional or invalid had not been included in this Act.</w:t>
      </w:r>
      <w:r>
        <w:rPr>
          <w:b/>
        </w:rPr>
        <w:t xml:space="preserve"> </w:t>
      </w:r>
    </w:p>
    <w:p w:rsidR="001967C3" w:rsidRDefault="001967C3" w:rsidP="001967C3">
      <w:pPr>
        <w:rPr>
          <w:b/>
        </w:rPr>
      </w:pPr>
      <w:r>
        <w:rPr>
          <w:b/>
        </w:rPr>
        <w:br w:type="page"/>
      </w:r>
    </w:p>
    <w:p w:rsidR="001967C3" w:rsidRDefault="001967C3" w:rsidP="001967C3">
      <w:pPr>
        <w:pStyle w:val="BodyText"/>
        <w:jc w:val="center"/>
        <w:rPr>
          <w:b/>
        </w:rPr>
      </w:pPr>
      <w:r>
        <w:rPr>
          <w:b/>
        </w:rPr>
        <w:lastRenderedPageBreak/>
        <w:t xml:space="preserve">Schedule </w:t>
      </w:r>
      <w:r>
        <w:rPr>
          <w:rFonts w:cstheme="minorHAnsi"/>
          <w:b/>
        </w:rPr>
        <w:t>1</w:t>
      </w:r>
    </w:p>
    <w:p w:rsidR="001967C3" w:rsidRDefault="001967C3" w:rsidP="001967C3">
      <w:pPr>
        <w:pStyle w:val="BodyText"/>
        <w:jc w:val="center"/>
        <w:rPr>
          <w:b/>
          <w:u w:val="single"/>
        </w:rPr>
      </w:pPr>
      <w:r>
        <w:rPr>
          <w:b/>
          <w:u w:val="single"/>
        </w:rPr>
        <w:t>Guidelines for Estimates</w:t>
      </w:r>
    </w:p>
    <w:p w:rsidR="001967C3" w:rsidRDefault="001967C3" w:rsidP="001967C3">
      <w:pPr>
        <w:pStyle w:val="BodyText"/>
        <w:ind w:left="720"/>
        <w:jc w:val="left"/>
      </w:pPr>
      <w:r>
        <w:t>[To be considered.]</w:t>
      </w:r>
    </w:p>
    <w:p w:rsidR="001967C3" w:rsidRDefault="001967C3" w:rsidP="001967C3">
      <w:pPr>
        <w:pStyle w:val="BodyText"/>
        <w:ind w:left="720"/>
        <w:jc w:val="center"/>
        <w:rPr>
          <w:b/>
          <w:u w:val="single"/>
        </w:rPr>
      </w:pPr>
    </w:p>
    <w:p w:rsidR="001967C3" w:rsidRDefault="001967C3" w:rsidP="001967C3">
      <w:pPr>
        <w:rPr>
          <w:b/>
          <w:u w:val="single"/>
        </w:rPr>
      </w:pPr>
      <w:r>
        <w:rPr>
          <w:b/>
          <w:u w:val="single"/>
        </w:rPr>
        <w:br w:type="page"/>
      </w:r>
      <w:bookmarkStart w:id="0" w:name="_GoBack"/>
      <w:bookmarkEnd w:id="0"/>
    </w:p>
    <w:p w:rsidR="001967C3" w:rsidRDefault="001967C3" w:rsidP="001967C3">
      <w:pPr>
        <w:pStyle w:val="BodyText"/>
        <w:jc w:val="center"/>
        <w:rPr>
          <w:b/>
        </w:rPr>
      </w:pPr>
      <w:r>
        <w:rPr>
          <w:b/>
        </w:rPr>
        <w:lastRenderedPageBreak/>
        <w:t xml:space="preserve">Schedule </w:t>
      </w:r>
      <w:r>
        <w:rPr>
          <w:rFonts w:cstheme="minorHAnsi"/>
          <w:b/>
        </w:rPr>
        <w:t>2</w:t>
      </w:r>
    </w:p>
    <w:p w:rsidR="001967C3" w:rsidRDefault="001967C3" w:rsidP="001967C3">
      <w:pPr>
        <w:pStyle w:val="BodyText"/>
        <w:jc w:val="center"/>
        <w:rPr>
          <w:b/>
          <w:u w:val="single"/>
        </w:rPr>
      </w:pPr>
      <w:r>
        <w:rPr>
          <w:b/>
        </w:rPr>
        <w:t>Requirements Applicable to Alternative</w:t>
      </w:r>
      <w:r>
        <w:rPr>
          <w:b/>
        </w:rPr>
        <w:br/>
      </w:r>
      <w:r>
        <w:rPr>
          <w:b/>
          <w:u w:val="single"/>
        </w:rPr>
        <w:t>Invoicing Agent/ Alternative Collection Agent</w:t>
      </w:r>
    </w:p>
    <w:p w:rsidR="001967C3" w:rsidRDefault="001967C3" w:rsidP="001967C3">
      <w:pPr>
        <w:pStyle w:val="BodyText"/>
        <w:ind w:left="720"/>
        <w:jc w:val="left"/>
      </w:pPr>
      <w:r>
        <w:t>[To be considered.]</w:t>
      </w:r>
    </w:p>
    <w:p w:rsidR="001967C3" w:rsidRDefault="001967C3" w:rsidP="001967C3">
      <w:pPr>
        <w:rPr>
          <w:b/>
        </w:rPr>
      </w:pPr>
      <w:r>
        <w:rPr>
          <w:b/>
        </w:rPr>
        <w:br w:type="page"/>
      </w:r>
    </w:p>
    <w:p w:rsidR="001967C3" w:rsidRDefault="001967C3" w:rsidP="001967C3">
      <w:pPr>
        <w:pStyle w:val="BodyText"/>
        <w:jc w:val="center"/>
        <w:rPr>
          <w:b/>
        </w:rPr>
      </w:pPr>
      <w:r>
        <w:rPr>
          <w:b/>
        </w:rPr>
        <w:lastRenderedPageBreak/>
        <w:t xml:space="preserve">Schedule </w:t>
      </w:r>
      <w:r>
        <w:rPr>
          <w:rFonts w:cstheme="minorHAnsi"/>
          <w:b/>
        </w:rPr>
        <w:t>3</w:t>
      </w:r>
    </w:p>
    <w:p w:rsidR="001967C3" w:rsidRDefault="001967C3" w:rsidP="001967C3">
      <w:pPr>
        <w:pStyle w:val="BodyText"/>
        <w:jc w:val="center"/>
        <w:rPr>
          <w:b/>
          <w:u w:val="single"/>
        </w:rPr>
      </w:pPr>
      <w:r>
        <w:rPr>
          <w:b/>
          <w:u w:val="single"/>
        </w:rPr>
        <w:t>Principles and  Parameters for Establishing the Financing Plan</w:t>
      </w:r>
    </w:p>
    <w:p w:rsidR="001967C3" w:rsidRDefault="001967C3" w:rsidP="001967C3">
      <w:pPr>
        <w:pStyle w:val="BodyText"/>
        <w:rPr>
          <w:b/>
        </w:rPr>
      </w:pPr>
      <w:r>
        <w:t>The following principles and parameters provide a guideline as to what a Financing Plan should address:</w:t>
      </w:r>
    </w:p>
    <w:p w:rsidR="007E43ED" w:rsidRPr="00C24DA2" w:rsidRDefault="007E43ED" w:rsidP="007E43ED">
      <w:pPr>
        <w:pStyle w:val="BodyText"/>
        <w:rPr>
          <w:b/>
        </w:rPr>
      </w:pPr>
    </w:p>
    <w:p w:rsidR="007E43ED" w:rsidRDefault="007E43ED" w:rsidP="007E43ED">
      <w:pPr>
        <w:pStyle w:val="BodyText"/>
        <w:numPr>
          <w:ilvl w:val="0"/>
          <w:numId w:val="39"/>
        </w:numPr>
        <w:ind w:hanging="720"/>
      </w:pPr>
      <w:r>
        <w:t>in respect of each Reference Period, make reference to the allocations of Future Fair Share of Green Transition Benefits to each Reference Group contemplated by the Fair Allocation Plan;</w:t>
      </w:r>
    </w:p>
    <w:p w:rsidR="007E43ED" w:rsidRDefault="007E43ED" w:rsidP="007E43ED">
      <w:pPr>
        <w:pStyle w:val="BodyText"/>
        <w:numPr>
          <w:ilvl w:val="0"/>
          <w:numId w:val="39"/>
        </w:numPr>
        <w:ind w:hanging="720"/>
      </w:pPr>
      <w:r>
        <w:t>estimate IESO Funding Shortfalls for each Reference Period;</w:t>
      </w:r>
    </w:p>
    <w:p w:rsidR="007E43ED" w:rsidRDefault="007E43ED" w:rsidP="007E43ED">
      <w:pPr>
        <w:pStyle w:val="BodyText"/>
        <w:numPr>
          <w:ilvl w:val="0"/>
          <w:numId w:val="39"/>
        </w:numPr>
        <w:ind w:hanging="720"/>
      </w:pPr>
      <w:r>
        <w:t>consider alternative funding arrangements suitable to fund the estimated</w:t>
      </w:r>
      <w:r w:rsidRPr="006B625A">
        <w:t xml:space="preserve"> </w:t>
      </w:r>
      <w:r>
        <w:t xml:space="preserve">IESO </w:t>
      </w:r>
      <w:r w:rsidRPr="006B625A">
        <w:t>Funding Shortfall</w:t>
      </w:r>
      <w:r>
        <w:t>s</w:t>
      </w:r>
      <w:r w:rsidRPr="006B625A">
        <w:t>, including short term and</w:t>
      </w:r>
      <w:r>
        <w:t>/or</w:t>
      </w:r>
      <w:r w:rsidRPr="006B625A">
        <w:t xml:space="preserve"> long term Funding Obligations;</w:t>
      </w:r>
    </w:p>
    <w:p w:rsidR="001967C3" w:rsidRDefault="001967C3" w:rsidP="001967C3">
      <w:pPr>
        <w:pStyle w:val="BodyText"/>
        <w:numPr>
          <w:ilvl w:val="0"/>
          <w:numId w:val="39"/>
        </w:numPr>
        <w:ind w:hanging="720"/>
      </w:pPr>
      <w:r>
        <w:t>consider quantities, maturities, payment obligations, prepayment or redemption rights and such other features of Funding Obligations so that payments made for a Reference Period reasonably correspond to the allocations of Future Fair Share of Green Transition Benefits to the applicable Reference Group under the Fair Allocation Plan;</w:t>
      </w:r>
    </w:p>
    <w:p w:rsidR="001967C3" w:rsidRDefault="001967C3" w:rsidP="001967C3">
      <w:pPr>
        <w:pStyle w:val="BodyText"/>
        <w:numPr>
          <w:ilvl w:val="0"/>
          <w:numId w:val="39"/>
        </w:numPr>
        <w:ind w:hanging="720"/>
      </w:pPr>
      <w:r>
        <w:t>if the anticipated amount of any Repayment (together with payments of other Finance Amounts) to be made in respect of a Reference Period would materially exceed the allocation of the costs and benefits of the Green Generation Initiative to the applicable Regulated Consumers under the then current Fair Allocation Plan, diligent efforts should be made to determine whether a Refinancing or deferral of such Repayment may be reasonably and cost-effectively effected based on then prevailing market terms, conditions an circumstances;</w:t>
      </w:r>
    </w:p>
    <w:p w:rsidR="001967C3" w:rsidRDefault="001967C3" w:rsidP="001967C3">
      <w:pPr>
        <w:pStyle w:val="BodyText"/>
        <w:numPr>
          <w:ilvl w:val="0"/>
          <w:numId w:val="39"/>
        </w:numPr>
        <w:ind w:hanging="720"/>
      </w:pPr>
      <w:r>
        <w:t>reflect the assumptions and requirements specified in any contemplated Funding Obligation (e.g., any limit on the maximum amount of Transition Charges charged to a hypothetical Regulated Consumer relative to his or her monthly electricity bill, as prescribed by any rating agency that ascribes its credit rating to or in respect of the Funding Obligation);</w:t>
      </w:r>
    </w:p>
    <w:p w:rsidR="001967C3" w:rsidRDefault="001967C3" w:rsidP="001967C3">
      <w:pPr>
        <w:pStyle w:val="BodyText"/>
        <w:numPr>
          <w:ilvl w:val="0"/>
          <w:numId w:val="39"/>
        </w:numPr>
        <w:ind w:hanging="720"/>
      </w:pPr>
      <w:r>
        <w:t xml:space="preserve">require </w:t>
      </w:r>
      <w:r w:rsidRPr="00B65F12">
        <w:t>the Financial Services Manager, for an</w:t>
      </w:r>
      <w:r>
        <w:t>d</w:t>
      </w:r>
      <w:r w:rsidRPr="00B65F12">
        <w:t xml:space="preserve"> on behalf of each Regulatory Asset Owner, </w:t>
      </w:r>
      <w:r>
        <w:t>to</w:t>
      </w:r>
      <w:r w:rsidRPr="00B65F12">
        <w:t xml:space="preserve"> use </w:t>
      </w:r>
      <w:r w:rsidR="007E43ED">
        <w:t>[</w:t>
      </w:r>
      <w:r w:rsidRPr="00B65F12">
        <w:t>diligent efforts to manage Finance Amounts to be borne by Ratepayers</w:t>
      </w:r>
      <w:r w:rsidR="007E43ED">
        <w:t>]</w:t>
      </w:r>
      <w:r>
        <w:t>;</w:t>
      </w:r>
    </w:p>
    <w:p w:rsidR="001967C3" w:rsidRPr="00C1529C" w:rsidRDefault="001967C3" w:rsidP="001967C3">
      <w:pPr>
        <w:pStyle w:val="BodyText"/>
        <w:numPr>
          <w:ilvl w:val="0"/>
          <w:numId w:val="39"/>
        </w:numPr>
        <w:ind w:hanging="720"/>
      </w:pPr>
      <w:r w:rsidRPr="00C1529C">
        <w:t>include a proposal regarding the compensation of the Financial Services Manager that reflects market terms and conditions</w:t>
      </w:r>
      <w:r>
        <w:t>; and</w:t>
      </w:r>
    </w:p>
    <w:p w:rsidR="001967C3" w:rsidRDefault="007E43ED" w:rsidP="001967C3">
      <w:pPr>
        <w:pStyle w:val="BodyText"/>
        <w:numPr>
          <w:ilvl w:val="0"/>
          <w:numId w:val="39"/>
        </w:numPr>
        <w:ind w:hanging="720"/>
      </w:pPr>
      <w:r>
        <w:t>[</w:t>
      </w:r>
      <w:r w:rsidR="001967C3">
        <w:t>r</w:t>
      </w:r>
      <w:r w:rsidR="001967C3" w:rsidRPr="00C1529C">
        <w:t>equire that the Financial Services Manager report annually to the Ministry of Energy on the operation of the Financing Plan including, in particular, with respect to the amount and terms of the Funding Obligations incurred and the sufficiency of such Funding Obligations for the purpose of funding the estimated Funding Shortfalls in accordance with the Fair Allocation Plan.</w:t>
      </w:r>
      <w:r>
        <w:t>]</w:t>
      </w:r>
    </w:p>
    <w:p w:rsidR="007E43ED" w:rsidRDefault="007E43ED" w:rsidP="007E43ED">
      <w:pPr>
        <w:pStyle w:val="BodyText"/>
        <w:ind w:left="720"/>
      </w:pPr>
    </w:p>
    <w:p w:rsidR="007E43ED" w:rsidRDefault="007E43ED" w:rsidP="007E43ED">
      <w:pPr>
        <w:pStyle w:val="BodyText"/>
        <w:numPr>
          <w:ilvl w:val="0"/>
          <w:numId w:val="39"/>
        </w:numPr>
        <w:ind w:hanging="720"/>
      </w:pPr>
      <w:r>
        <w:lastRenderedPageBreak/>
        <w:t>incur Funding Obligations from time to time on the best terms available at such time for a financing transaction of the size and type contemplated, and having regarding to the following parameters:</w:t>
      </w:r>
    </w:p>
    <w:p w:rsidR="007E43ED" w:rsidRDefault="007E43ED" w:rsidP="007E43ED">
      <w:pPr>
        <w:pStyle w:val="BodyText"/>
        <w:numPr>
          <w:ilvl w:val="1"/>
          <w:numId w:val="32"/>
        </w:numPr>
      </w:pPr>
      <w:r>
        <w:t>whether the Absolute Assignees will require committed access to short term liquidity to cover estimated IESO Funding Shortfalls prior to incurring fixed term Funding Obligations, and the amount and repayment terms of any such required liquidity; provided that any Repayment required to be made under the terms of such short-term liquidity would not obligate an Absolute Assignee to repay an amount in relation to a Reference Period that would have the effect of the Financing Plan permitting incurrences of Funding Obligations payable in such Reference Period that would exceed the allocations of Future Fair Share of Green Transition Benefits to the applicable Reference Group under the Fair Allocation Plan;</w:t>
      </w:r>
    </w:p>
    <w:p w:rsidR="007E43ED" w:rsidRDefault="007E43ED" w:rsidP="007E43ED">
      <w:pPr>
        <w:pStyle w:val="BodyText"/>
        <w:numPr>
          <w:ilvl w:val="1"/>
          <w:numId w:val="32"/>
        </w:numPr>
      </w:pPr>
      <w:r>
        <w:t>the basis upon which the Financial Services Agent will select the term to maturity of any other Funding Obligations;</w:t>
      </w:r>
      <w:r w:rsidRPr="00AD2125">
        <w:t xml:space="preserve"> </w:t>
      </w:r>
      <w:r>
        <w:t>provided that any Repayments required to be made under the terms of such Funding Obligations should not obligate an Absolute Assignee to repay an amount in relation to a Reference Period that would have the effect of the Financing Plan permitting incurrences of Funding Obligations payable in such Reference Period that would exceed the allocations of Future Fair Share of Green Transition Benefits to the applicable Reference Group under the Fair Allocation Plan;</w:t>
      </w:r>
    </w:p>
    <w:p w:rsidR="007E43ED" w:rsidRDefault="007E43ED" w:rsidP="007E43ED">
      <w:pPr>
        <w:pStyle w:val="BodyText"/>
        <w:numPr>
          <w:ilvl w:val="1"/>
          <w:numId w:val="32"/>
        </w:numPr>
      </w:pPr>
      <w:r>
        <w:t>the basis upon which the interest rates applicable to such Funding Obligations would be determined;</w:t>
      </w:r>
    </w:p>
    <w:p w:rsidR="007E43ED" w:rsidRDefault="007E43ED" w:rsidP="007E43ED">
      <w:pPr>
        <w:pStyle w:val="BodyText"/>
        <w:numPr>
          <w:ilvl w:val="1"/>
          <w:numId w:val="32"/>
        </w:numPr>
      </w:pPr>
      <w:r>
        <w:t>the reference capital or finance market in which such Funding Obligation would be incurred, including markets outside of Canada if considered by the Financial Services Agent to be appropriate in the circumstances;</w:t>
      </w:r>
    </w:p>
    <w:p w:rsidR="007E43ED" w:rsidRDefault="007E43ED" w:rsidP="007E43ED">
      <w:pPr>
        <w:pStyle w:val="BodyText"/>
        <w:numPr>
          <w:ilvl w:val="1"/>
          <w:numId w:val="32"/>
        </w:numPr>
      </w:pPr>
      <w:r>
        <w:t>the currency of payments under such Funding Obligations and, if the Funding Obligations are denominated in a currency other than Canadian dollars, the basis upon which the Financial Services Agent shall cause the applicable Absolute Assignee to enter into hedging transactions to mitigate currency risk, including acceptable minimum and maximum coverage levels, having regard to the availability of related derivatives having notional amounts corresponding to the repayment and maturity profile of such Funding Obligations;</w:t>
      </w:r>
    </w:p>
    <w:p w:rsidR="007E43ED" w:rsidRDefault="007E43ED" w:rsidP="007E43ED">
      <w:pPr>
        <w:pStyle w:val="BodyText"/>
        <w:numPr>
          <w:ilvl w:val="1"/>
          <w:numId w:val="32"/>
        </w:numPr>
      </w:pPr>
      <w:r>
        <w:t>the basis upon which the Financial Services Agent will select counterparties under any transaction to be entered into by an Absolute Assignee, including any paying agent, servicer, cash manager, liquidity provider, hedge counterparty, account bank, lender, note trustee, security trustee, paying agent, registrar/transfer agent, financial services agent, arranger or manager;</w:t>
      </w:r>
    </w:p>
    <w:p w:rsidR="007E43ED" w:rsidRPr="001E7033" w:rsidRDefault="007E43ED" w:rsidP="007E43ED">
      <w:pPr>
        <w:pStyle w:val="BodyText"/>
        <w:numPr>
          <w:ilvl w:val="1"/>
          <w:numId w:val="32"/>
        </w:numPr>
      </w:pPr>
      <w:r>
        <w:t xml:space="preserve">the basis upon which the Financial Services Agent will manage counterparty risk, including by providing for </w:t>
      </w:r>
      <w:r w:rsidRPr="005F12F2">
        <w:rPr>
          <w:lang w:val="en"/>
        </w:rPr>
        <w:t xml:space="preserve">maximum </w:t>
      </w:r>
      <w:r>
        <w:rPr>
          <w:lang w:val="en"/>
        </w:rPr>
        <w:t xml:space="preserve">counterparty </w:t>
      </w:r>
      <w:r w:rsidRPr="005F12F2">
        <w:rPr>
          <w:lang w:val="en"/>
        </w:rPr>
        <w:t xml:space="preserve">exposure </w:t>
      </w:r>
      <w:r>
        <w:rPr>
          <w:lang w:val="en"/>
        </w:rPr>
        <w:t>limits having regard to concentration, credit and other identified risks</w:t>
      </w:r>
      <w:r w:rsidRPr="005F12F2">
        <w:rPr>
          <w:lang w:val="en"/>
        </w:rPr>
        <w:t xml:space="preserve"> with respect to individual counterparties or countries</w:t>
      </w:r>
      <w:r>
        <w:rPr>
          <w:lang w:val="en"/>
        </w:rPr>
        <w:t>;</w:t>
      </w:r>
    </w:p>
    <w:p w:rsidR="007E43ED" w:rsidRDefault="007E43ED" w:rsidP="007E43ED">
      <w:pPr>
        <w:pStyle w:val="BodyText"/>
        <w:numPr>
          <w:ilvl w:val="1"/>
          <w:numId w:val="32"/>
        </w:numPr>
      </w:pPr>
      <w:r>
        <w:lastRenderedPageBreak/>
        <w:t>the basis upon which the Financial Services Agent will negotiate and settle Finance Amounts, including the amount of any Redemption Amounts, Finance Reserve Deposits and Additional Funding Charges;</w:t>
      </w:r>
    </w:p>
    <w:p w:rsidR="007E43ED" w:rsidRDefault="007E43ED" w:rsidP="007E43ED">
      <w:pPr>
        <w:pStyle w:val="BodyText"/>
        <w:numPr>
          <w:ilvl w:val="0"/>
          <w:numId w:val="39"/>
        </w:numPr>
        <w:ind w:hanging="720"/>
      </w:pPr>
      <w:r>
        <w:t>the basis upon which Funding Obligations may be redeemed, prepaid, repurchased or otherwise affected, having regard for the need to minimize debt service charges and other Funding Costs, and the need to maintain a stable funding platform to finance the IESO Funding Shortfalls from time to time on a basis that is consistent with the allocations of Future Fair Share of Green Transition Benefits to applicable Reference Groups under the Fair Allocation Plan;</w:t>
      </w:r>
    </w:p>
    <w:p w:rsidR="007E43ED" w:rsidRDefault="007E43ED" w:rsidP="007E43ED">
      <w:pPr>
        <w:pStyle w:val="BodyText"/>
        <w:numPr>
          <w:ilvl w:val="0"/>
          <w:numId w:val="39"/>
        </w:numPr>
        <w:ind w:hanging="720"/>
      </w:pPr>
      <w:r>
        <w:t>the basis upon which any Repayments, Funding Costs and Redemption Amounts will be paid, including any defeasance, sinking fund or through other reserves or liquidity facilities;</w:t>
      </w:r>
    </w:p>
    <w:p w:rsidR="007E43ED" w:rsidRDefault="007E43ED" w:rsidP="007E43ED">
      <w:pPr>
        <w:pStyle w:val="BodyText"/>
        <w:numPr>
          <w:ilvl w:val="0"/>
          <w:numId w:val="39"/>
        </w:numPr>
        <w:ind w:hanging="720"/>
      </w:pPr>
      <w:r w:rsidRPr="001E7033">
        <w:t>the basis upon which fees, charges, expenses, costs, indemnities, reimbursements and other amount</w:t>
      </w:r>
      <w:r>
        <w:t>s payable to or for the benefit of the Financial Services Agent and other agents and service providers to the Absolute Assignees may be determined, allocated and paid;</w:t>
      </w:r>
    </w:p>
    <w:p w:rsidR="007E43ED" w:rsidRDefault="007E43ED" w:rsidP="007E43ED">
      <w:pPr>
        <w:pStyle w:val="BodyText"/>
        <w:numPr>
          <w:ilvl w:val="0"/>
          <w:numId w:val="39"/>
        </w:numPr>
        <w:ind w:hanging="720"/>
      </w:pPr>
      <w:r>
        <w:t xml:space="preserve">the timing and basis upon which Finance Reserve Deposits and Finance Reserve Withdrawals may be made; </w:t>
      </w:r>
    </w:p>
    <w:p w:rsidR="007E43ED" w:rsidRDefault="007E43ED" w:rsidP="007E43ED">
      <w:pPr>
        <w:pStyle w:val="BodyText"/>
        <w:numPr>
          <w:ilvl w:val="0"/>
          <w:numId w:val="39"/>
        </w:numPr>
        <w:ind w:hanging="720"/>
      </w:pPr>
      <w:r>
        <w:t xml:space="preserve">the basis upon which </w:t>
      </w:r>
      <w:r w:rsidRPr="00CB2949">
        <w:t xml:space="preserve">any obligations for </w:t>
      </w:r>
      <w:r>
        <w:t xml:space="preserve">any other </w:t>
      </w:r>
      <w:r w:rsidRPr="00CB2949">
        <w:t xml:space="preserve">Additional Funding Charges may be </w:t>
      </w:r>
      <w:r>
        <w:t xml:space="preserve">incurred and </w:t>
      </w:r>
      <w:r w:rsidRPr="00CB2949">
        <w:t>paid</w:t>
      </w:r>
      <w:r>
        <w:t>;</w:t>
      </w:r>
    </w:p>
    <w:p w:rsidR="007E43ED" w:rsidRDefault="007E43ED" w:rsidP="007E43ED">
      <w:pPr>
        <w:pStyle w:val="BodyText"/>
        <w:numPr>
          <w:ilvl w:val="0"/>
          <w:numId w:val="39"/>
        </w:numPr>
        <w:ind w:hanging="720"/>
      </w:pPr>
      <w:r>
        <w:t xml:space="preserve">the basis upon which </w:t>
      </w:r>
      <w:r w:rsidRPr="00CB2949">
        <w:t>the cash flows arising from time to time or otherwise derived from the Regulatory Asset may otherwise be applied</w:t>
      </w:r>
      <w:r>
        <w:t>, including in relation to any counterparty enforcement and realization scenario;</w:t>
      </w:r>
    </w:p>
    <w:p w:rsidR="007E43ED" w:rsidRDefault="007E43ED" w:rsidP="007E43ED">
      <w:pPr>
        <w:pStyle w:val="BodyText"/>
        <w:numPr>
          <w:ilvl w:val="0"/>
          <w:numId w:val="39"/>
        </w:numPr>
        <w:ind w:hanging="720"/>
      </w:pPr>
      <w:r>
        <w:t>the transmittal to [the IESO] of information related to the amounts to be included in the determination of the Period Transition Charge for a Reference Period;</w:t>
      </w:r>
    </w:p>
    <w:p w:rsidR="007E43ED" w:rsidRDefault="007E43ED" w:rsidP="007E43ED">
      <w:pPr>
        <w:pStyle w:val="BodyText"/>
        <w:numPr>
          <w:ilvl w:val="0"/>
          <w:numId w:val="39"/>
        </w:numPr>
        <w:ind w:hanging="720"/>
      </w:pPr>
      <w:r>
        <w:t xml:space="preserve">the basis upon which </w:t>
      </w:r>
      <w:r w:rsidRPr="00CB2949">
        <w:t>any Disposition may be made or effected</w:t>
      </w:r>
      <w:r>
        <w:t xml:space="preserve"> by an Absolute Assignee, including parameters for determining the purchase price for the interest in the Regulatory Asset that is the subject matter of such Disposition, and any consents and releases that may be usefully obtained in connection with such Disposition;</w:t>
      </w:r>
    </w:p>
    <w:p w:rsidR="007E43ED" w:rsidRDefault="007E43ED" w:rsidP="007E43ED">
      <w:pPr>
        <w:pStyle w:val="BodyText"/>
        <w:numPr>
          <w:ilvl w:val="0"/>
          <w:numId w:val="39"/>
        </w:numPr>
        <w:ind w:hanging="720"/>
      </w:pPr>
      <w:r>
        <w:t>describe the requirements applicable to any special purchase entity that will purchase an Investment Interest, including proposed capitalization, governance, and restrictions on their powers and activities; and</w:t>
      </w:r>
    </w:p>
    <w:p w:rsidR="007E43ED" w:rsidRPr="00781C15" w:rsidRDefault="007E43ED" w:rsidP="007E43ED">
      <w:pPr>
        <w:pStyle w:val="BodyText"/>
        <w:numPr>
          <w:ilvl w:val="0"/>
          <w:numId w:val="39"/>
        </w:numPr>
        <w:ind w:hanging="720"/>
      </w:pPr>
      <w:r>
        <w:t xml:space="preserve">the basis on which </w:t>
      </w:r>
      <w:r w:rsidRPr="00CB2949">
        <w:t>any Pledge may be given or effected</w:t>
      </w:r>
      <w:r>
        <w:t>.</w:t>
      </w:r>
      <w:r w:rsidRPr="00781C15">
        <w:t xml:space="preserve"> </w:t>
      </w:r>
    </w:p>
    <w:p w:rsidR="007E43ED" w:rsidRDefault="007E43ED" w:rsidP="007E43ED">
      <w:pPr>
        <w:pStyle w:val="BodyText"/>
        <w:ind w:left="720"/>
      </w:pPr>
    </w:p>
    <w:p w:rsidR="001967C3" w:rsidRDefault="001967C3" w:rsidP="001967C3">
      <w:pPr>
        <w:pStyle w:val="BodyText"/>
      </w:pPr>
    </w:p>
    <w:p w:rsidR="00861D84" w:rsidRDefault="00861D84" w:rsidP="00861D84">
      <w:pPr>
        <w:pStyle w:val="BodyText"/>
      </w:pPr>
      <w:r>
        <w:rPr>
          <w:b/>
        </w:rPr>
        <w:t>[NTD: E&amp;Y will need to see the guidelines of the Fair Allocation Plan set in reference to parameters that will allow it to establish a modelin</w:t>
      </w:r>
      <w:r>
        <w:rPr>
          <w:b/>
          <w:lang w:val="en-US"/>
        </w:rPr>
        <w:t>g curve</w:t>
      </w:r>
      <w:r>
        <w:rPr>
          <w:b/>
        </w:rPr>
        <w:t xml:space="preserve">] </w:t>
      </w:r>
    </w:p>
    <w:p w:rsidR="00861D84" w:rsidRDefault="00861D84" w:rsidP="00861D84">
      <w:pPr>
        <w:pStyle w:val="BodyText"/>
        <w:numPr>
          <w:ilvl w:val="0"/>
          <w:numId w:val="44"/>
        </w:numPr>
      </w:pPr>
      <w:r>
        <w:lastRenderedPageBreak/>
        <w:t>[</w:t>
      </w:r>
      <w:r w:rsidRPr="003B3929">
        <w:rPr>
          <w:b/>
        </w:rPr>
        <w:t>Inflation period</w:t>
      </w:r>
      <w:r>
        <w:t xml:space="preserve">: (between November 2017 – and April 2022) bill increases need to be capped at inflation (assumed at 2% for modeling purposes)] </w:t>
      </w:r>
    </w:p>
    <w:p w:rsidR="00861D84" w:rsidRDefault="00861D84" w:rsidP="00861D84">
      <w:pPr>
        <w:pStyle w:val="BodyText"/>
        <w:numPr>
          <w:ilvl w:val="0"/>
          <w:numId w:val="44"/>
        </w:numPr>
      </w:pPr>
      <w:r>
        <w:t>[</w:t>
      </w:r>
      <w:r w:rsidRPr="003B3929">
        <w:rPr>
          <w:b/>
        </w:rPr>
        <w:t>Transition Period</w:t>
      </w:r>
      <w:r>
        <w:t xml:space="preserve">: (May 2022- April 2027) bills increased at a </w:t>
      </w:r>
      <w:r>
        <w:rPr>
          <w:lang w:val="en-US"/>
        </w:rPr>
        <w:t>consistent</w:t>
      </w:r>
      <w:r>
        <w:t xml:space="preserve"> rate which is set so that the borrowing will not exceed the Trust’s capacity</w:t>
      </w:r>
      <w:r>
        <w:rPr>
          <w:lang w:val="en-US"/>
        </w:rPr>
        <w:t>, which is determined by the Finance Service Manager</w:t>
      </w:r>
      <w:r>
        <w:t xml:space="preserve">] </w:t>
      </w:r>
    </w:p>
    <w:p w:rsidR="00861D84" w:rsidRDefault="00861D84" w:rsidP="00861D84">
      <w:pPr>
        <w:pStyle w:val="BodyText"/>
        <w:numPr>
          <w:ilvl w:val="0"/>
          <w:numId w:val="44"/>
        </w:numPr>
      </w:pPr>
      <w:r>
        <w:t>[</w:t>
      </w:r>
      <w:r w:rsidRPr="003B3929">
        <w:rPr>
          <w:b/>
        </w:rPr>
        <w:t>Amortization Period</w:t>
      </w:r>
      <w:r>
        <w:t>: (May 2027-April 2047) equitable distribution of</w:t>
      </w:r>
      <w:r>
        <w:rPr>
          <w:lang w:val="en-US"/>
        </w:rPr>
        <w:t xml:space="preserve"> Finance Amount</w:t>
      </w:r>
      <w:r>
        <w:t xml:space="preserve"> among Regulated Consumers] </w:t>
      </w:r>
    </w:p>
    <w:p w:rsidR="001967C3" w:rsidRPr="005232AB" w:rsidRDefault="001967C3" w:rsidP="001967C3">
      <w:pPr>
        <w:pStyle w:val="BodyText"/>
        <w:rPr>
          <w:b/>
        </w:rPr>
      </w:pPr>
    </w:p>
    <w:p w:rsidR="00C43950" w:rsidRPr="001967C3" w:rsidRDefault="00D944A4" w:rsidP="001967C3">
      <w:r w:rsidRPr="001967C3">
        <w:t xml:space="preserve"> </w:t>
      </w:r>
    </w:p>
    <w:sectPr w:rsidR="00C43950" w:rsidRPr="001967C3" w:rsidSect="003200D6">
      <w:headerReference w:type="even" r:id="rId10"/>
      <w:headerReference w:type="default" r:id="rId11"/>
      <w:footerReference w:type="even" r:id="rId12"/>
      <w:footerReference w:type="default" r:id="rId13"/>
      <w:headerReference w:type="first" r:id="rId14"/>
      <w:footerReference w:type="first" r:id="rId15"/>
      <w:pgSz w:w="12240" w:h="15840" w:code="1"/>
      <w:pgMar w:top="1440" w:right="1440" w:bottom="1440" w:left="1440" w:header="720" w:footer="720" w:gutter="0"/>
      <w:cols w:space="720"/>
      <w:titlePg/>
      <w:docGrid w:linePitch="360"/>
    </w:sectPr>
  </w:body>
</w:document>
</file>

<file path=word/customizations.xml><?xml version="1.0" encoding="utf-8"?>
<wne:tcg xmlns:r="http://schemas.openxmlformats.org/officeDocument/2006/relationships" xmlns:wne="http://schemas.microsoft.com/office/word/2006/wordml">
  <wne:keymaps>
    <wne:keymap wne:kcmPrimary="0631">
      <wne:acd wne:acdName="acd0"/>
    </wne:keymap>
    <wne:keymap wne:kcmPrimary="0632">
      <wne:acd wne:acdName="acd1"/>
    </wne:keymap>
    <wne:keymap wne:kcmPrimary="0633">
      <wne:acd wne:acdName="acd2"/>
    </wne:keymap>
  </wne:keymaps>
  <wne:toolbars>
    <wne:acdManifest>
      <wne:acdEntry wne:acdName="acd0"/>
      <wne:acdEntry wne:acdName="acd1"/>
      <wne:acdEntry wne:acdName="acd2"/>
    </wne:acdManifest>
  </wne:toolbars>
  <wne:acds>
    <wne:acd wne:argValue="AgBNAHUAbAB0AGkATABlAHYAZQBsAF8ATAAxAA==" wne:acdName="acd0" wne:fciIndexBasedOn="0065"/>
    <wne:acd wne:argValue="AgBNAHUAbAB0AGkATABlAHYAZQBsAF8ATAAyAA==" wne:acdName="acd1" wne:fciIndexBasedOn="0065"/>
    <wne:acd wne:argValue="AgBNAHUAbAB0AGkATABlAHYAZQBsAF8ATAAzAA==" wne:acdName="acd2"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2517" w:rsidRDefault="00FA2517" w:rsidP="00CD55E7">
      <w:r>
        <w:separator/>
      </w:r>
    </w:p>
  </w:endnote>
  <w:endnote w:type="continuationSeparator" w:id="0">
    <w:p w:rsidR="00FA2517" w:rsidRDefault="00FA2517" w:rsidP="00CD55E7">
      <w:r>
        <w:continuationSeparator/>
      </w:r>
    </w:p>
  </w:endnote>
  <w:endnote w:type="continuationNotice" w:id="1">
    <w:p w:rsidR="00FA2517" w:rsidRDefault="00FA251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2517" w:rsidRDefault="00FA2517" w:rsidP="00773077">
    <w:pPr>
      <w:pStyle w:val="BlakesDocID"/>
    </w:pPr>
    <w:fldSimple w:instr=" DOCPROPERTY DOCXDOCID DMS=HummingbirdDM5 Format=&lt;&lt;NUM&gt;&gt;.&lt;&lt;VER&gt;&gt; PRESERVELOCATION \* MERGEFORMAT ">
      <w:r w:rsidR="0080784C">
        <w:t>23107566.13</w:t>
      </w:r>
    </w:fldSimple>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2517" w:rsidRDefault="00FA2517" w:rsidP="00773077">
    <w:pPr>
      <w:pStyle w:val="BlakesDocID"/>
    </w:pPr>
    <w:fldSimple w:instr=" DOCPROPERTY DOCXDOCID DMS=HummingbirdDM5 Format=&lt;&lt;NUM&gt;&gt;.&lt;&lt;VER&gt;&gt; PRESERVELOCATION \* MERGEFORMAT ">
      <w:r w:rsidR="0080784C">
        <w:t>23107566.13</w:t>
      </w:r>
    </w:fldSimple>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2517" w:rsidRDefault="00FA2517" w:rsidP="00773077">
    <w:pPr>
      <w:pStyle w:val="BlakesDocID"/>
    </w:pPr>
    <w:fldSimple w:instr=" DOCPROPERTY DOCXDOCID DMS=HummingbirdDM5 Format=&lt;&lt;NUM&gt;&gt;.&lt;&lt;VER&gt;&gt; PRESERVELOCATION \* MERGEFORMAT ">
      <w:r w:rsidR="0080784C">
        <w:t>23107566.13</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2517" w:rsidRDefault="00FA2517" w:rsidP="00CD55E7">
      <w:r>
        <w:separator/>
      </w:r>
    </w:p>
  </w:footnote>
  <w:footnote w:type="continuationSeparator" w:id="0">
    <w:p w:rsidR="00FA2517" w:rsidRDefault="00FA2517" w:rsidP="00CD55E7">
      <w:r>
        <w:continuationSeparator/>
      </w:r>
    </w:p>
  </w:footnote>
  <w:footnote w:type="continuationNotice" w:id="1">
    <w:p w:rsidR="00FA2517" w:rsidRDefault="00FA2517">
      <w:pPr>
        <w:spacing w:after="0"/>
      </w:pPr>
    </w:p>
  </w:footnote>
  <w:footnote w:id="2">
    <w:p w:rsidR="00FA2517" w:rsidRDefault="00FA2517" w:rsidP="001967C3">
      <w:pPr>
        <w:pStyle w:val="FootnoteText"/>
        <w:rPr>
          <w:sz w:val="18"/>
          <w:szCs w:val="18"/>
          <w:lang w:val="en-US"/>
        </w:rPr>
      </w:pPr>
      <w:r>
        <w:rPr>
          <w:rStyle w:val="FootnoteReference"/>
          <w:sz w:val="18"/>
          <w:szCs w:val="18"/>
        </w:rPr>
        <w:footnoteRef/>
      </w:r>
      <w:r>
        <w:rPr>
          <w:sz w:val="18"/>
          <w:szCs w:val="18"/>
        </w:rPr>
        <w:t xml:space="preserve"> This </w:t>
      </w:r>
      <w:r>
        <w:rPr>
          <w:sz w:val="18"/>
          <w:szCs w:val="18"/>
          <w:lang w:val="en-US"/>
        </w:rPr>
        <w:t>allocation may be volumetric or some combination of a flat amount and a volumetric charge.  Further discussion is required. H&amp;W has raised a concern regarding possible adverse changes after the fact and rating agency considerations.  Consider whether hard-coding in the legislation makes sense.</w:t>
      </w:r>
    </w:p>
  </w:footnote>
  <w:footnote w:id="3">
    <w:p w:rsidR="00FA2517" w:rsidRDefault="00FA2517" w:rsidP="001967C3">
      <w:pPr>
        <w:pStyle w:val="FootnoteText"/>
        <w:rPr>
          <w:sz w:val="18"/>
          <w:szCs w:val="18"/>
        </w:rPr>
      </w:pPr>
      <w:r>
        <w:rPr>
          <w:rStyle w:val="FootnoteReference"/>
          <w:sz w:val="18"/>
          <w:szCs w:val="18"/>
        </w:rPr>
        <w:footnoteRef/>
      </w:r>
      <w:r>
        <w:rPr>
          <w:sz w:val="18"/>
          <w:szCs w:val="18"/>
        </w:rPr>
        <w:t xml:space="preserve"> This is intended to pick up adjustments based on actual collection experience, changes in the Regulated Consumer base, changes in the actual costs (versus earlier estimates) included in the Transition Charge calculation, etc.  The actual calculation needs work.</w:t>
      </w:r>
    </w:p>
  </w:footnote>
  <w:footnote w:id="4">
    <w:p w:rsidR="00FA2517" w:rsidRPr="00764067" w:rsidRDefault="00FA2517">
      <w:pPr>
        <w:pStyle w:val="FootnoteText"/>
      </w:pPr>
      <w:r>
        <w:rPr>
          <w:rStyle w:val="FootnoteReference"/>
        </w:rPr>
        <w:footnoteRef/>
      </w:r>
      <w:r>
        <w:t xml:space="preserve"> Placeholder for delegation once deterermined.</w:t>
      </w:r>
    </w:p>
  </w:footnote>
  <w:footnote w:id="5">
    <w:p w:rsidR="00FA2517" w:rsidRPr="00764067" w:rsidRDefault="00FA2517">
      <w:pPr>
        <w:pStyle w:val="FootnoteText"/>
      </w:pPr>
      <w:r>
        <w:rPr>
          <w:rStyle w:val="FootnoteReference"/>
        </w:rPr>
        <w:footnoteRef/>
      </w:r>
      <w:r>
        <w:t xml:space="preserve"> Suggestion is that LDCs remit based on estimates and then true-up, based on current arrangements for remittances by LDCs to IESO. *</w:t>
      </w:r>
    </w:p>
  </w:footnote>
  <w:footnote w:id="6">
    <w:p w:rsidR="00FA2517" w:rsidRDefault="00FA2517" w:rsidP="001967C3">
      <w:pPr>
        <w:pStyle w:val="FootnoteText"/>
        <w:rPr>
          <w:sz w:val="18"/>
          <w:szCs w:val="18"/>
        </w:rPr>
      </w:pPr>
      <w:r>
        <w:rPr>
          <w:rStyle w:val="FootnoteReference"/>
          <w:sz w:val="18"/>
          <w:szCs w:val="18"/>
        </w:rPr>
        <w:footnoteRef/>
      </w:r>
      <w:r>
        <w:rPr>
          <w:sz w:val="18"/>
          <w:szCs w:val="18"/>
        </w:rPr>
        <w:t xml:space="preserve"> There must only be one Financial Services Manager.</w:t>
      </w:r>
    </w:p>
  </w:footnote>
  <w:footnote w:id="7">
    <w:p w:rsidR="00FA2517" w:rsidRDefault="00FA2517" w:rsidP="001967C3">
      <w:pPr>
        <w:pStyle w:val="FootnoteText"/>
      </w:pPr>
      <w:r>
        <w:rPr>
          <w:rStyle w:val="FootnoteReference"/>
        </w:rPr>
        <w:footnoteRef/>
      </w:r>
      <w:r>
        <w:t xml:space="preserve">  MOE to confirm that the legislation will provide that any Financing Entity that is a wholly-owned subsidiary of OPG (1) would not be subject to Part VI of the </w:t>
      </w:r>
      <w:r>
        <w:rPr>
          <w:i/>
        </w:rPr>
        <w:t>Electricity Act</w:t>
      </w:r>
      <w:r>
        <w:t xml:space="preserve"> (Ontario) and (2) in the case of any Financing Entity that is a trust, any income of such trust (for purposes of the </w:t>
      </w:r>
      <w:r>
        <w:rPr>
          <w:i/>
        </w:rPr>
        <w:t>Income Tax Act</w:t>
      </w:r>
      <w:r>
        <w:t xml:space="preserve"> (Canada) or the </w:t>
      </w:r>
      <w:r>
        <w:rPr>
          <w:i/>
        </w:rPr>
        <w:t>Taxation Act, 2007</w:t>
      </w:r>
      <w:r>
        <w:t xml:space="preserve"> Ontario)) which is paid or made payable to OPG or a wholly-owned subsidiary of OPG as a beneficiary of such trust will not be taken into account in calculating the amount of a payment required to be made by OPG (or such subsidiary) by section 89 or 90 of the Electricity Act. </w:t>
      </w:r>
    </w:p>
  </w:footnote>
  <w:footnote w:id="8">
    <w:p w:rsidR="008B3DA7" w:rsidRPr="008B3DA7" w:rsidRDefault="008B3DA7">
      <w:pPr>
        <w:pStyle w:val="FootnoteText"/>
      </w:pPr>
      <w:r>
        <w:rPr>
          <w:rStyle w:val="FootnoteReference"/>
        </w:rPr>
        <w:footnoteRef/>
      </w:r>
      <w:r>
        <w:t xml:space="preserve"> </w:t>
      </w:r>
      <w:r w:rsidRPr="00A1486F">
        <w:t xml:space="preserve"> </w:t>
      </w:r>
      <w:r>
        <w:t xml:space="preserve">IESO </w:t>
      </w:r>
      <w:r>
        <w:t xml:space="preserve">will be entitled to </w:t>
      </w:r>
      <w:r w:rsidRPr="00A1486F">
        <w:t>record the IESO Funding Shortfall amount in a variance account</w:t>
      </w:r>
      <w:r>
        <w:t>.  T</w:t>
      </w:r>
      <w:r w:rsidRPr="00A1486F">
        <w:t xml:space="preserve">he OEB </w:t>
      </w:r>
      <w:r>
        <w:t xml:space="preserve">will </w:t>
      </w:r>
      <w:r w:rsidRPr="00A1486F">
        <w:t>eliminate and dispose of the variance account balance as part of the R</w:t>
      </w:r>
      <w:r>
        <w:t>P</w:t>
      </w:r>
      <w:r w:rsidRPr="00A1486F">
        <w:t>P adjustment process under the O</w:t>
      </w:r>
      <w:r>
        <w:t>E</w:t>
      </w:r>
      <w:r w:rsidRPr="00A1486F">
        <w:t xml:space="preserve">B Act , with </w:t>
      </w:r>
      <w:r>
        <w:t xml:space="preserve">an applicable </w:t>
      </w:r>
      <w:r w:rsidRPr="00A1486F">
        <w:t>OEB accounting order.</w:t>
      </w:r>
      <w:r>
        <w:t xml:space="preserve">  See Article 8 for corresponding adjustments based on Dispositions.  These will need to be tied together.</w:t>
      </w:r>
    </w:p>
  </w:footnote>
  <w:footnote w:id="9">
    <w:p w:rsidR="00FA2517" w:rsidRPr="00FE7AD9" w:rsidRDefault="00FA2517">
      <w:pPr>
        <w:pStyle w:val="FootnoteText"/>
      </w:pPr>
      <w:r>
        <w:rPr>
          <w:rStyle w:val="FootnoteReference"/>
        </w:rPr>
        <w:footnoteRef/>
      </w:r>
      <w:r>
        <w:t xml:space="preserve"> To be included in the legislation once settled.</w:t>
      </w:r>
    </w:p>
  </w:footnote>
  <w:footnote w:id="10">
    <w:p w:rsidR="00FA2517" w:rsidRPr="00390C21" w:rsidRDefault="00FA2517">
      <w:pPr>
        <w:pStyle w:val="FootnoteText"/>
      </w:pPr>
      <w:r>
        <w:rPr>
          <w:rStyle w:val="FootnoteReference"/>
        </w:rPr>
        <w:footnoteRef/>
      </w:r>
      <w:r>
        <w:t xml:space="preserve"> Note that </w:t>
      </w:r>
      <w:r w:rsidRPr="00390C21">
        <w:t xml:space="preserve">Transition Charges will </w:t>
      </w:r>
      <w:r>
        <w:t>be calculated by reference to Funding Obligations and Finance Amounts incurred under the Financing Plan.  The directive will be that no payment o</w:t>
      </w:r>
      <w:r w:rsidRPr="00390C21">
        <w:t>b</w:t>
      </w:r>
      <w:r>
        <w:t>ligations will be incurred for payment before 2022, to accommodate the “Fair Adjustment”</w:t>
      </w:r>
      <w:r w:rsidRPr="00390C21">
        <w:t>.</w:t>
      </w:r>
    </w:p>
  </w:footnote>
  <w:footnote w:id="11">
    <w:p w:rsidR="00FA2517" w:rsidRPr="00233CE8" w:rsidRDefault="00FA2517">
      <w:pPr>
        <w:pStyle w:val="FootnoteText"/>
      </w:pPr>
      <w:r>
        <w:rPr>
          <w:rStyle w:val="FootnoteReference"/>
        </w:rPr>
        <w:footnoteRef/>
      </w:r>
      <w:r>
        <w:t xml:space="preserve"> True-up calculation is under consideration. In this summary, a calculated true-up amount is contemplated to be included in the Period Finance Amount calculation, in order to achieve a sum certain and actionable debt.  The suggestion is that the true-up mechanism be based generally on a calculation process to be described in the Regulation, which would require </w:t>
      </w:r>
      <w:r w:rsidRPr="00D25018">
        <w:t>Transition Charges to be reviewed and adjusted semi-annually (or more frequently) to ensure the expected recovery of amounts sufficient to timely provide all payments in respect of F</w:t>
      </w:r>
      <w:r>
        <w:t xml:space="preserve">inance Amounts.  It has been proposed that the scope of the true-up will exclude any ‘leakage’ at the Financing Entity Level (e.g., entity-level tax; litigation; losses) but will include shortfalls that are currently socialized through the LDC/IESO system.  Note that the proposal to include a section detailing the true-up mechanism (Oslers 3(6) has not been included here since the outcome of the calculation is already built into the Period Finance Amount concept. </w:t>
      </w:r>
    </w:p>
  </w:footnote>
  <w:footnote w:id="12">
    <w:p w:rsidR="00FA2517" w:rsidRPr="00233CE8" w:rsidRDefault="00FA2517">
      <w:pPr>
        <w:pStyle w:val="FootnoteText"/>
      </w:pPr>
      <w:r>
        <w:rPr>
          <w:rStyle w:val="FootnoteReference"/>
        </w:rPr>
        <w:footnoteRef/>
      </w:r>
      <w:r>
        <w:t xml:space="preserve">  Timing of calculation under consideration, given that amount will need to be reflected in customer invoices.</w:t>
      </w:r>
    </w:p>
  </w:footnote>
  <w:footnote w:id="13">
    <w:p w:rsidR="00FA2517" w:rsidRPr="00233CE8" w:rsidRDefault="00FA2517">
      <w:pPr>
        <w:pStyle w:val="FootnoteText"/>
      </w:pPr>
      <w:r>
        <w:rPr>
          <w:rStyle w:val="FootnoteReference"/>
        </w:rPr>
        <w:footnoteRef/>
      </w:r>
      <w:r>
        <w:t xml:space="preserve"> Under consideration.</w:t>
      </w:r>
    </w:p>
  </w:footnote>
  <w:footnote w:id="14">
    <w:p w:rsidR="00FA2517" w:rsidRDefault="00FA2517" w:rsidP="001967C3">
      <w:pPr>
        <w:pStyle w:val="FootnoteText"/>
        <w:rPr>
          <w:sz w:val="18"/>
          <w:szCs w:val="18"/>
        </w:rPr>
      </w:pPr>
      <w:r>
        <w:rPr>
          <w:rStyle w:val="FootnoteReference"/>
          <w:sz w:val="18"/>
          <w:szCs w:val="18"/>
        </w:rPr>
        <w:footnoteRef/>
      </w:r>
      <w:r>
        <w:rPr>
          <w:sz w:val="18"/>
          <w:szCs w:val="18"/>
        </w:rPr>
        <w:t xml:space="preserve"> Determine if this is critical for rating and markets.  Logistics under consideration.</w:t>
      </w:r>
    </w:p>
  </w:footnote>
  <w:footnote w:id="15">
    <w:p w:rsidR="00FA2517" w:rsidRDefault="00FA2517" w:rsidP="001967C3">
      <w:pPr>
        <w:pStyle w:val="FootnoteText"/>
        <w:rPr>
          <w:sz w:val="18"/>
          <w:szCs w:val="18"/>
        </w:rPr>
      </w:pPr>
      <w:r>
        <w:rPr>
          <w:rStyle w:val="FootnoteReference"/>
        </w:rPr>
        <w:footnoteRef/>
      </w:r>
      <w:r>
        <w:t xml:space="preserve"> </w:t>
      </w:r>
      <w:r>
        <w:rPr>
          <w:sz w:val="18"/>
          <w:szCs w:val="18"/>
        </w:rPr>
        <w:t>Torys has also suggested that deemed conditions of licenses for distributors, retailers and unit sub-metering providers, could be included as conditions, to require them to collect and remit amounts in accordance with this legislation. Consider if it is helpful to integrate the existing regulatory scheme for invoicing and collections (regarding RPP) in the legislation.</w:t>
      </w:r>
    </w:p>
  </w:footnote>
  <w:footnote w:id="16">
    <w:p w:rsidR="00FA2517" w:rsidRDefault="00FA2517" w:rsidP="00390C21">
      <w:pPr>
        <w:pStyle w:val="FootnoteText"/>
        <w:rPr>
          <w:b/>
        </w:rPr>
      </w:pPr>
      <w:r>
        <w:rPr>
          <w:rStyle w:val="FootnoteReference"/>
        </w:rPr>
        <w:footnoteRef/>
      </w:r>
      <w:r>
        <w:t xml:space="preserve"> Intention is to include </w:t>
      </w:r>
      <w:r w:rsidRPr="00390C21">
        <w:t>bills issued to eligible consumers served by unit sub-metering providers, retailers and the IESO – not just distributors and to address the inclusion of Transition Charges in the paperwork from the IESO to the LDC in a manner that is consistent with the current process of how the IESO bills LDCs.</w:t>
      </w:r>
    </w:p>
    <w:p w:rsidR="00FA2517" w:rsidRPr="00390C21" w:rsidRDefault="00FA2517">
      <w:pPr>
        <w:pStyle w:val="FootnoteText"/>
      </w:pPr>
    </w:p>
  </w:footnote>
  <w:footnote w:id="17">
    <w:p w:rsidR="00FA2517" w:rsidRPr="00A70CFC" w:rsidRDefault="00FA2517">
      <w:pPr>
        <w:pStyle w:val="FootnoteText"/>
      </w:pPr>
      <w:r>
        <w:rPr>
          <w:rStyle w:val="FootnoteReference"/>
        </w:rPr>
        <w:footnoteRef/>
      </w:r>
      <w:r>
        <w:t xml:space="preserve"> Note that t</w:t>
      </w:r>
      <w:r w:rsidRPr="00A70CFC">
        <w:t>he obligation to collect and remit the Transition Charge will be included as a deemed condition of license for electricity distributors (and retailers and unit sub-metering providers).]</w:t>
      </w:r>
    </w:p>
  </w:footnote>
  <w:footnote w:id="18">
    <w:p w:rsidR="00FA2517" w:rsidRDefault="00FA2517" w:rsidP="001967C3">
      <w:pPr>
        <w:pStyle w:val="FootnoteText"/>
        <w:rPr>
          <w:sz w:val="18"/>
          <w:szCs w:val="18"/>
        </w:rPr>
      </w:pPr>
      <w:r>
        <w:rPr>
          <w:rStyle w:val="FootnoteReference"/>
          <w:sz w:val="18"/>
          <w:szCs w:val="18"/>
        </w:rPr>
        <w:footnoteRef/>
      </w:r>
      <w:r>
        <w:rPr>
          <w:sz w:val="18"/>
          <w:szCs w:val="18"/>
        </w:rPr>
        <w:t xml:space="preserve"> Consider trying to attach to existing LDC credit enhancements and provide parallel coverage for customer losses.</w:t>
      </w:r>
    </w:p>
  </w:footnote>
  <w:footnote w:id="19">
    <w:p w:rsidR="00FA2517" w:rsidRPr="00A70CFC" w:rsidRDefault="00FA2517">
      <w:pPr>
        <w:pStyle w:val="FootnoteText"/>
      </w:pPr>
      <w:r>
        <w:rPr>
          <w:rStyle w:val="FootnoteReference"/>
        </w:rPr>
        <w:footnoteRef/>
      </w:r>
      <w:r>
        <w:t xml:space="preserve"> Consider whether there is a more efficient way to treat collections through the existing LDC/IESO processes. Intention is to provide scope in the Regulations.</w:t>
      </w:r>
    </w:p>
  </w:footnote>
  <w:footnote w:id="20">
    <w:p w:rsidR="00FA2517" w:rsidRPr="00D65B9E" w:rsidRDefault="00FA2517">
      <w:pPr>
        <w:pStyle w:val="FootnoteText"/>
      </w:pPr>
      <w:r>
        <w:rPr>
          <w:rStyle w:val="FootnoteReference"/>
        </w:rPr>
        <w:footnoteRef/>
      </w:r>
      <w:r>
        <w:t xml:space="preserve"> Dealer suggestion under consideration.  Impact on LDCs and parallel commercial arrangements to be assessed. </w:t>
      </w:r>
    </w:p>
  </w:footnote>
  <w:footnote w:id="21">
    <w:p w:rsidR="00FA2517" w:rsidRDefault="00FA2517" w:rsidP="001967C3">
      <w:pPr>
        <w:pStyle w:val="FootnoteText"/>
        <w:rPr>
          <w:sz w:val="18"/>
          <w:szCs w:val="18"/>
        </w:rPr>
      </w:pPr>
      <w:r>
        <w:rPr>
          <w:rStyle w:val="FootnoteReference"/>
          <w:sz w:val="18"/>
          <w:szCs w:val="18"/>
        </w:rPr>
        <w:footnoteRef/>
      </w:r>
      <w:r>
        <w:rPr>
          <w:sz w:val="18"/>
          <w:szCs w:val="18"/>
        </w:rPr>
        <w:t xml:space="preserve"> Consider frequency of remittances in light of rating requirements. US rating agencies favour daily remittances.</w:t>
      </w:r>
    </w:p>
  </w:footnote>
  <w:footnote w:id="22">
    <w:p w:rsidR="00FA2517" w:rsidRDefault="00FA2517" w:rsidP="001967C3">
      <w:pPr>
        <w:pStyle w:val="FootnoteText"/>
        <w:rPr>
          <w:sz w:val="18"/>
          <w:szCs w:val="18"/>
        </w:rPr>
      </w:pPr>
      <w:r>
        <w:rPr>
          <w:rStyle w:val="FootnoteReference"/>
          <w:sz w:val="18"/>
          <w:szCs w:val="18"/>
        </w:rPr>
        <w:footnoteRef/>
      </w:r>
      <w:r>
        <w:rPr>
          <w:sz w:val="18"/>
          <w:szCs w:val="18"/>
        </w:rPr>
        <w:t xml:space="preserve"> This is in anticipation of a possible future restructuring of the distribution system.</w:t>
      </w:r>
    </w:p>
  </w:footnote>
  <w:footnote w:id="23">
    <w:p w:rsidR="00FA2517" w:rsidRDefault="00FA2517" w:rsidP="001967C3">
      <w:pPr>
        <w:pStyle w:val="FootnoteText"/>
        <w:rPr>
          <w:sz w:val="18"/>
          <w:szCs w:val="18"/>
        </w:rPr>
      </w:pPr>
      <w:r>
        <w:rPr>
          <w:rStyle w:val="FootnoteReference"/>
        </w:rPr>
        <w:footnoteRef/>
      </w:r>
      <w:r>
        <w:t xml:space="preserve"> </w:t>
      </w:r>
      <w:r>
        <w:rPr>
          <w:sz w:val="18"/>
          <w:szCs w:val="18"/>
        </w:rPr>
        <w:t>Consider whether it makes sense to create a “deemed collection” payment obligation on Electricity Distributors to the extent a Regulated Consumer reduces its payment of Transition Charges, despite this language.  Same for Electricity Distributor Remittances and IESO Remittances.</w:t>
      </w:r>
    </w:p>
  </w:footnote>
  <w:footnote w:id="24">
    <w:p w:rsidR="00FA2517" w:rsidRDefault="00FA2517" w:rsidP="001967C3">
      <w:pPr>
        <w:pStyle w:val="FootnoteText"/>
        <w:rPr>
          <w:sz w:val="18"/>
          <w:szCs w:val="18"/>
        </w:rPr>
      </w:pPr>
      <w:r>
        <w:rPr>
          <w:rStyle w:val="FootnoteReference"/>
          <w:sz w:val="18"/>
          <w:szCs w:val="18"/>
        </w:rPr>
        <w:footnoteRef/>
      </w:r>
      <w:r>
        <w:rPr>
          <w:sz w:val="18"/>
          <w:szCs w:val="18"/>
        </w:rPr>
        <w:t xml:space="preserve"> Consider adding or substituting this provision for a right to appoint a receiver.</w:t>
      </w:r>
    </w:p>
  </w:footnote>
  <w:footnote w:id="25">
    <w:p w:rsidR="00FA2517" w:rsidRPr="00415F25" w:rsidRDefault="00FA2517" w:rsidP="00415F25">
      <w:pPr>
        <w:pStyle w:val="BodyText"/>
        <w:rPr>
          <w:sz w:val="18"/>
          <w:szCs w:val="18"/>
        </w:rPr>
      </w:pPr>
      <w:r>
        <w:rPr>
          <w:rStyle w:val="FootnoteReference"/>
        </w:rPr>
        <w:footnoteRef/>
      </w:r>
      <w:r>
        <w:t xml:space="preserve"> </w:t>
      </w:r>
      <w:r w:rsidRPr="00415F25">
        <w:rPr>
          <w:sz w:val="18"/>
          <w:szCs w:val="18"/>
        </w:rPr>
        <w:t xml:space="preserve">It is anticipated that Investment Interests </w:t>
      </w:r>
      <w:r>
        <w:rPr>
          <w:sz w:val="18"/>
          <w:szCs w:val="18"/>
        </w:rPr>
        <w:t xml:space="preserve">will </w:t>
      </w:r>
      <w:r w:rsidRPr="00415F25">
        <w:rPr>
          <w:sz w:val="18"/>
          <w:szCs w:val="18"/>
        </w:rPr>
        <w:t>only be sold to Financing Entities controlled by OPG</w:t>
      </w:r>
      <w:r>
        <w:rPr>
          <w:sz w:val="18"/>
          <w:szCs w:val="18"/>
        </w:rPr>
        <w:t xml:space="preserve">.  Sales will occur on a negotiated basis, and deal-specific covenants will be included in transaction documents – to supplement these arrangements.  </w:t>
      </w:r>
    </w:p>
    <w:p w:rsidR="00FA2517" w:rsidRPr="00415F25" w:rsidRDefault="00FA2517">
      <w:pPr>
        <w:pStyle w:val="FootnoteText"/>
      </w:pPr>
    </w:p>
  </w:footnote>
  <w:footnote w:id="26">
    <w:p w:rsidR="00FA2517" w:rsidRDefault="00FA2517" w:rsidP="001967C3">
      <w:pPr>
        <w:pStyle w:val="FootnoteText"/>
        <w:rPr>
          <w:sz w:val="18"/>
          <w:szCs w:val="18"/>
        </w:rPr>
      </w:pPr>
      <w:r>
        <w:rPr>
          <w:rStyle w:val="FootnoteReference"/>
        </w:rPr>
        <w:footnoteRef/>
      </w:r>
      <w:r>
        <w:t xml:space="preserve"> </w:t>
      </w:r>
      <w:r>
        <w:rPr>
          <w:sz w:val="18"/>
          <w:szCs w:val="18"/>
        </w:rPr>
        <w:t>Consider whether to simply leave this and have a financing statement be filed under the PPSA.  This would normalize the security interest and reduce any adverse suggestion that security would not otherwise arise.</w:t>
      </w:r>
    </w:p>
  </w:footnote>
  <w:footnote w:id="27">
    <w:p w:rsidR="00FA2517" w:rsidRDefault="00FA2517" w:rsidP="001967C3">
      <w:pPr>
        <w:pStyle w:val="FootnoteText"/>
      </w:pPr>
      <w:r>
        <w:rPr>
          <w:sz w:val="18"/>
          <w:szCs w:val="18"/>
        </w:rPr>
        <w:footnoteRef/>
      </w:r>
      <w:r>
        <w:rPr>
          <w:sz w:val="18"/>
          <w:szCs w:val="18"/>
        </w:rPr>
        <w:t xml:space="preserve"> The idea is that the Fair Allocation Plan will be set once at the outset based on the principles and parameters described here, all as applied based on information available and the reasonable expectations and discretion of the delegate at such time.  If the expectations are not fulfilled (e.g., generators may choose to retire their facilities at the end of their current procurement contracts and not invest in extending service lives to secure further procurement contracts), the Fair Allocation Plan will be unaffected, unless it is specifically amended (assuming amendments will be permitted by the legislation).</w:t>
      </w:r>
    </w:p>
  </w:footnote>
  <w:footnote w:id="28">
    <w:p w:rsidR="00FA2517" w:rsidRPr="00422971" w:rsidRDefault="00FA2517">
      <w:pPr>
        <w:pStyle w:val="FootnoteText"/>
      </w:pPr>
      <w:r>
        <w:rPr>
          <w:rStyle w:val="FootnoteReference"/>
        </w:rPr>
        <w:footnoteRef/>
      </w:r>
      <w:r>
        <w:t xml:space="preserve"> It is anticipated that the terms of any rated financing will restrict further issuances pending a RAC in relation to any changes to the FAP.</w:t>
      </w:r>
    </w:p>
  </w:footnote>
  <w:footnote w:id="29">
    <w:p w:rsidR="00861D84" w:rsidRPr="00861D84" w:rsidRDefault="00861D84">
      <w:pPr>
        <w:pStyle w:val="FootnoteText"/>
      </w:pPr>
      <w:r>
        <w:rPr>
          <w:rStyle w:val="FootnoteReference"/>
        </w:rPr>
        <w:footnoteRef/>
      </w:r>
      <w:r>
        <w:t xml:space="preserve"> Under consideration.</w:t>
      </w:r>
    </w:p>
  </w:footnote>
  <w:footnote w:id="30">
    <w:p w:rsidR="00861D84" w:rsidRPr="00861D84" w:rsidRDefault="00861D84" w:rsidP="00861D84">
      <w:pPr>
        <w:pStyle w:val="FootnoteText"/>
      </w:pPr>
      <w:r>
        <w:rPr>
          <w:rStyle w:val="FootnoteReference"/>
        </w:rPr>
        <w:footnoteRef/>
      </w:r>
      <w:r>
        <w:t xml:space="preserve"> Under consideration.</w:t>
      </w:r>
    </w:p>
  </w:footnote>
  <w:footnote w:id="31">
    <w:p w:rsidR="00FA2517" w:rsidRDefault="00FA2517" w:rsidP="001967C3">
      <w:pPr>
        <w:pStyle w:val="FootnoteText"/>
        <w:rPr>
          <w:sz w:val="18"/>
          <w:szCs w:val="18"/>
          <w:lang w:val="en-US"/>
        </w:rPr>
      </w:pPr>
      <w:r>
        <w:rPr>
          <w:rStyle w:val="FootnoteReference"/>
          <w:sz w:val="18"/>
          <w:szCs w:val="18"/>
        </w:rPr>
        <w:footnoteRef/>
      </w:r>
      <w:r>
        <w:rPr>
          <w:sz w:val="18"/>
          <w:szCs w:val="18"/>
        </w:rPr>
        <w:t xml:space="preserve"> </w:t>
      </w:r>
      <w:r>
        <w:rPr>
          <w:sz w:val="18"/>
          <w:szCs w:val="18"/>
          <w:lang w:val="en-US"/>
        </w:rPr>
        <w:t xml:space="preserve">As noted above, the outcome of any regulatory action undertaken by the OEB will not affect Funding Obligations that have been incurred under the Financing Plan.  This Article and any potential role for the Auditor General is still under consideration. </w:t>
      </w:r>
    </w:p>
  </w:footnote>
  <w:footnote w:id="32">
    <w:p w:rsidR="00FA2517" w:rsidRDefault="00FA2517" w:rsidP="001967C3">
      <w:pPr>
        <w:pStyle w:val="FootnoteText"/>
        <w:rPr>
          <w:sz w:val="18"/>
          <w:szCs w:val="18"/>
        </w:rPr>
      </w:pPr>
      <w:r>
        <w:rPr>
          <w:rStyle w:val="FootnoteReference"/>
        </w:rPr>
        <w:footnoteRef/>
      </w:r>
      <w:r>
        <w:t xml:space="preserve"> As an alternative to this provision, consider </w:t>
      </w:r>
      <w:r>
        <w:rPr>
          <w:sz w:val="18"/>
          <w:szCs w:val="18"/>
        </w:rPr>
        <w:t xml:space="preserve">clarifying under s. 78.1(4) of the OEB Act (which currently gives the OEB discretion in setting payment amounts subject to O. Reg. 53/05) that the OEB in setting OPG payment amounts for prescribed generation shall not consider OPG’s role as </w:t>
      </w:r>
      <w:r w:rsidRPr="0009733D">
        <w:rPr>
          <w:sz w:val="18"/>
          <w:szCs w:val="18"/>
        </w:rPr>
        <w:t>Financial Services Manager</w:t>
      </w:r>
      <w:r>
        <w:rPr>
          <w:sz w:val="18"/>
          <w:szCs w:val="18"/>
        </w:rPr>
        <w:t xml:space="preserve"> of any Financing Entities associated with the Fair Hydro initiative, perhaps with the exception of any operating fees that may be received by OPG for performing that role.</w:t>
      </w:r>
    </w:p>
  </w:footnote>
  <w:footnote w:id="33">
    <w:p w:rsidR="00FA2517" w:rsidRDefault="00FA2517" w:rsidP="00861D84">
      <w:pPr>
        <w:pStyle w:val="FootnoteText"/>
        <w:spacing w:before="240"/>
        <w:rPr>
          <w:sz w:val="18"/>
          <w:szCs w:val="18"/>
          <w:lang w:val="en-US"/>
        </w:rPr>
      </w:pPr>
      <w:r>
        <w:rPr>
          <w:rStyle w:val="FootnoteReference"/>
          <w:sz w:val="18"/>
          <w:szCs w:val="18"/>
        </w:rPr>
        <w:footnoteRef/>
      </w:r>
      <w:r>
        <w:rPr>
          <w:sz w:val="18"/>
          <w:szCs w:val="18"/>
        </w:rPr>
        <w:t xml:space="preserve"> Under consideration, including the dealers’ request for </w:t>
      </w:r>
      <w:r w:rsidR="00861D84">
        <w:rPr>
          <w:sz w:val="18"/>
          <w:szCs w:val="18"/>
        </w:rPr>
        <w:t xml:space="preserve">(1) </w:t>
      </w:r>
      <w:r>
        <w:rPr>
          <w:sz w:val="18"/>
          <w:szCs w:val="18"/>
        </w:rPr>
        <w:t xml:space="preserve">a “servicer guarantee” </w:t>
      </w:r>
      <w:r w:rsidR="00861D84">
        <w:rPr>
          <w:sz w:val="18"/>
          <w:szCs w:val="18"/>
        </w:rPr>
        <w:t xml:space="preserve">(2) </w:t>
      </w:r>
      <w:r>
        <w:rPr>
          <w:sz w:val="18"/>
          <w:szCs w:val="18"/>
        </w:rPr>
        <w:t xml:space="preserve">a “contractual guarantee” to address a “Change of Law” or if all or a portion of the legislation is </w:t>
      </w:r>
      <w:r>
        <w:rPr>
          <w:i/>
          <w:sz w:val="18"/>
          <w:szCs w:val="18"/>
        </w:rPr>
        <w:t>ultra vires</w:t>
      </w:r>
      <w:r>
        <w:rPr>
          <w:sz w:val="18"/>
          <w:szCs w:val="18"/>
        </w:rPr>
        <w:t xml:space="preserve">, requiring (at the lenders option), the Province to pay principal and interest on the outstanding debt </w:t>
      </w:r>
      <w:r>
        <w:rPr>
          <w:sz w:val="18"/>
          <w:szCs w:val="18"/>
          <w:u w:val="single"/>
        </w:rPr>
        <w:t>until maturity</w:t>
      </w:r>
      <w:r>
        <w:rPr>
          <w:sz w:val="18"/>
          <w:szCs w:val="18"/>
        </w:rPr>
        <w:t xml:space="preserve"> or payout the entire debt </w:t>
      </w:r>
      <w:r>
        <w:rPr>
          <w:sz w:val="18"/>
          <w:szCs w:val="18"/>
          <w:u w:val="single"/>
        </w:rPr>
        <w:t>including any make-wholes</w:t>
      </w:r>
      <w:r w:rsidR="00861D84" w:rsidRPr="00861D84">
        <w:rPr>
          <w:sz w:val="18"/>
          <w:szCs w:val="18"/>
        </w:rPr>
        <w:t xml:space="preserve"> and (3) </w:t>
      </w:r>
      <w:r w:rsidR="00861D84">
        <w:rPr>
          <w:sz w:val="18"/>
          <w:szCs w:val="18"/>
        </w:rPr>
        <w:t>i</w:t>
      </w:r>
      <w:r w:rsidRPr="00DF0D5E">
        <w:rPr>
          <w:sz w:val="18"/>
          <w:szCs w:val="18"/>
          <w:lang w:val="en-US"/>
        </w:rPr>
        <w:t xml:space="preserve">n the event of a market disruption that renders it impossible to refinance debt when required (or where financing of amounts required to service the debt is not available because of a market disruption where the Financing Entity was relying on such further issuance of debt until the recovery is set to begin to fund interest), </w:t>
      </w:r>
      <w:r w:rsidR="00861D84">
        <w:rPr>
          <w:sz w:val="18"/>
          <w:szCs w:val="18"/>
          <w:lang w:val="en-US"/>
        </w:rPr>
        <w:t xml:space="preserve">a covenant by </w:t>
      </w:r>
      <w:r w:rsidRPr="00DF0D5E">
        <w:rPr>
          <w:sz w:val="18"/>
          <w:szCs w:val="18"/>
          <w:lang w:val="en-US"/>
        </w:rPr>
        <w:t xml:space="preserve">the Province </w:t>
      </w:r>
      <w:r w:rsidR="00861D84">
        <w:rPr>
          <w:sz w:val="18"/>
          <w:szCs w:val="18"/>
          <w:lang w:val="en-US"/>
        </w:rPr>
        <w:t xml:space="preserve">to </w:t>
      </w:r>
      <w:r w:rsidRPr="00DF0D5E">
        <w:rPr>
          <w:sz w:val="18"/>
          <w:szCs w:val="18"/>
          <w:lang w:val="en-US"/>
        </w:rPr>
        <w:t xml:space="preserve">step in and payout the debt or to recover the debt from ratepayers as it becomes due, notwithstanding the intended </w:t>
      </w:r>
      <w:r w:rsidR="00861D84">
        <w:rPr>
          <w:sz w:val="18"/>
          <w:szCs w:val="18"/>
          <w:lang w:val="en-US"/>
        </w:rPr>
        <w:t>Fair Adjustment</w:t>
      </w:r>
      <w:r>
        <w:rPr>
          <w:sz w:val="18"/>
          <w:szCs w:val="18"/>
          <w:lang w:val="en-US"/>
        </w:rPr>
        <w:t>.</w:t>
      </w:r>
    </w:p>
  </w:footnote>
  <w:footnote w:id="34">
    <w:p w:rsidR="00FA2517" w:rsidRDefault="00FA2517" w:rsidP="001967C3">
      <w:pPr>
        <w:pStyle w:val="FootnoteText"/>
        <w:rPr>
          <w:sz w:val="18"/>
          <w:szCs w:val="18"/>
          <w:lang w:val="en-US"/>
        </w:rPr>
      </w:pPr>
      <w:r>
        <w:rPr>
          <w:rStyle w:val="FootnoteReference"/>
          <w:sz w:val="18"/>
          <w:szCs w:val="18"/>
        </w:rPr>
        <w:footnoteRef/>
      </w:r>
      <w:r>
        <w:rPr>
          <w:sz w:val="18"/>
          <w:szCs w:val="18"/>
        </w:rPr>
        <w:t xml:space="preserve"> </w:t>
      </w:r>
      <w:r>
        <w:rPr>
          <w:sz w:val="18"/>
          <w:szCs w:val="18"/>
          <w:lang w:val="en-US"/>
        </w:rPr>
        <w:t>Requested by Dealers. For discussion.</w:t>
      </w:r>
    </w:p>
  </w:footnote>
  <w:footnote w:id="35">
    <w:p w:rsidR="00FA2517" w:rsidRDefault="00FA2517" w:rsidP="001967C3">
      <w:pPr>
        <w:rPr>
          <w:sz w:val="18"/>
          <w:szCs w:val="18"/>
        </w:rPr>
      </w:pPr>
      <w:r>
        <w:rPr>
          <w:rStyle w:val="FootnoteReference"/>
        </w:rPr>
        <w:footnoteRef/>
      </w:r>
      <w:r>
        <w:t xml:space="preserve"> </w:t>
      </w:r>
      <w:r>
        <w:rPr>
          <w:sz w:val="18"/>
          <w:szCs w:val="18"/>
        </w:rPr>
        <w:t>OPG would like the specific amendments related to OPG to be included in the Bill.]</w:t>
      </w:r>
    </w:p>
    <w:p w:rsidR="00FA2517" w:rsidRDefault="00FA2517" w:rsidP="001967C3">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2517" w:rsidRDefault="00FA251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2517" w:rsidRPr="003200D6" w:rsidRDefault="00FA2517" w:rsidP="003200D6">
    <w:pPr>
      <w:pStyle w:val="Header"/>
      <w:jc w:val="center"/>
      <w:rPr>
        <w:sz w:val="20"/>
        <w:szCs w:val="20"/>
      </w:rPr>
    </w:pPr>
    <w:r w:rsidRPr="003200D6">
      <w:rPr>
        <w:sz w:val="20"/>
        <w:szCs w:val="20"/>
      </w:rPr>
      <w:t xml:space="preserve">- </w:t>
    </w:r>
    <w:r w:rsidRPr="003200D6">
      <w:rPr>
        <w:sz w:val="20"/>
        <w:szCs w:val="20"/>
      </w:rPr>
      <w:fldChar w:fldCharType="begin"/>
    </w:r>
    <w:r w:rsidRPr="003200D6">
      <w:rPr>
        <w:sz w:val="20"/>
        <w:szCs w:val="20"/>
      </w:rPr>
      <w:instrText xml:space="preserve"> PAGE  \* MERGEFORMAT </w:instrText>
    </w:r>
    <w:r w:rsidRPr="003200D6">
      <w:rPr>
        <w:sz w:val="20"/>
        <w:szCs w:val="20"/>
      </w:rPr>
      <w:fldChar w:fldCharType="separate"/>
    </w:r>
    <w:r w:rsidR="00C661F6">
      <w:rPr>
        <w:noProof/>
        <w:sz w:val="20"/>
        <w:szCs w:val="20"/>
      </w:rPr>
      <w:t>26</w:t>
    </w:r>
    <w:r w:rsidRPr="003200D6">
      <w:rPr>
        <w:sz w:val="20"/>
        <w:szCs w:val="20"/>
      </w:rPr>
      <w:fldChar w:fldCharType="end"/>
    </w:r>
    <w:r w:rsidRPr="003200D6">
      <w:rPr>
        <w:sz w:val="20"/>
        <w:szCs w:val="20"/>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2517" w:rsidRPr="00002E5F" w:rsidRDefault="00FA2517" w:rsidP="00002E5F">
    <w:pPr>
      <w:pStyle w:val="Header"/>
      <w:jc w:val="right"/>
      <w:rPr>
        <w:b/>
        <w:sz w:val="20"/>
        <w:szCs w:val="20"/>
      </w:rPr>
    </w:pPr>
    <w:r>
      <w:rPr>
        <w:b/>
        <w:sz w:val="20"/>
        <w:szCs w:val="20"/>
        <w:u w:val="single"/>
      </w:rPr>
      <w:t>Consolidation (Instruction Draft)</w:t>
    </w:r>
    <w:r w:rsidRPr="00002E5F">
      <w:rPr>
        <w:b/>
        <w:sz w:val="20"/>
        <w:szCs w:val="20"/>
      </w:rPr>
      <w:t xml:space="preserve">:  </w:t>
    </w:r>
    <w:r>
      <w:rPr>
        <w:b/>
        <w:sz w:val="20"/>
        <w:szCs w:val="20"/>
      </w:rPr>
      <w:t>April 14</w:t>
    </w:r>
    <w:r w:rsidRPr="00002E5F">
      <w:rPr>
        <w:b/>
        <w:sz w:val="20"/>
        <w:szCs w:val="20"/>
      </w:rPr>
      <w:t>, 2017</w:t>
    </w:r>
  </w:p>
  <w:p w:rsidR="00FA2517" w:rsidRPr="00002E5F" w:rsidRDefault="00FA2517">
    <w:pPr>
      <w:pStyle w:val="Header"/>
      <w:rPr>
        <w:b/>
        <w:u w:val="double"/>
      </w:rPr>
    </w:pPr>
    <w:r w:rsidRPr="00002E5F">
      <w:rPr>
        <w:b/>
        <w:u w:val="double"/>
      </w:rPr>
      <w:t>CONFIDENTIAL AND PRIVILEGED</w:t>
    </w:r>
  </w:p>
  <w:p w:rsidR="00FA2517" w:rsidRPr="00002E5F" w:rsidRDefault="00FA2517">
    <w:pPr>
      <w:pStyle w:val="Header"/>
      <w:rPr>
        <w:b/>
      </w:rPr>
    </w:pPr>
    <w:r>
      <w:rPr>
        <w:b/>
      </w:rPr>
      <w:t>Preliminary Draft for Discussion Purposes Only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E869748"/>
    <w:lvl w:ilvl="0">
      <w:start w:val="1"/>
      <w:numFmt w:val="decimal"/>
      <w:lvlText w:val="%1."/>
      <w:lvlJc w:val="left"/>
      <w:pPr>
        <w:tabs>
          <w:tab w:val="num" w:pos="1800"/>
        </w:tabs>
        <w:ind w:left="1800" w:hanging="360"/>
      </w:pPr>
    </w:lvl>
  </w:abstractNum>
  <w:abstractNum w:abstractNumId="1">
    <w:nsid w:val="FFFFFF7D"/>
    <w:multiLevelType w:val="singleLevel"/>
    <w:tmpl w:val="C3A05438"/>
    <w:lvl w:ilvl="0">
      <w:start w:val="1"/>
      <w:numFmt w:val="decimal"/>
      <w:lvlText w:val="%1."/>
      <w:lvlJc w:val="left"/>
      <w:pPr>
        <w:tabs>
          <w:tab w:val="num" w:pos="1440"/>
        </w:tabs>
        <w:ind w:left="1440" w:hanging="360"/>
      </w:pPr>
    </w:lvl>
  </w:abstractNum>
  <w:abstractNum w:abstractNumId="2">
    <w:nsid w:val="FFFFFF7E"/>
    <w:multiLevelType w:val="singleLevel"/>
    <w:tmpl w:val="C128BF92"/>
    <w:lvl w:ilvl="0">
      <w:start w:val="1"/>
      <w:numFmt w:val="decimal"/>
      <w:lvlText w:val="%1."/>
      <w:lvlJc w:val="left"/>
      <w:pPr>
        <w:tabs>
          <w:tab w:val="num" w:pos="1080"/>
        </w:tabs>
        <w:ind w:left="1080" w:hanging="360"/>
      </w:pPr>
    </w:lvl>
  </w:abstractNum>
  <w:abstractNum w:abstractNumId="3">
    <w:nsid w:val="FFFFFF7F"/>
    <w:multiLevelType w:val="singleLevel"/>
    <w:tmpl w:val="993C167A"/>
    <w:lvl w:ilvl="0">
      <w:start w:val="1"/>
      <w:numFmt w:val="decimal"/>
      <w:lvlText w:val="%1."/>
      <w:lvlJc w:val="left"/>
      <w:pPr>
        <w:tabs>
          <w:tab w:val="num" w:pos="720"/>
        </w:tabs>
        <w:ind w:left="720" w:hanging="360"/>
      </w:pPr>
    </w:lvl>
  </w:abstractNum>
  <w:abstractNum w:abstractNumId="4">
    <w:nsid w:val="FFFFFF80"/>
    <w:multiLevelType w:val="singleLevel"/>
    <w:tmpl w:val="D3A040C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CBDE9E6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2578B330"/>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F74CD26C"/>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E53A976E"/>
    <w:lvl w:ilvl="0">
      <w:start w:val="1"/>
      <w:numFmt w:val="decimal"/>
      <w:lvlText w:val="%1."/>
      <w:lvlJc w:val="left"/>
      <w:pPr>
        <w:tabs>
          <w:tab w:val="num" w:pos="360"/>
        </w:tabs>
        <w:ind w:left="360" w:hanging="360"/>
      </w:pPr>
    </w:lvl>
  </w:abstractNum>
  <w:abstractNum w:abstractNumId="9">
    <w:nsid w:val="FFFFFF89"/>
    <w:multiLevelType w:val="singleLevel"/>
    <w:tmpl w:val="E6F02CB2"/>
    <w:lvl w:ilvl="0">
      <w:start w:val="1"/>
      <w:numFmt w:val="bullet"/>
      <w:lvlText w:val=""/>
      <w:lvlJc w:val="left"/>
      <w:pPr>
        <w:tabs>
          <w:tab w:val="num" w:pos="360"/>
        </w:tabs>
        <w:ind w:left="360" w:hanging="360"/>
      </w:pPr>
      <w:rPr>
        <w:rFonts w:ascii="Symbol" w:hAnsi="Symbol" w:hint="default"/>
      </w:rPr>
    </w:lvl>
  </w:abstractNum>
  <w:abstractNum w:abstractNumId="10">
    <w:nsid w:val="03BA2B2D"/>
    <w:multiLevelType w:val="hybridMultilevel"/>
    <w:tmpl w:val="56BE29FE"/>
    <w:lvl w:ilvl="0" w:tplc="BFC6B7D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07683E1A"/>
    <w:multiLevelType w:val="multilevel"/>
    <w:tmpl w:val="6B46C0B0"/>
    <w:name w:val="zzmpMultiLevel||Multi-Level|2|4|1|1|2|0||1|0|0||1|0|0||1|0|0||1|0|0||1|0|0||1|0|0||1|0|0||1|0|0||"/>
    <w:lvl w:ilvl="0">
      <w:start w:val="1"/>
      <w:numFmt w:val="decimal"/>
      <w:pStyle w:val="MultiLevelL1"/>
      <w:lvlText w:val="%1."/>
      <w:lvlJc w:val="left"/>
      <w:pPr>
        <w:tabs>
          <w:tab w:val="num" w:pos="720"/>
        </w:tabs>
        <w:ind w:left="720" w:hanging="720"/>
      </w:pPr>
      <w:rPr>
        <w:rFonts w:ascii="Arial" w:hAnsi="Arial" w:cs="Arial"/>
        <w:b w:val="0"/>
        <w:i w:val="0"/>
        <w:caps w:val="0"/>
        <w:sz w:val="22"/>
        <w:u w:val="none"/>
      </w:rPr>
    </w:lvl>
    <w:lvl w:ilvl="1">
      <w:start w:val="1"/>
      <w:numFmt w:val="lowerLetter"/>
      <w:pStyle w:val="MultiLevelL2"/>
      <w:lvlText w:val="(%2)"/>
      <w:lvlJc w:val="left"/>
      <w:pPr>
        <w:tabs>
          <w:tab w:val="num" w:pos="1440"/>
        </w:tabs>
        <w:ind w:left="1440" w:hanging="720"/>
      </w:pPr>
      <w:rPr>
        <w:rFonts w:ascii="Arial" w:hAnsi="Arial" w:cs="Arial"/>
        <w:b w:val="0"/>
        <w:i w:val="0"/>
        <w:caps w:val="0"/>
        <w:sz w:val="22"/>
        <w:u w:val="none"/>
      </w:rPr>
    </w:lvl>
    <w:lvl w:ilvl="2">
      <w:start w:val="1"/>
      <w:numFmt w:val="lowerRoman"/>
      <w:pStyle w:val="MultiLevelL3"/>
      <w:lvlText w:val="(%3)"/>
      <w:lvlJc w:val="left"/>
      <w:pPr>
        <w:tabs>
          <w:tab w:val="num" w:pos="2160"/>
        </w:tabs>
        <w:ind w:left="2160" w:hanging="720"/>
      </w:pPr>
      <w:rPr>
        <w:rFonts w:ascii="Arial" w:hAnsi="Arial" w:cs="Arial"/>
        <w:b w:val="0"/>
        <w:i w:val="0"/>
        <w:caps w:val="0"/>
        <w:sz w:val="22"/>
        <w:u w:val="none"/>
      </w:rPr>
    </w:lvl>
    <w:lvl w:ilvl="3">
      <w:start w:val="1"/>
      <w:numFmt w:val="upperLetter"/>
      <w:pStyle w:val="MultiLevelL4"/>
      <w:lvlText w:val="(%4)"/>
      <w:lvlJc w:val="left"/>
      <w:pPr>
        <w:tabs>
          <w:tab w:val="num" w:pos="2880"/>
        </w:tabs>
        <w:ind w:left="2880" w:hanging="720"/>
      </w:pPr>
      <w:rPr>
        <w:rFonts w:ascii="Arial" w:hAnsi="Arial" w:cs="Arial"/>
        <w:b w:val="0"/>
        <w:i w:val="0"/>
        <w:caps w:val="0"/>
        <w:sz w:val="22"/>
        <w:u w:val="none"/>
      </w:rPr>
    </w:lvl>
    <w:lvl w:ilvl="4">
      <w:start w:val="1"/>
      <w:numFmt w:val="upperRoman"/>
      <w:pStyle w:val="MultiLevelL5"/>
      <w:lvlText w:val="(%5)"/>
      <w:lvlJc w:val="left"/>
      <w:pPr>
        <w:tabs>
          <w:tab w:val="num" w:pos="3600"/>
        </w:tabs>
        <w:ind w:left="3600" w:hanging="720"/>
      </w:pPr>
      <w:rPr>
        <w:rFonts w:ascii="Arial" w:hAnsi="Arial" w:cs="Arial"/>
        <w:b w:val="0"/>
        <w:i w:val="0"/>
        <w:caps w:val="0"/>
        <w:sz w:val="22"/>
        <w:u w:val="none"/>
      </w:rPr>
    </w:lvl>
    <w:lvl w:ilvl="5">
      <w:start w:val="1"/>
      <w:numFmt w:val="lowerLetter"/>
      <w:pStyle w:val="MultiLevelL6"/>
      <w:lvlText w:val="%6."/>
      <w:lvlJc w:val="left"/>
      <w:pPr>
        <w:tabs>
          <w:tab w:val="num" w:pos="4320"/>
        </w:tabs>
        <w:ind w:left="4320" w:hanging="720"/>
      </w:pPr>
      <w:rPr>
        <w:rFonts w:ascii="Arial" w:hAnsi="Arial" w:cs="Arial"/>
        <w:b w:val="0"/>
        <w:i w:val="0"/>
        <w:caps w:val="0"/>
        <w:sz w:val="22"/>
        <w:u w:val="none"/>
      </w:rPr>
    </w:lvl>
    <w:lvl w:ilvl="6">
      <w:start w:val="1"/>
      <w:numFmt w:val="lowerRoman"/>
      <w:pStyle w:val="MultiLevelL7"/>
      <w:lvlText w:val="%7."/>
      <w:lvlJc w:val="left"/>
      <w:pPr>
        <w:tabs>
          <w:tab w:val="num" w:pos="5040"/>
        </w:tabs>
        <w:ind w:left="5040" w:hanging="720"/>
      </w:pPr>
      <w:rPr>
        <w:rFonts w:ascii="Arial" w:hAnsi="Arial" w:cs="Arial"/>
        <w:b w:val="0"/>
        <w:i w:val="0"/>
        <w:caps w:val="0"/>
        <w:sz w:val="22"/>
        <w:u w:val="none"/>
      </w:rPr>
    </w:lvl>
    <w:lvl w:ilvl="7">
      <w:start w:val="1"/>
      <w:numFmt w:val="bullet"/>
      <w:lvlRestart w:val="0"/>
      <w:pStyle w:val="MultiLevelL8"/>
      <w:lvlText w:val="·"/>
      <w:lvlJc w:val="left"/>
      <w:pPr>
        <w:tabs>
          <w:tab w:val="num" w:pos="720"/>
        </w:tabs>
        <w:ind w:left="720" w:hanging="720"/>
      </w:pPr>
      <w:rPr>
        <w:rFonts w:ascii="Symbol" w:hAnsi="Symbol" w:hint="default"/>
        <w:b w:val="0"/>
        <w:i w:val="0"/>
        <w:caps w:val="0"/>
        <w:sz w:val="24"/>
        <w:u w:val="none"/>
      </w:rPr>
    </w:lvl>
    <w:lvl w:ilvl="8">
      <w:start w:val="1"/>
      <w:numFmt w:val="bullet"/>
      <w:lvlRestart w:val="0"/>
      <w:pStyle w:val="MultiLevelL9"/>
      <w:lvlText w:val="·"/>
      <w:lvlJc w:val="left"/>
      <w:pPr>
        <w:tabs>
          <w:tab w:val="num" w:pos="1440"/>
        </w:tabs>
        <w:ind w:left="1440" w:hanging="720"/>
      </w:pPr>
      <w:rPr>
        <w:rFonts w:ascii="Symbol" w:hAnsi="Symbol" w:hint="default"/>
        <w:b w:val="0"/>
        <w:i w:val="0"/>
        <w:caps w:val="0"/>
        <w:u w:val="none"/>
      </w:rPr>
    </w:lvl>
  </w:abstractNum>
  <w:abstractNum w:abstractNumId="12">
    <w:nsid w:val="09E25AB7"/>
    <w:multiLevelType w:val="hybridMultilevel"/>
    <w:tmpl w:val="0AF81E12"/>
    <w:lvl w:ilvl="0" w:tplc="FE12B0A2">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C2D4957"/>
    <w:multiLevelType w:val="hybridMultilevel"/>
    <w:tmpl w:val="20C4763E"/>
    <w:lvl w:ilvl="0" w:tplc="CE4E2FB2">
      <w:start w:val="1"/>
      <w:numFmt w:val="decimal"/>
      <w:lvlText w:val="%1."/>
      <w:lvlJc w:val="left"/>
      <w:pPr>
        <w:ind w:left="720" w:hanging="360"/>
      </w:pPr>
      <w:rPr>
        <w:rFonts w:hint="default"/>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F2117D1"/>
    <w:multiLevelType w:val="hybridMultilevel"/>
    <w:tmpl w:val="AF12BED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25049BA"/>
    <w:multiLevelType w:val="hybridMultilevel"/>
    <w:tmpl w:val="5F244F0C"/>
    <w:lvl w:ilvl="0" w:tplc="04090001">
      <w:start w:val="1"/>
      <w:numFmt w:val="bullet"/>
      <w:lvlText w:val=""/>
      <w:lvlJc w:val="left"/>
      <w:pPr>
        <w:ind w:left="1498" w:hanging="360"/>
      </w:pPr>
      <w:rPr>
        <w:rFonts w:ascii="Symbol" w:hAnsi="Symbol" w:hint="default"/>
      </w:rPr>
    </w:lvl>
    <w:lvl w:ilvl="1" w:tplc="04090003" w:tentative="1">
      <w:start w:val="1"/>
      <w:numFmt w:val="bullet"/>
      <w:lvlText w:val="o"/>
      <w:lvlJc w:val="left"/>
      <w:pPr>
        <w:ind w:left="2218" w:hanging="360"/>
      </w:pPr>
      <w:rPr>
        <w:rFonts w:ascii="Courier New" w:hAnsi="Courier New" w:cs="Courier New" w:hint="default"/>
      </w:rPr>
    </w:lvl>
    <w:lvl w:ilvl="2" w:tplc="04090005" w:tentative="1">
      <w:start w:val="1"/>
      <w:numFmt w:val="bullet"/>
      <w:lvlText w:val=""/>
      <w:lvlJc w:val="left"/>
      <w:pPr>
        <w:ind w:left="2938" w:hanging="360"/>
      </w:pPr>
      <w:rPr>
        <w:rFonts w:ascii="Wingdings" w:hAnsi="Wingdings" w:hint="default"/>
      </w:rPr>
    </w:lvl>
    <w:lvl w:ilvl="3" w:tplc="04090001" w:tentative="1">
      <w:start w:val="1"/>
      <w:numFmt w:val="bullet"/>
      <w:lvlText w:val=""/>
      <w:lvlJc w:val="left"/>
      <w:pPr>
        <w:ind w:left="3658" w:hanging="360"/>
      </w:pPr>
      <w:rPr>
        <w:rFonts w:ascii="Symbol" w:hAnsi="Symbol" w:hint="default"/>
      </w:rPr>
    </w:lvl>
    <w:lvl w:ilvl="4" w:tplc="04090003" w:tentative="1">
      <w:start w:val="1"/>
      <w:numFmt w:val="bullet"/>
      <w:lvlText w:val="o"/>
      <w:lvlJc w:val="left"/>
      <w:pPr>
        <w:ind w:left="4378" w:hanging="360"/>
      </w:pPr>
      <w:rPr>
        <w:rFonts w:ascii="Courier New" w:hAnsi="Courier New" w:cs="Courier New" w:hint="default"/>
      </w:rPr>
    </w:lvl>
    <w:lvl w:ilvl="5" w:tplc="04090005" w:tentative="1">
      <w:start w:val="1"/>
      <w:numFmt w:val="bullet"/>
      <w:lvlText w:val=""/>
      <w:lvlJc w:val="left"/>
      <w:pPr>
        <w:ind w:left="5098" w:hanging="360"/>
      </w:pPr>
      <w:rPr>
        <w:rFonts w:ascii="Wingdings" w:hAnsi="Wingdings" w:hint="default"/>
      </w:rPr>
    </w:lvl>
    <w:lvl w:ilvl="6" w:tplc="04090001" w:tentative="1">
      <w:start w:val="1"/>
      <w:numFmt w:val="bullet"/>
      <w:lvlText w:val=""/>
      <w:lvlJc w:val="left"/>
      <w:pPr>
        <w:ind w:left="5818" w:hanging="360"/>
      </w:pPr>
      <w:rPr>
        <w:rFonts w:ascii="Symbol" w:hAnsi="Symbol" w:hint="default"/>
      </w:rPr>
    </w:lvl>
    <w:lvl w:ilvl="7" w:tplc="04090003" w:tentative="1">
      <w:start w:val="1"/>
      <w:numFmt w:val="bullet"/>
      <w:lvlText w:val="o"/>
      <w:lvlJc w:val="left"/>
      <w:pPr>
        <w:ind w:left="6538" w:hanging="360"/>
      </w:pPr>
      <w:rPr>
        <w:rFonts w:ascii="Courier New" w:hAnsi="Courier New" w:cs="Courier New" w:hint="default"/>
      </w:rPr>
    </w:lvl>
    <w:lvl w:ilvl="8" w:tplc="04090005" w:tentative="1">
      <w:start w:val="1"/>
      <w:numFmt w:val="bullet"/>
      <w:lvlText w:val=""/>
      <w:lvlJc w:val="left"/>
      <w:pPr>
        <w:ind w:left="7258" w:hanging="360"/>
      </w:pPr>
      <w:rPr>
        <w:rFonts w:ascii="Wingdings" w:hAnsi="Wingdings" w:hint="default"/>
      </w:rPr>
    </w:lvl>
  </w:abstractNum>
  <w:abstractNum w:abstractNumId="16">
    <w:nsid w:val="174B41F4"/>
    <w:multiLevelType w:val="hybridMultilevel"/>
    <w:tmpl w:val="B74EC3D8"/>
    <w:lvl w:ilvl="0" w:tplc="4A004716">
      <w:start w:val="1"/>
      <w:numFmt w:val="decimal"/>
      <w:lvlText w:val="(%1)"/>
      <w:lvlJc w:val="left"/>
      <w:pPr>
        <w:ind w:left="720" w:hanging="360"/>
      </w:pPr>
      <w:rPr>
        <w:rFonts w:hint="default"/>
        <w:b w:val="0"/>
      </w:rPr>
    </w:lvl>
    <w:lvl w:ilvl="1" w:tplc="D19874D8">
      <w:start w:val="1"/>
      <w:numFmt w:val="lowerLetter"/>
      <w:lvlText w:val="%2."/>
      <w:lvlJc w:val="left"/>
      <w:pPr>
        <w:ind w:left="1440" w:hanging="360"/>
      </w:pPr>
      <w:rPr>
        <w:b/>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7D90E3D"/>
    <w:multiLevelType w:val="hybridMultilevel"/>
    <w:tmpl w:val="BC603092"/>
    <w:lvl w:ilvl="0" w:tplc="C924EC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7FD6829"/>
    <w:multiLevelType w:val="hybridMultilevel"/>
    <w:tmpl w:val="0AF81E12"/>
    <w:lvl w:ilvl="0" w:tplc="FE12B0A2">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E7C35C2"/>
    <w:multiLevelType w:val="hybridMultilevel"/>
    <w:tmpl w:val="0AF81E12"/>
    <w:lvl w:ilvl="0" w:tplc="FE12B0A2">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28B5DCB"/>
    <w:multiLevelType w:val="hybridMultilevel"/>
    <w:tmpl w:val="EE8296A6"/>
    <w:lvl w:ilvl="0" w:tplc="F1E45B72">
      <w:start w:val="1"/>
      <w:numFmt w:val="decimal"/>
      <w:lvlText w:val="(%1)"/>
      <w:lvlJc w:val="left"/>
      <w:pPr>
        <w:ind w:left="720" w:hanging="360"/>
      </w:pPr>
      <w:rPr>
        <w:rFonts w:hint="default"/>
        <w:b/>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F55081E"/>
    <w:multiLevelType w:val="hybridMultilevel"/>
    <w:tmpl w:val="7F80F7D0"/>
    <w:lvl w:ilvl="0" w:tplc="73F85F8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FF21E95"/>
    <w:multiLevelType w:val="hybridMultilevel"/>
    <w:tmpl w:val="EFB4912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31803629"/>
    <w:multiLevelType w:val="hybridMultilevel"/>
    <w:tmpl w:val="F11A1AD2"/>
    <w:lvl w:ilvl="0" w:tplc="73F85F8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57F0D13"/>
    <w:multiLevelType w:val="hybridMultilevel"/>
    <w:tmpl w:val="8AFC4DF0"/>
    <w:lvl w:ilvl="0" w:tplc="678028E6">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40134EE9"/>
    <w:multiLevelType w:val="hybridMultilevel"/>
    <w:tmpl w:val="A06E3630"/>
    <w:lvl w:ilvl="0" w:tplc="B68EE4B6">
      <w:numFmt w:val="bullet"/>
      <w:lvlText w:val="-"/>
      <w:lvlJc w:val="left"/>
      <w:pPr>
        <w:ind w:left="420" w:hanging="360"/>
      </w:pPr>
      <w:rPr>
        <w:rFonts w:ascii="Times New Roman" w:eastAsiaTheme="minorHAnsi" w:hAnsi="Times New Roman" w:cs="Times New Roman" w:hint="default"/>
      </w:rPr>
    </w:lvl>
    <w:lvl w:ilvl="1" w:tplc="04090003">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6">
    <w:nsid w:val="41AF0EE7"/>
    <w:multiLevelType w:val="hybridMultilevel"/>
    <w:tmpl w:val="0AF81E12"/>
    <w:lvl w:ilvl="0" w:tplc="FE12B0A2">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21610B5"/>
    <w:multiLevelType w:val="hybridMultilevel"/>
    <w:tmpl w:val="E34A491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21C72E4"/>
    <w:multiLevelType w:val="hybridMultilevel"/>
    <w:tmpl w:val="AA88D70A"/>
    <w:lvl w:ilvl="0" w:tplc="FE12B0A2">
      <w:start w:val="1"/>
      <w:numFmt w:val="decimal"/>
      <w:lvlText w:val="(%1)"/>
      <w:lvlJc w:val="left"/>
      <w:pPr>
        <w:ind w:left="720" w:hanging="360"/>
      </w:pPr>
      <w:rPr>
        <w:rFonts w:hint="default"/>
        <w:b/>
      </w:rPr>
    </w:lvl>
    <w:lvl w:ilvl="1" w:tplc="4A842B6C">
      <w:start w:val="1"/>
      <w:numFmt w:val="lowerLetter"/>
      <w:lvlText w:val="%2."/>
      <w:lvlJc w:val="left"/>
      <w:pPr>
        <w:ind w:left="1440" w:hanging="360"/>
      </w:pPr>
      <w:rPr>
        <w:b w:val="0"/>
      </w:rPr>
    </w:lvl>
    <w:lvl w:ilvl="2" w:tplc="20EEB1BC">
      <w:start w:val="1"/>
      <w:numFmt w:val="lowerRoman"/>
      <w:lvlText w:val="%3."/>
      <w:lvlJc w:val="right"/>
      <w:pPr>
        <w:ind w:left="2160" w:hanging="180"/>
      </w:pPr>
      <w:rPr>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7222992"/>
    <w:multiLevelType w:val="hybridMultilevel"/>
    <w:tmpl w:val="0AF81E12"/>
    <w:lvl w:ilvl="0" w:tplc="FE12B0A2">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73A4F5D"/>
    <w:multiLevelType w:val="hybridMultilevel"/>
    <w:tmpl w:val="7F80F7D0"/>
    <w:lvl w:ilvl="0" w:tplc="73F85F8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F0D6A67"/>
    <w:multiLevelType w:val="hybridMultilevel"/>
    <w:tmpl w:val="2E9ED122"/>
    <w:lvl w:ilvl="0" w:tplc="7EDE986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58464CB6"/>
    <w:multiLevelType w:val="hybridMultilevel"/>
    <w:tmpl w:val="324AC8D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B186FE4"/>
    <w:multiLevelType w:val="hybridMultilevel"/>
    <w:tmpl w:val="F9AE18C2"/>
    <w:lvl w:ilvl="0" w:tplc="15F6F0A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27E3CD3"/>
    <w:multiLevelType w:val="hybridMultilevel"/>
    <w:tmpl w:val="AAFCF180"/>
    <w:lvl w:ilvl="0" w:tplc="6DF27ECA">
      <w:start w:val="1"/>
      <w:numFmt w:val="lowerLetter"/>
      <w:lvlText w:val="(%1)"/>
      <w:lvlJc w:val="left"/>
      <w:pPr>
        <w:ind w:left="1080" w:hanging="360"/>
      </w:pPr>
      <w:rPr>
        <w:rFonts w:cstheme="minorBidi"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66CF71FE"/>
    <w:multiLevelType w:val="hybridMultilevel"/>
    <w:tmpl w:val="0AF81E12"/>
    <w:lvl w:ilvl="0" w:tplc="FE12B0A2">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C635C86"/>
    <w:multiLevelType w:val="hybridMultilevel"/>
    <w:tmpl w:val="F11A1AD2"/>
    <w:lvl w:ilvl="0" w:tplc="73F85F8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F1016D2"/>
    <w:multiLevelType w:val="hybridMultilevel"/>
    <w:tmpl w:val="3CA4DACA"/>
    <w:lvl w:ilvl="0" w:tplc="FAA2D31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0A24CC3"/>
    <w:multiLevelType w:val="multilevel"/>
    <w:tmpl w:val="B15CC7E2"/>
    <w:name w:val="zzmpStandard||Standard|2|3|1|1|0|32||1|0|32||1|0|32||1|0|32||1|0|32||1|0|32||1|0|32||1|0|32||1|0|32||"/>
    <w:lvl w:ilvl="0">
      <w:start w:val="1"/>
      <w:numFmt w:val="decimal"/>
      <w:pStyle w:val="StandardL1"/>
      <w:lvlText w:val="%1."/>
      <w:lvlJc w:val="left"/>
      <w:pPr>
        <w:tabs>
          <w:tab w:val="num" w:pos="720"/>
        </w:tabs>
        <w:ind w:left="720" w:hanging="720"/>
      </w:pPr>
      <w:rPr>
        <w:b w:val="0"/>
        <w:i w:val="0"/>
        <w:caps w:val="0"/>
        <w:u w:val="none"/>
      </w:rPr>
    </w:lvl>
    <w:lvl w:ilvl="1">
      <w:start w:val="1"/>
      <w:numFmt w:val="lowerLetter"/>
      <w:pStyle w:val="StandardL2"/>
      <w:lvlText w:val="(%2)"/>
      <w:lvlJc w:val="left"/>
      <w:pPr>
        <w:tabs>
          <w:tab w:val="num" w:pos="1440"/>
        </w:tabs>
        <w:ind w:left="1440" w:hanging="72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StandardL3"/>
      <w:lvlText w:val="(%3)"/>
      <w:lvlJc w:val="left"/>
      <w:pPr>
        <w:tabs>
          <w:tab w:val="num" w:pos="2160"/>
        </w:tabs>
        <w:ind w:left="2160" w:hanging="72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pStyle w:val="StandardL4"/>
      <w:lvlText w:val="(%4)"/>
      <w:lvlJc w:val="left"/>
      <w:pPr>
        <w:tabs>
          <w:tab w:val="num" w:pos="2880"/>
        </w:tabs>
        <w:ind w:left="2880" w:hanging="72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StandardL5"/>
      <w:lvlText w:val="(%5)"/>
      <w:lvlJc w:val="left"/>
      <w:pPr>
        <w:tabs>
          <w:tab w:val="num" w:pos="3600"/>
        </w:tabs>
        <w:ind w:left="3600" w:hanging="72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pStyle w:val="StandardL6"/>
      <w:lvlText w:val="%6."/>
      <w:lvlJc w:val="left"/>
      <w:pPr>
        <w:tabs>
          <w:tab w:val="num" w:pos="4320"/>
        </w:tabs>
        <w:ind w:left="4320" w:hanging="72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upperRoman"/>
      <w:pStyle w:val="StandardL7"/>
      <w:lvlText w:val="%7."/>
      <w:lvlJc w:val="left"/>
      <w:pPr>
        <w:tabs>
          <w:tab w:val="num" w:pos="5040"/>
        </w:tabs>
        <w:ind w:left="5040" w:hanging="72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pStyle w:val="StandardL8"/>
      <w:lvlText w:val="%8)"/>
      <w:lvlJc w:val="left"/>
      <w:pPr>
        <w:tabs>
          <w:tab w:val="num" w:pos="5760"/>
        </w:tabs>
        <w:ind w:left="5760" w:hanging="72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pStyle w:val="StandardL9"/>
      <w:lvlText w:val="%9)"/>
      <w:lvlJc w:val="left"/>
      <w:pPr>
        <w:tabs>
          <w:tab w:val="num" w:pos="6480"/>
        </w:tabs>
        <w:ind w:left="6480" w:hanging="72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9">
    <w:nsid w:val="74897577"/>
    <w:multiLevelType w:val="hybridMultilevel"/>
    <w:tmpl w:val="39B087E2"/>
    <w:lvl w:ilvl="0" w:tplc="10090001">
      <w:start w:val="1"/>
      <w:numFmt w:val="bullet"/>
      <w:lvlText w:val=""/>
      <w:lvlJc w:val="left"/>
      <w:pPr>
        <w:ind w:left="720" w:hanging="360"/>
      </w:pPr>
      <w:rPr>
        <w:rFonts w:ascii="Symbol" w:hAnsi="Symbol" w:hint="default"/>
      </w:rPr>
    </w:lvl>
    <w:lvl w:ilvl="1" w:tplc="654EE7B4">
      <w:start w:val="1"/>
      <w:numFmt w:val="lowerLetter"/>
      <w:lvlText w:val="%2."/>
      <w:lvlJc w:val="left"/>
      <w:pPr>
        <w:ind w:left="1440" w:hanging="360"/>
      </w:pPr>
    </w:lvl>
    <w:lvl w:ilvl="2" w:tplc="9D287AD2">
      <w:start w:val="1"/>
      <w:numFmt w:val="lowerRoman"/>
      <w:lvlText w:val="%3."/>
      <w:lvlJc w:val="right"/>
      <w:pPr>
        <w:ind w:left="2160" w:hanging="180"/>
      </w:pPr>
    </w:lvl>
    <w:lvl w:ilvl="3" w:tplc="2DACA9E2" w:tentative="1">
      <w:start w:val="1"/>
      <w:numFmt w:val="decimal"/>
      <w:lvlText w:val="%4."/>
      <w:lvlJc w:val="left"/>
      <w:pPr>
        <w:ind w:left="2880" w:hanging="360"/>
      </w:pPr>
    </w:lvl>
    <w:lvl w:ilvl="4" w:tplc="C3D0BAB0" w:tentative="1">
      <w:start w:val="1"/>
      <w:numFmt w:val="lowerLetter"/>
      <w:lvlText w:val="%5."/>
      <w:lvlJc w:val="left"/>
      <w:pPr>
        <w:ind w:left="3600" w:hanging="360"/>
      </w:pPr>
    </w:lvl>
    <w:lvl w:ilvl="5" w:tplc="8C5ABE10" w:tentative="1">
      <w:start w:val="1"/>
      <w:numFmt w:val="lowerRoman"/>
      <w:lvlText w:val="%6."/>
      <w:lvlJc w:val="right"/>
      <w:pPr>
        <w:ind w:left="4320" w:hanging="180"/>
      </w:pPr>
    </w:lvl>
    <w:lvl w:ilvl="6" w:tplc="0CE88AE0" w:tentative="1">
      <w:start w:val="1"/>
      <w:numFmt w:val="decimal"/>
      <w:lvlText w:val="%7."/>
      <w:lvlJc w:val="left"/>
      <w:pPr>
        <w:ind w:left="5040" w:hanging="360"/>
      </w:pPr>
    </w:lvl>
    <w:lvl w:ilvl="7" w:tplc="4D4A8B68" w:tentative="1">
      <w:start w:val="1"/>
      <w:numFmt w:val="lowerLetter"/>
      <w:lvlText w:val="%8."/>
      <w:lvlJc w:val="left"/>
      <w:pPr>
        <w:ind w:left="5760" w:hanging="360"/>
      </w:pPr>
    </w:lvl>
    <w:lvl w:ilvl="8" w:tplc="8CDA182A" w:tentative="1">
      <w:start w:val="1"/>
      <w:numFmt w:val="lowerRoman"/>
      <w:lvlText w:val="%9."/>
      <w:lvlJc w:val="right"/>
      <w:pPr>
        <w:ind w:left="6480" w:hanging="180"/>
      </w:pPr>
    </w:lvl>
  </w:abstractNum>
  <w:abstractNum w:abstractNumId="40">
    <w:nsid w:val="75877AF9"/>
    <w:multiLevelType w:val="hybridMultilevel"/>
    <w:tmpl w:val="0E0AEAFC"/>
    <w:lvl w:ilvl="0" w:tplc="FE12B0A2">
      <w:start w:val="1"/>
      <w:numFmt w:val="decimal"/>
      <w:lvlText w:val="(%1)"/>
      <w:lvlJc w:val="left"/>
      <w:pPr>
        <w:ind w:left="720" w:hanging="360"/>
      </w:pPr>
      <w:rPr>
        <w:rFonts w:hint="default"/>
        <w:b/>
      </w:rPr>
    </w:lvl>
    <w:lvl w:ilvl="1" w:tplc="4A842B6C">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B6F2F9A"/>
    <w:multiLevelType w:val="hybridMultilevel"/>
    <w:tmpl w:val="BC603092"/>
    <w:lvl w:ilvl="0" w:tplc="C924EC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37"/>
  </w:num>
  <w:num w:numId="12">
    <w:abstractNumId w:val="16"/>
  </w:num>
  <w:num w:numId="13">
    <w:abstractNumId w:val="36"/>
  </w:num>
  <w:num w:numId="14">
    <w:abstractNumId w:val="23"/>
  </w:num>
  <w:num w:numId="15">
    <w:abstractNumId w:val="21"/>
  </w:num>
  <w:num w:numId="16">
    <w:abstractNumId w:val="33"/>
  </w:num>
  <w:num w:numId="17">
    <w:abstractNumId w:val="26"/>
  </w:num>
  <w:num w:numId="18">
    <w:abstractNumId w:val="14"/>
  </w:num>
  <w:num w:numId="19">
    <w:abstractNumId w:val="31"/>
  </w:num>
  <w:num w:numId="20">
    <w:abstractNumId w:val="19"/>
  </w:num>
  <w:num w:numId="21">
    <w:abstractNumId w:val="13"/>
  </w:num>
  <w:num w:numId="22">
    <w:abstractNumId w:val="41"/>
  </w:num>
  <w:num w:numId="23">
    <w:abstractNumId w:val="10"/>
  </w:num>
  <w:num w:numId="24">
    <w:abstractNumId w:val="17"/>
  </w:num>
  <w:num w:numId="25">
    <w:abstractNumId w:val="27"/>
  </w:num>
  <w:num w:numId="26">
    <w:abstractNumId w:val="24"/>
  </w:num>
  <w:num w:numId="27">
    <w:abstractNumId w:val="25"/>
  </w:num>
  <w:num w:numId="28">
    <w:abstractNumId w:val="30"/>
  </w:num>
  <w:num w:numId="29">
    <w:abstractNumId w:val="20"/>
  </w:num>
  <w:num w:numId="30">
    <w:abstractNumId w:val="35"/>
  </w:num>
  <w:num w:numId="31">
    <w:abstractNumId w:val="29"/>
  </w:num>
  <w:num w:numId="32">
    <w:abstractNumId w:val="40"/>
  </w:num>
  <w:num w:numId="33">
    <w:abstractNumId w:val="28"/>
  </w:num>
  <w:num w:numId="34">
    <w:abstractNumId w:val="32"/>
  </w:num>
  <w:num w:numId="35">
    <w:abstractNumId w:val="22"/>
  </w:num>
  <w:num w:numId="36">
    <w:abstractNumId w:val="15"/>
  </w:num>
  <w:num w:numId="37">
    <w:abstractNumId w:val="22"/>
  </w:num>
  <w:num w:numId="38">
    <w:abstractNumId w:val="15"/>
  </w:num>
  <w:num w:numId="39">
    <w:abstractNumId w:val="18"/>
  </w:num>
  <w:num w:numId="40">
    <w:abstractNumId w:val="11"/>
  </w:num>
  <w:num w:numId="41">
    <w:abstractNumId w:val="12"/>
  </w:num>
  <w:num w:numId="42">
    <w:abstractNumId w:val="34"/>
  </w:num>
  <w:num w:numId="43">
    <w:abstractNumId w:val="38"/>
  </w:num>
  <w:num w:numId="44">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defaultTabStop w:val="720"/>
  <w:characterSpacingControl w:val="doNotCompress"/>
  <w:hdrShapeDefaults>
    <o:shapedefaults v:ext="edit" spidmax="4710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6640"/>
    <w:rsid w:val="00002876"/>
    <w:rsid w:val="00002E5F"/>
    <w:rsid w:val="00003654"/>
    <w:rsid w:val="00003C18"/>
    <w:rsid w:val="000061B4"/>
    <w:rsid w:val="0001096A"/>
    <w:rsid w:val="00010999"/>
    <w:rsid w:val="000115A0"/>
    <w:rsid w:val="000126B3"/>
    <w:rsid w:val="00012E4B"/>
    <w:rsid w:val="000133D8"/>
    <w:rsid w:val="00014ADD"/>
    <w:rsid w:val="00016342"/>
    <w:rsid w:val="00016CEF"/>
    <w:rsid w:val="000171B3"/>
    <w:rsid w:val="00017E37"/>
    <w:rsid w:val="000216FD"/>
    <w:rsid w:val="000312C4"/>
    <w:rsid w:val="000322D6"/>
    <w:rsid w:val="00034D83"/>
    <w:rsid w:val="00035B13"/>
    <w:rsid w:val="0003653D"/>
    <w:rsid w:val="00040AD6"/>
    <w:rsid w:val="0004365C"/>
    <w:rsid w:val="00044D21"/>
    <w:rsid w:val="00046CA2"/>
    <w:rsid w:val="00051F5C"/>
    <w:rsid w:val="000537E8"/>
    <w:rsid w:val="00054413"/>
    <w:rsid w:val="00054982"/>
    <w:rsid w:val="000553E0"/>
    <w:rsid w:val="0006120D"/>
    <w:rsid w:val="000613D0"/>
    <w:rsid w:val="000615C9"/>
    <w:rsid w:val="000620A0"/>
    <w:rsid w:val="000643E0"/>
    <w:rsid w:val="00064E94"/>
    <w:rsid w:val="000674D6"/>
    <w:rsid w:val="0007336F"/>
    <w:rsid w:val="00074A82"/>
    <w:rsid w:val="00075280"/>
    <w:rsid w:val="00076148"/>
    <w:rsid w:val="00076E5D"/>
    <w:rsid w:val="00080E5A"/>
    <w:rsid w:val="000904DF"/>
    <w:rsid w:val="00090592"/>
    <w:rsid w:val="0009407B"/>
    <w:rsid w:val="000970B9"/>
    <w:rsid w:val="0009769D"/>
    <w:rsid w:val="00097FCF"/>
    <w:rsid w:val="000A3752"/>
    <w:rsid w:val="000A59C7"/>
    <w:rsid w:val="000B03A8"/>
    <w:rsid w:val="000B2C4B"/>
    <w:rsid w:val="000B38CE"/>
    <w:rsid w:val="000B5593"/>
    <w:rsid w:val="000B6363"/>
    <w:rsid w:val="000B77BA"/>
    <w:rsid w:val="000C16C2"/>
    <w:rsid w:val="000C4D0A"/>
    <w:rsid w:val="000D1920"/>
    <w:rsid w:val="000D298E"/>
    <w:rsid w:val="000D51A6"/>
    <w:rsid w:val="000D6BBC"/>
    <w:rsid w:val="000D6CCF"/>
    <w:rsid w:val="000E39FA"/>
    <w:rsid w:val="000F11BC"/>
    <w:rsid w:val="000F2516"/>
    <w:rsid w:val="000F298A"/>
    <w:rsid w:val="000F3ED8"/>
    <w:rsid w:val="000F54D0"/>
    <w:rsid w:val="000F7EDD"/>
    <w:rsid w:val="00101107"/>
    <w:rsid w:val="00101BC3"/>
    <w:rsid w:val="001024A1"/>
    <w:rsid w:val="00102C19"/>
    <w:rsid w:val="001030F3"/>
    <w:rsid w:val="0012063F"/>
    <w:rsid w:val="00122A56"/>
    <w:rsid w:val="00123291"/>
    <w:rsid w:val="00123FD7"/>
    <w:rsid w:val="00124F56"/>
    <w:rsid w:val="00125A0C"/>
    <w:rsid w:val="0013427B"/>
    <w:rsid w:val="00134DFC"/>
    <w:rsid w:val="00134E80"/>
    <w:rsid w:val="00140653"/>
    <w:rsid w:val="0014330E"/>
    <w:rsid w:val="00150F3F"/>
    <w:rsid w:val="00151C91"/>
    <w:rsid w:val="00151CFF"/>
    <w:rsid w:val="00151F66"/>
    <w:rsid w:val="001540E7"/>
    <w:rsid w:val="00156F0E"/>
    <w:rsid w:val="00157B85"/>
    <w:rsid w:val="0016414D"/>
    <w:rsid w:val="00164EFE"/>
    <w:rsid w:val="00166F4B"/>
    <w:rsid w:val="0017004F"/>
    <w:rsid w:val="001728EE"/>
    <w:rsid w:val="00172FAF"/>
    <w:rsid w:val="00174399"/>
    <w:rsid w:val="00176ADB"/>
    <w:rsid w:val="001806E8"/>
    <w:rsid w:val="001812CA"/>
    <w:rsid w:val="00183B40"/>
    <w:rsid w:val="00185C2F"/>
    <w:rsid w:val="00185D2A"/>
    <w:rsid w:val="00186680"/>
    <w:rsid w:val="001922B5"/>
    <w:rsid w:val="0019284B"/>
    <w:rsid w:val="001967C3"/>
    <w:rsid w:val="001A15E6"/>
    <w:rsid w:val="001A22A7"/>
    <w:rsid w:val="001A36FA"/>
    <w:rsid w:val="001A38D9"/>
    <w:rsid w:val="001A5C8D"/>
    <w:rsid w:val="001B015E"/>
    <w:rsid w:val="001B025F"/>
    <w:rsid w:val="001B35AE"/>
    <w:rsid w:val="001B4DDA"/>
    <w:rsid w:val="001B5F7C"/>
    <w:rsid w:val="001C2029"/>
    <w:rsid w:val="001D013B"/>
    <w:rsid w:val="001D227D"/>
    <w:rsid w:val="001D3CBE"/>
    <w:rsid w:val="001D3E89"/>
    <w:rsid w:val="001D3E8A"/>
    <w:rsid w:val="001E30FA"/>
    <w:rsid w:val="001E4067"/>
    <w:rsid w:val="001E4238"/>
    <w:rsid w:val="001F4BB7"/>
    <w:rsid w:val="001F6B10"/>
    <w:rsid w:val="001F7F21"/>
    <w:rsid w:val="0020125D"/>
    <w:rsid w:val="00211060"/>
    <w:rsid w:val="00214490"/>
    <w:rsid w:val="002155EB"/>
    <w:rsid w:val="00217EA4"/>
    <w:rsid w:val="00222FF2"/>
    <w:rsid w:val="00225F2E"/>
    <w:rsid w:val="00226D60"/>
    <w:rsid w:val="002278FE"/>
    <w:rsid w:val="0023026E"/>
    <w:rsid w:val="0023187E"/>
    <w:rsid w:val="00233CE8"/>
    <w:rsid w:val="00234AB6"/>
    <w:rsid w:val="00242285"/>
    <w:rsid w:val="002437F8"/>
    <w:rsid w:val="00243D9F"/>
    <w:rsid w:val="00243FAB"/>
    <w:rsid w:val="002462AF"/>
    <w:rsid w:val="00247A35"/>
    <w:rsid w:val="0025208D"/>
    <w:rsid w:val="00252682"/>
    <w:rsid w:val="00254576"/>
    <w:rsid w:val="00255146"/>
    <w:rsid w:val="002604F2"/>
    <w:rsid w:val="00261798"/>
    <w:rsid w:val="002623EB"/>
    <w:rsid w:val="00262875"/>
    <w:rsid w:val="00263955"/>
    <w:rsid w:val="00272BA7"/>
    <w:rsid w:val="002766FB"/>
    <w:rsid w:val="002831DD"/>
    <w:rsid w:val="00286820"/>
    <w:rsid w:val="0029077A"/>
    <w:rsid w:val="00293101"/>
    <w:rsid w:val="00293E9A"/>
    <w:rsid w:val="00294999"/>
    <w:rsid w:val="00294F38"/>
    <w:rsid w:val="00296FEA"/>
    <w:rsid w:val="002A110B"/>
    <w:rsid w:val="002B3602"/>
    <w:rsid w:val="002B6AE3"/>
    <w:rsid w:val="002B6D72"/>
    <w:rsid w:val="002B7392"/>
    <w:rsid w:val="002C0639"/>
    <w:rsid w:val="002C20AA"/>
    <w:rsid w:val="002C37E2"/>
    <w:rsid w:val="002C4A59"/>
    <w:rsid w:val="002C517B"/>
    <w:rsid w:val="002C596E"/>
    <w:rsid w:val="002C5F63"/>
    <w:rsid w:val="002C73DC"/>
    <w:rsid w:val="002D0073"/>
    <w:rsid w:val="002D483C"/>
    <w:rsid w:val="002D718D"/>
    <w:rsid w:val="002E47F6"/>
    <w:rsid w:val="002E4BD3"/>
    <w:rsid w:val="002E53D4"/>
    <w:rsid w:val="002F16AD"/>
    <w:rsid w:val="002F4678"/>
    <w:rsid w:val="002F4F28"/>
    <w:rsid w:val="003008EA"/>
    <w:rsid w:val="00303CD5"/>
    <w:rsid w:val="00305389"/>
    <w:rsid w:val="00305C80"/>
    <w:rsid w:val="003146E7"/>
    <w:rsid w:val="003200D6"/>
    <w:rsid w:val="00325444"/>
    <w:rsid w:val="00332C38"/>
    <w:rsid w:val="0035004B"/>
    <w:rsid w:val="00354677"/>
    <w:rsid w:val="00357507"/>
    <w:rsid w:val="003608B0"/>
    <w:rsid w:val="003610C9"/>
    <w:rsid w:val="00370EE9"/>
    <w:rsid w:val="00372458"/>
    <w:rsid w:val="00373DF6"/>
    <w:rsid w:val="003742FC"/>
    <w:rsid w:val="0037480D"/>
    <w:rsid w:val="00376341"/>
    <w:rsid w:val="003805B5"/>
    <w:rsid w:val="003822E6"/>
    <w:rsid w:val="00390BDF"/>
    <w:rsid w:val="00390C21"/>
    <w:rsid w:val="00390C70"/>
    <w:rsid w:val="003A2A1C"/>
    <w:rsid w:val="003A3DDC"/>
    <w:rsid w:val="003A5CD5"/>
    <w:rsid w:val="003A6ED0"/>
    <w:rsid w:val="003A7C01"/>
    <w:rsid w:val="003B074F"/>
    <w:rsid w:val="003B268B"/>
    <w:rsid w:val="003B653B"/>
    <w:rsid w:val="003C05BE"/>
    <w:rsid w:val="003C76C8"/>
    <w:rsid w:val="003D708F"/>
    <w:rsid w:val="003E0215"/>
    <w:rsid w:val="003E35B2"/>
    <w:rsid w:val="003E4F99"/>
    <w:rsid w:val="003F173B"/>
    <w:rsid w:val="003F5699"/>
    <w:rsid w:val="003F61ED"/>
    <w:rsid w:val="003F7BFE"/>
    <w:rsid w:val="00400446"/>
    <w:rsid w:val="0040471F"/>
    <w:rsid w:val="00405A34"/>
    <w:rsid w:val="00405EBC"/>
    <w:rsid w:val="0041137B"/>
    <w:rsid w:val="00411787"/>
    <w:rsid w:val="00412662"/>
    <w:rsid w:val="00415F25"/>
    <w:rsid w:val="004201F3"/>
    <w:rsid w:val="004205A3"/>
    <w:rsid w:val="00420AF9"/>
    <w:rsid w:val="00422971"/>
    <w:rsid w:val="00423D19"/>
    <w:rsid w:val="00424850"/>
    <w:rsid w:val="004249E5"/>
    <w:rsid w:val="00424E5C"/>
    <w:rsid w:val="004267A7"/>
    <w:rsid w:val="00427671"/>
    <w:rsid w:val="00430CB5"/>
    <w:rsid w:val="00447598"/>
    <w:rsid w:val="0045020D"/>
    <w:rsid w:val="0045358A"/>
    <w:rsid w:val="004539E4"/>
    <w:rsid w:val="00453CD5"/>
    <w:rsid w:val="0045488F"/>
    <w:rsid w:val="00454962"/>
    <w:rsid w:val="00457448"/>
    <w:rsid w:val="00457F34"/>
    <w:rsid w:val="00461441"/>
    <w:rsid w:val="00463870"/>
    <w:rsid w:val="00470F3D"/>
    <w:rsid w:val="00471AD9"/>
    <w:rsid w:val="004731C4"/>
    <w:rsid w:val="004739C0"/>
    <w:rsid w:val="00475DEA"/>
    <w:rsid w:val="00482A79"/>
    <w:rsid w:val="00483D2B"/>
    <w:rsid w:val="0048541C"/>
    <w:rsid w:val="0048798B"/>
    <w:rsid w:val="00490E27"/>
    <w:rsid w:val="00492CFE"/>
    <w:rsid w:val="0049698B"/>
    <w:rsid w:val="004A103B"/>
    <w:rsid w:val="004A2386"/>
    <w:rsid w:val="004A495A"/>
    <w:rsid w:val="004A6595"/>
    <w:rsid w:val="004B1D8D"/>
    <w:rsid w:val="004B2FA6"/>
    <w:rsid w:val="004B418A"/>
    <w:rsid w:val="004B5ACB"/>
    <w:rsid w:val="004B7935"/>
    <w:rsid w:val="004C0F6E"/>
    <w:rsid w:val="004C1CAF"/>
    <w:rsid w:val="004C4D48"/>
    <w:rsid w:val="004C5C2D"/>
    <w:rsid w:val="004D06F1"/>
    <w:rsid w:val="004D0AE3"/>
    <w:rsid w:val="004D6A7D"/>
    <w:rsid w:val="004D7A4E"/>
    <w:rsid w:val="004E4577"/>
    <w:rsid w:val="004E5651"/>
    <w:rsid w:val="004F4CB3"/>
    <w:rsid w:val="004F547A"/>
    <w:rsid w:val="004F6074"/>
    <w:rsid w:val="00504607"/>
    <w:rsid w:val="00511968"/>
    <w:rsid w:val="00513AF2"/>
    <w:rsid w:val="00517206"/>
    <w:rsid w:val="0052035B"/>
    <w:rsid w:val="005206A7"/>
    <w:rsid w:val="005271CE"/>
    <w:rsid w:val="00527E72"/>
    <w:rsid w:val="00530018"/>
    <w:rsid w:val="00530A68"/>
    <w:rsid w:val="00530ABD"/>
    <w:rsid w:val="00530E16"/>
    <w:rsid w:val="00537EF9"/>
    <w:rsid w:val="005418F4"/>
    <w:rsid w:val="005423CC"/>
    <w:rsid w:val="00544333"/>
    <w:rsid w:val="00554DA2"/>
    <w:rsid w:val="005557B6"/>
    <w:rsid w:val="005566BF"/>
    <w:rsid w:val="00556EE8"/>
    <w:rsid w:val="00560586"/>
    <w:rsid w:val="00563721"/>
    <w:rsid w:val="005660B8"/>
    <w:rsid w:val="00570FD1"/>
    <w:rsid w:val="00571E9E"/>
    <w:rsid w:val="005737F0"/>
    <w:rsid w:val="00574463"/>
    <w:rsid w:val="005755FA"/>
    <w:rsid w:val="00585CC8"/>
    <w:rsid w:val="0059341D"/>
    <w:rsid w:val="00593610"/>
    <w:rsid w:val="0059465B"/>
    <w:rsid w:val="005A0645"/>
    <w:rsid w:val="005A5DC3"/>
    <w:rsid w:val="005A686E"/>
    <w:rsid w:val="005B0744"/>
    <w:rsid w:val="005B2E57"/>
    <w:rsid w:val="005B3B09"/>
    <w:rsid w:val="005B438F"/>
    <w:rsid w:val="005B622B"/>
    <w:rsid w:val="005C1CD9"/>
    <w:rsid w:val="005C6718"/>
    <w:rsid w:val="005D108D"/>
    <w:rsid w:val="005D437A"/>
    <w:rsid w:val="005D5038"/>
    <w:rsid w:val="005E3D48"/>
    <w:rsid w:val="005E60D2"/>
    <w:rsid w:val="005E630C"/>
    <w:rsid w:val="005E67C7"/>
    <w:rsid w:val="005E78ED"/>
    <w:rsid w:val="005F1E7F"/>
    <w:rsid w:val="005F433A"/>
    <w:rsid w:val="005F4EDE"/>
    <w:rsid w:val="005F505E"/>
    <w:rsid w:val="005F638D"/>
    <w:rsid w:val="005F7C3C"/>
    <w:rsid w:val="00601025"/>
    <w:rsid w:val="00601964"/>
    <w:rsid w:val="006033F4"/>
    <w:rsid w:val="00604E5E"/>
    <w:rsid w:val="00605B34"/>
    <w:rsid w:val="00606A26"/>
    <w:rsid w:val="006079BE"/>
    <w:rsid w:val="006110CE"/>
    <w:rsid w:val="00611977"/>
    <w:rsid w:val="006162B4"/>
    <w:rsid w:val="00616CE6"/>
    <w:rsid w:val="00620A5F"/>
    <w:rsid w:val="006212D1"/>
    <w:rsid w:val="00621F72"/>
    <w:rsid w:val="00622B4E"/>
    <w:rsid w:val="0062474D"/>
    <w:rsid w:val="006248C1"/>
    <w:rsid w:val="006252C3"/>
    <w:rsid w:val="006276DE"/>
    <w:rsid w:val="0062771E"/>
    <w:rsid w:val="00631E36"/>
    <w:rsid w:val="00631FD7"/>
    <w:rsid w:val="00634662"/>
    <w:rsid w:val="006369AD"/>
    <w:rsid w:val="006373E0"/>
    <w:rsid w:val="006455F7"/>
    <w:rsid w:val="00645771"/>
    <w:rsid w:val="00650FDF"/>
    <w:rsid w:val="00651451"/>
    <w:rsid w:val="006542BB"/>
    <w:rsid w:val="006547C4"/>
    <w:rsid w:val="00655177"/>
    <w:rsid w:val="00660ACA"/>
    <w:rsid w:val="00661D58"/>
    <w:rsid w:val="00664C98"/>
    <w:rsid w:val="00666EC4"/>
    <w:rsid w:val="006721AB"/>
    <w:rsid w:val="00674C38"/>
    <w:rsid w:val="006751BD"/>
    <w:rsid w:val="0067555B"/>
    <w:rsid w:val="006821FC"/>
    <w:rsid w:val="00687E35"/>
    <w:rsid w:val="00693E3E"/>
    <w:rsid w:val="006953C7"/>
    <w:rsid w:val="00696A27"/>
    <w:rsid w:val="006A0A54"/>
    <w:rsid w:val="006A1132"/>
    <w:rsid w:val="006A1B09"/>
    <w:rsid w:val="006A48B2"/>
    <w:rsid w:val="006A6594"/>
    <w:rsid w:val="006A70E1"/>
    <w:rsid w:val="006B0A9E"/>
    <w:rsid w:val="006B0DA1"/>
    <w:rsid w:val="006B2523"/>
    <w:rsid w:val="006B64CD"/>
    <w:rsid w:val="006C1955"/>
    <w:rsid w:val="006C3405"/>
    <w:rsid w:val="006C6113"/>
    <w:rsid w:val="006C697D"/>
    <w:rsid w:val="006D24B4"/>
    <w:rsid w:val="006D59DD"/>
    <w:rsid w:val="006E0A62"/>
    <w:rsid w:val="006E5EC9"/>
    <w:rsid w:val="006E6042"/>
    <w:rsid w:val="006E7949"/>
    <w:rsid w:val="006F04E2"/>
    <w:rsid w:val="006F1024"/>
    <w:rsid w:val="006F14FA"/>
    <w:rsid w:val="006F3439"/>
    <w:rsid w:val="006F6CB7"/>
    <w:rsid w:val="007010E2"/>
    <w:rsid w:val="0070506E"/>
    <w:rsid w:val="0070601B"/>
    <w:rsid w:val="00706FB9"/>
    <w:rsid w:val="007070CC"/>
    <w:rsid w:val="007074AB"/>
    <w:rsid w:val="00710359"/>
    <w:rsid w:val="00711A7B"/>
    <w:rsid w:val="0071343C"/>
    <w:rsid w:val="00723420"/>
    <w:rsid w:val="00726DE9"/>
    <w:rsid w:val="00730AC9"/>
    <w:rsid w:val="00731F91"/>
    <w:rsid w:val="00733358"/>
    <w:rsid w:val="0073656C"/>
    <w:rsid w:val="00741F8D"/>
    <w:rsid w:val="007452E1"/>
    <w:rsid w:val="00746F4A"/>
    <w:rsid w:val="00747CA1"/>
    <w:rsid w:val="00750A46"/>
    <w:rsid w:val="00750F87"/>
    <w:rsid w:val="007529AA"/>
    <w:rsid w:val="00754156"/>
    <w:rsid w:val="00754721"/>
    <w:rsid w:val="00754DDB"/>
    <w:rsid w:val="00755BBD"/>
    <w:rsid w:val="007572E5"/>
    <w:rsid w:val="00757F74"/>
    <w:rsid w:val="007615E7"/>
    <w:rsid w:val="007637B3"/>
    <w:rsid w:val="00764067"/>
    <w:rsid w:val="00764D40"/>
    <w:rsid w:val="00766D94"/>
    <w:rsid w:val="00773036"/>
    <w:rsid w:val="00773077"/>
    <w:rsid w:val="00775003"/>
    <w:rsid w:val="007770AE"/>
    <w:rsid w:val="00777739"/>
    <w:rsid w:val="007802C8"/>
    <w:rsid w:val="00781C15"/>
    <w:rsid w:val="00782057"/>
    <w:rsid w:val="0078397A"/>
    <w:rsid w:val="007910EA"/>
    <w:rsid w:val="00791B38"/>
    <w:rsid w:val="00795933"/>
    <w:rsid w:val="00796C05"/>
    <w:rsid w:val="00797F82"/>
    <w:rsid w:val="007A0220"/>
    <w:rsid w:val="007A3493"/>
    <w:rsid w:val="007A471E"/>
    <w:rsid w:val="007A5024"/>
    <w:rsid w:val="007A588D"/>
    <w:rsid w:val="007B301B"/>
    <w:rsid w:val="007B4075"/>
    <w:rsid w:val="007C44EF"/>
    <w:rsid w:val="007C5287"/>
    <w:rsid w:val="007C73D4"/>
    <w:rsid w:val="007D160D"/>
    <w:rsid w:val="007D2626"/>
    <w:rsid w:val="007D2933"/>
    <w:rsid w:val="007E1B40"/>
    <w:rsid w:val="007E4198"/>
    <w:rsid w:val="007E43ED"/>
    <w:rsid w:val="007E4C6E"/>
    <w:rsid w:val="007F6762"/>
    <w:rsid w:val="007F6C7B"/>
    <w:rsid w:val="007F6D28"/>
    <w:rsid w:val="007F7AFF"/>
    <w:rsid w:val="00801220"/>
    <w:rsid w:val="00801FA0"/>
    <w:rsid w:val="008020DB"/>
    <w:rsid w:val="00802103"/>
    <w:rsid w:val="0080784C"/>
    <w:rsid w:val="00807A97"/>
    <w:rsid w:val="00810AA9"/>
    <w:rsid w:val="00815038"/>
    <w:rsid w:val="00816F3F"/>
    <w:rsid w:val="00817CD6"/>
    <w:rsid w:val="0082109D"/>
    <w:rsid w:val="008216E2"/>
    <w:rsid w:val="0082241C"/>
    <w:rsid w:val="008224B3"/>
    <w:rsid w:val="008243F6"/>
    <w:rsid w:val="008273D7"/>
    <w:rsid w:val="00831209"/>
    <w:rsid w:val="008340AB"/>
    <w:rsid w:val="008344EF"/>
    <w:rsid w:val="00835562"/>
    <w:rsid w:val="0083656B"/>
    <w:rsid w:val="00843164"/>
    <w:rsid w:val="00845E82"/>
    <w:rsid w:val="00847AE9"/>
    <w:rsid w:val="008503CD"/>
    <w:rsid w:val="00854BBC"/>
    <w:rsid w:val="00860334"/>
    <w:rsid w:val="0086116F"/>
    <w:rsid w:val="00861D84"/>
    <w:rsid w:val="00865087"/>
    <w:rsid w:val="008816AB"/>
    <w:rsid w:val="00881BCD"/>
    <w:rsid w:val="00882886"/>
    <w:rsid w:val="00883386"/>
    <w:rsid w:val="00884F7A"/>
    <w:rsid w:val="00886CDD"/>
    <w:rsid w:val="00887339"/>
    <w:rsid w:val="0088750C"/>
    <w:rsid w:val="0089096D"/>
    <w:rsid w:val="00896640"/>
    <w:rsid w:val="00897DC3"/>
    <w:rsid w:val="00897F54"/>
    <w:rsid w:val="008A295B"/>
    <w:rsid w:val="008A33B7"/>
    <w:rsid w:val="008A38D8"/>
    <w:rsid w:val="008A3D6C"/>
    <w:rsid w:val="008A571A"/>
    <w:rsid w:val="008B0AA2"/>
    <w:rsid w:val="008B3DA7"/>
    <w:rsid w:val="008C1DED"/>
    <w:rsid w:val="008C5F2C"/>
    <w:rsid w:val="008C6D13"/>
    <w:rsid w:val="008D1877"/>
    <w:rsid w:val="008D1903"/>
    <w:rsid w:val="008D2247"/>
    <w:rsid w:val="008D4121"/>
    <w:rsid w:val="008D47E4"/>
    <w:rsid w:val="008D4ED1"/>
    <w:rsid w:val="008D54D0"/>
    <w:rsid w:val="008D60A7"/>
    <w:rsid w:val="008D697D"/>
    <w:rsid w:val="008E2B5C"/>
    <w:rsid w:val="008E4B2E"/>
    <w:rsid w:val="008E532C"/>
    <w:rsid w:val="008F3435"/>
    <w:rsid w:val="0090457A"/>
    <w:rsid w:val="00906655"/>
    <w:rsid w:val="00913A90"/>
    <w:rsid w:val="00921638"/>
    <w:rsid w:val="00931828"/>
    <w:rsid w:val="00934CA2"/>
    <w:rsid w:val="00935B56"/>
    <w:rsid w:val="00935D88"/>
    <w:rsid w:val="0094094C"/>
    <w:rsid w:val="009426FF"/>
    <w:rsid w:val="009467CB"/>
    <w:rsid w:val="00947674"/>
    <w:rsid w:val="009507E0"/>
    <w:rsid w:val="00950E79"/>
    <w:rsid w:val="00950EED"/>
    <w:rsid w:val="00950F9B"/>
    <w:rsid w:val="0095431C"/>
    <w:rsid w:val="00955A3F"/>
    <w:rsid w:val="00961701"/>
    <w:rsid w:val="0096307A"/>
    <w:rsid w:val="00963FA4"/>
    <w:rsid w:val="0096457F"/>
    <w:rsid w:val="00964F33"/>
    <w:rsid w:val="009704FA"/>
    <w:rsid w:val="0097375C"/>
    <w:rsid w:val="00974DA4"/>
    <w:rsid w:val="00976422"/>
    <w:rsid w:val="009849E2"/>
    <w:rsid w:val="00985944"/>
    <w:rsid w:val="00985FF1"/>
    <w:rsid w:val="009874E2"/>
    <w:rsid w:val="0099039B"/>
    <w:rsid w:val="00991513"/>
    <w:rsid w:val="00996B95"/>
    <w:rsid w:val="009A0395"/>
    <w:rsid w:val="009A666E"/>
    <w:rsid w:val="009A7D3E"/>
    <w:rsid w:val="009B067F"/>
    <w:rsid w:val="009B2001"/>
    <w:rsid w:val="009B2EAA"/>
    <w:rsid w:val="009B7AF2"/>
    <w:rsid w:val="009C37B1"/>
    <w:rsid w:val="009C4631"/>
    <w:rsid w:val="009C570E"/>
    <w:rsid w:val="009D49B8"/>
    <w:rsid w:val="009E3E4F"/>
    <w:rsid w:val="009E53F0"/>
    <w:rsid w:val="009E691E"/>
    <w:rsid w:val="009E71A6"/>
    <w:rsid w:val="009F09B4"/>
    <w:rsid w:val="009F1311"/>
    <w:rsid w:val="009F1404"/>
    <w:rsid w:val="009F187B"/>
    <w:rsid w:val="00A015A9"/>
    <w:rsid w:val="00A072FC"/>
    <w:rsid w:val="00A12D48"/>
    <w:rsid w:val="00A1370D"/>
    <w:rsid w:val="00A1599A"/>
    <w:rsid w:val="00A21C03"/>
    <w:rsid w:val="00A23CF1"/>
    <w:rsid w:val="00A24FF2"/>
    <w:rsid w:val="00A27E01"/>
    <w:rsid w:val="00A30223"/>
    <w:rsid w:val="00A4725B"/>
    <w:rsid w:val="00A47A30"/>
    <w:rsid w:val="00A510C3"/>
    <w:rsid w:val="00A526F4"/>
    <w:rsid w:val="00A528E0"/>
    <w:rsid w:val="00A53B27"/>
    <w:rsid w:val="00A608AC"/>
    <w:rsid w:val="00A70CFC"/>
    <w:rsid w:val="00A71815"/>
    <w:rsid w:val="00A7378D"/>
    <w:rsid w:val="00A74392"/>
    <w:rsid w:val="00A744D8"/>
    <w:rsid w:val="00A752CD"/>
    <w:rsid w:val="00A75CF3"/>
    <w:rsid w:val="00A777FD"/>
    <w:rsid w:val="00A830FD"/>
    <w:rsid w:val="00A87B87"/>
    <w:rsid w:val="00A94D55"/>
    <w:rsid w:val="00A95DAE"/>
    <w:rsid w:val="00AA0EA4"/>
    <w:rsid w:val="00AA1812"/>
    <w:rsid w:val="00AA2837"/>
    <w:rsid w:val="00AA6A81"/>
    <w:rsid w:val="00AB1D19"/>
    <w:rsid w:val="00AB22DB"/>
    <w:rsid w:val="00AB2B7F"/>
    <w:rsid w:val="00AB3454"/>
    <w:rsid w:val="00AB48CD"/>
    <w:rsid w:val="00AB4BB9"/>
    <w:rsid w:val="00AB5015"/>
    <w:rsid w:val="00AB64BB"/>
    <w:rsid w:val="00AC04F2"/>
    <w:rsid w:val="00AD3CF6"/>
    <w:rsid w:val="00AD3F60"/>
    <w:rsid w:val="00AD4B1F"/>
    <w:rsid w:val="00AD5B0C"/>
    <w:rsid w:val="00AE347C"/>
    <w:rsid w:val="00AE3A4E"/>
    <w:rsid w:val="00AE3DF4"/>
    <w:rsid w:val="00AF03B8"/>
    <w:rsid w:val="00AF23B3"/>
    <w:rsid w:val="00AF2E2E"/>
    <w:rsid w:val="00AF49E5"/>
    <w:rsid w:val="00AF525D"/>
    <w:rsid w:val="00AF76F9"/>
    <w:rsid w:val="00B05862"/>
    <w:rsid w:val="00B10939"/>
    <w:rsid w:val="00B10C9B"/>
    <w:rsid w:val="00B11810"/>
    <w:rsid w:val="00B11C75"/>
    <w:rsid w:val="00B11FE7"/>
    <w:rsid w:val="00B12C4F"/>
    <w:rsid w:val="00B14426"/>
    <w:rsid w:val="00B14858"/>
    <w:rsid w:val="00B16E40"/>
    <w:rsid w:val="00B17EF1"/>
    <w:rsid w:val="00B211D4"/>
    <w:rsid w:val="00B2151E"/>
    <w:rsid w:val="00B2351B"/>
    <w:rsid w:val="00B24F88"/>
    <w:rsid w:val="00B31966"/>
    <w:rsid w:val="00B31FC2"/>
    <w:rsid w:val="00B34B5E"/>
    <w:rsid w:val="00B35E53"/>
    <w:rsid w:val="00B36873"/>
    <w:rsid w:val="00B428A6"/>
    <w:rsid w:val="00B45FF3"/>
    <w:rsid w:val="00B52922"/>
    <w:rsid w:val="00B57F69"/>
    <w:rsid w:val="00B6173D"/>
    <w:rsid w:val="00B65714"/>
    <w:rsid w:val="00B6592C"/>
    <w:rsid w:val="00B725B8"/>
    <w:rsid w:val="00B739CA"/>
    <w:rsid w:val="00B73D4D"/>
    <w:rsid w:val="00B84A66"/>
    <w:rsid w:val="00B86D38"/>
    <w:rsid w:val="00B9040B"/>
    <w:rsid w:val="00B9044E"/>
    <w:rsid w:val="00BA14CC"/>
    <w:rsid w:val="00BA259D"/>
    <w:rsid w:val="00BB060E"/>
    <w:rsid w:val="00BC0887"/>
    <w:rsid w:val="00BC0DD5"/>
    <w:rsid w:val="00BC4642"/>
    <w:rsid w:val="00BC4BA0"/>
    <w:rsid w:val="00BC7807"/>
    <w:rsid w:val="00BD4264"/>
    <w:rsid w:val="00BD731E"/>
    <w:rsid w:val="00BE0CE8"/>
    <w:rsid w:val="00BE4693"/>
    <w:rsid w:val="00BE500A"/>
    <w:rsid w:val="00BE56F1"/>
    <w:rsid w:val="00BF24DA"/>
    <w:rsid w:val="00BF6314"/>
    <w:rsid w:val="00C00060"/>
    <w:rsid w:val="00C004DA"/>
    <w:rsid w:val="00C01ADD"/>
    <w:rsid w:val="00C02D6F"/>
    <w:rsid w:val="00C06FB7"/>
    <w:rsid w:val="00C11CAB"/>
    <w:rsid w:val="00C12E49"/>
    <w:rsid w:val="00C134C3"/>
    <w:rsid w:val="00C24DA2"/>
    <w:rsid w:val="00C24ED7"/>
    <w:rsid w:val="00C321BE"/>
    <w:rsid w:val="00C33B78"/>
    <w:rsid w:val="00C33DD6"/>
    <w:rsid w:val="00C3493D"/>
    <w:rsid w:val="00C35B5B"/>
    <w:rsid w:val="00C363D1"/>
    <w:rsid w:val="00C40F31"/>
    <w:rsid w:val="00C42501"/>
    <w:rsid w:val="00C43950"/>
    <w:rsid w:val="00C442B1"/>
    <w:rsid w:val="00C44D46"/>
    <w:rsid w:val="00C45CB0"/>
    <w:rsid w:val="00C53378"/>
    <w:rsid w:val="00C56979"/>
    <w:rsid w:val="00C57872"/>
    <w:rsid w:val="00C63A08"/>
    <w:rsid w:val="00C6610C"/>
    <w:rsid w:val="00C661F6"/>
    <w:rsid w:val="00C664E4"/>
    <w:rsid w:val="00C66900"/>
    <w:rsid w:val="00C67FEB"/>
    <w:rsid w:val="00C71741"/>
    <w:rsid w:val="00C7176F"/>
    <w:rsid w:val="00C725EE"/>
    <w:rsid w:val="00C73043"/>
    <w:rsid w:val="00C73C8F"/>
    <w:rsid w:val="00C777D8"/>
    <w:rsid w:val="00C80850"/>
    <w:rsid w:val="00C81005"/>
    <w:rsid w:val="00C81139"/>
    <w:rsid w:val="00C82853"/>
    <w:rsid w:val="00C8512F"/>
    <w:rsid w:val="00C86CED"/>
    <w:rsid w:val="00CA0424"/>
    <w:rsid w:val="00CA194E"/>
    <w:rsid w:val="00CA3B41"/>
    <w:rsid w:val="00CA6E5D"/>
    <w:rsid w:val="00CA6EC2"/>
    <w:rsid w:val="00CA7C4D"/>
    <w:rsid w:val="00CB28F4"/>
    <w:rsid w:val="00CB3CD6"/>
    <w:rsid w:val="00CB4032"/>
    <w:rsid w:val="00CB4364"/>
    <w:rsid w:val="00CB5763"/>
    <w:rsid w:val="00CB69ED"/>
    <w:rsid w:val="00CB765E"/>
    <w:rsid w:val="00CC0175"/>
    <w:rsid w:val="00CC03C1"/>
    <w:rsid w:val="00CC089A"/>
    <w:rsid w:val="00CD1861"/>
    <w:rsid w:val="00CD2053"/>
    <w:rsid w:val="00CD55E7"/>
    <w:rsid w:val="00CD65DE"/>
    <w:rsid w:val="00CD7E90"/>
    <w:rsid w:val="00CE01D2"/>
    <w:rsid w:val="00CE1EF6"/>
    <w:rsid w:val="00CE36A2"/>
    <w:rsid w:val="00CE5A26"/>
    <w:rsid w:val="00CF17D0"/>
    <w:rsid w:val="00CF3695"/>
    <w:rsid w:val="00CF396D"/>
    <w:rsid w:val="00CF47F2"/>
    <w:rsid w:val="00CF6A51"/>
    <w:rsid w:val="00D00F03"/>
    <w:rsid w:val="00D0388F"/>
    <w:rsid w:val="00D04BE5"/>
    <w:rsid w:val="00D13116"/>
    <w:rsid w:val="00D136E4"/>
    <w:rsid w:val="00D1579B"/>
    <w:rsid w:val="00D169A3"/>
    <w:rsid w:val="00D22921"/>
    <w:rsid w:val="00D23473"/>
    <w:rsid w:val="00D23853"/>
    <w:rsid w:val="00D25018"/>
    <w:rsid w:val="00D252D5"/>
    <w:rsid w:val="00D25BCC"/>
    <w:rsid w:val="00D26CB7"/>
    <w:rsid w:val="00D270BD"/>
    <w:rsid w:val="00D27D23"/>
    <w:rsid w:val="00D3119D"/>
    <w:rsid w:val="00D32E12"/>
    <w:rsid w:val="00D33DB5"/>
    <w:rsid w:val="00D358FE"/>
    <w:rsid w:val="00D40E10"/>
    <w:rsid w:val="00D41000"/>
    <w:rsid w:val="00D43B37"/>
    <w:rsid w:val="00D45215"/>
    <w:rsid w:val="00D45A63"/>
    <w:rsid w:val="00D45B93"/>
    <w:rsid w:val="00D46767"/>
    <w:rsid w:val="00D4703B"/>
    <w:rsid w:val="00D52A6E"/>
    <w:rsid w:val="00D5364B"/>
    <w:rsid w:val="00D5591F"/>
    <w:rsid w:val="00D563F8"/>
    <w:rsid w:val="00D56DD4"/>
    <w:rsid w:val="00D60214"/>
    <w:rsid w:val="00D60541"/>
    <w:rsid w:val="00D612A8"/>
    <w:rsid w:val="00D62FF6"/>
    <w:rsid w:val="00D633A4"/>
    <w:rsid w:val="00D64691"/>
    <w:rsid w:val="00D65B9E"/>
    <w:rsid w:val="00D666AE"/>
    <w:rsid w:val="00D67AC2"/>
    <w:rsid w:val="00D73306"/>
    <w:rsid w:val="00D73F87"/>
    <w:rsid w:val="00D751CE"/>
    <w:rsid w:val="00D758CB"/>
    <w:rsid w:val="00D76D6B"/>
    <w:rsid w:val="00D779FA"/>
    <w:rsid w:val="00D8069E"/>
    <w:rsid w:val="00D82E01"/>
    <w:rsid w:val="00D83187"/>
    <w:rsid w:val="00D83383"/>
    <w:rsid w:val="00D85148"/>
    <w:rsid w:val="00D86F9B"/>
    <w:rsid w:val="00D90F1A"/>
    <w:rsid w:val="00D944A4"/>
    <w:rsid w:val="00D95FA6"/>
    <w:rsid w:val="00D9706D"/>
    <w:rsid w:val="00DA0C6E"/>
    <w:rsid w:val="00DA1216"/>
    <w:rsid w:val="00DA2027"/>
    <w:rsid w:val="00DA4E4B"/>
    <w:rsid w:val="00DA5EA1"/>
    <w:rsid w:val="00DA62C1"/>
    <w:rsid w:val="00DA6692"/>
    <w:rsid w:val="00DA7891"/>
    <w:rsid w:val="00DA7F4F"/>
    <w:rsid w:val="00DB1165"/>
    <w:rsid w:val="00DB1E4E"/>
    <w:rsid w:val="00DB2B64"/>
    <w:rsid w:val="00DB2C28"/>
    <w:rsid w:val="00DB3F80"/>
    <w:rsid w:val="00DB5E8D"/>
    <w:rsid w:val="00DB6749"/>
    <w:rsid w:val="00DB7330"/>
    <w:rsid w:val="00DB7536"/>
    <w:rsid w:val="00DB7952"/>
    <w:rsid w:val="00DC097A"/>
    <w:rsid w:val="00DC25DA"/>
    <w:rsid w:val="00DC47F1"/>
    <w:rsid w:val="00DD1E75"/>
    <w:rsid w:val="00DE1D7F"/>
    <w:rsid w:val="00DE1DD7"/>
    <w:rsid w:val="00DE206C"/>
    <w:rsid w:val="00DE3FC2"/>
    <w:rsid w:val="00DE646A"/>
    <w:rsid w:val="00DE6AE6"/>
    <w:rsid w:val="00DF3978"/>
    <w:rsid w:val="00DF40DA"/>
    <w:rsid w:val="00DF4162"/>
    <w:rsid w:val="00DF63A9"/>
    <w:rsid w:val="00DF7110"/>
    <w:rsid w:val="00DF73F8"/>
    <w:rsid w:val="00E0199C"/>
    <w:rsid w:val="00E1082E"/>
    <w:rsid w:val="00E13E98"/>
    <w:rsid w:val="00E2112F"/>
    <w:rsid w:val="00E2167C"/>
    <w:rsid w:val="00E23976"/>
    <w:rsid w:val="00E25B88"/>
    <w:rsid w:val="00E300B0"/>
    <w:rsid w:val="00E31212"/>
    <w:rsid w:val="00E370BC"/>
    <w:rsid w:val="00E42393"/>
    <w:rsid w:val="00E4447F"/>
    <w:rsid w:val="00E5153B"/>
    <w:rsid w:val="00E546EB"/>
    <w:rsid w:val="00E55ABC"/>
    <w:rsid w:val="00E60789"/>
    <w:rsid w:val="00E6106F"/>
    <w:rsid w:val="00E64249"/>
    <w:rsid w:val="00E6779D"/>
    <w:rsid w:val="00E73014"/>
    <w:rsid w:val="00E83C83"/>
    <w:rsid w:val="00E85BD9"/>
    <w:rsid w:val="00E86E7C"/>
    <w:rsid w:val="00E90E61"/>
    <w:rsid w:val="00E91F91"/>
    <w:rsid w:val="00EA3EA2"/>
    <w:rsid w:val="00EA4A60"/>
    <w:rsid w:val="00EA4AE5"/>
    <w:rsid w:val="00EB0405"/>
    <w:rsid w:val="00EB3EAA"/>
    <w:rsid w:val="00EB544E"/>
    <w:rsid w:val="00EB61DF"/>
    <w:rsid w:val="00EB7E25"/>
    <w:rsid w:val="00EC3D59"/>
    <w:rsid w:val="00EC6AA8"/>
    <w:rsid w:val="00EC6AFB"/>
    <w:rsid w:val="00ED0F3B"/>
    <w:rsid w:val="00ED12B4"/>
    <w:rsid w:val="00ED27CA"/>
    <w:rsid w:val="00ED510D"/>
    <w:rsid w:val="00EE0FB0"/>
    <w:rsid w:val="00EE120B"/>
    <w:rsid w:val="00EE3B61"/>
    <w:rsid w:val="00EE791A"/>
    <w:rsid w:val="00EE7FC0"/>
    <w:rsid w:val="00EF419E"/>
    <w:rsid w:val="00EF4241"/>
    <w:rsid w:val="00EF63A0"/>
    <w:rsid w:val="00EF6BF4"/>
    <w:rsid w:val="00EF71CA"/>
    <w:rsid w:val="00EF721C"/>
    <w:rsid w:val="00EF75F9"/>
    <w:rsid w:val="00F0046E"/>
    <w:rsid w:val="00F03D2A"/>
    <w:rsid w:val="00F052E0"/>
    <w:rsid w:val="00F05A9C"/>
    <w:rsid w:val="00F064A7"/>
    <w:rsid w:val="00F07760"/>
    <w:rsid w:val="00F20E56"/>
    <w:rsid w:val="00F21737"/>
    <w:rsid w:val="00F22AEF"/>
    <w:rsid w:val="00F22DE0"/>
    <w:rsid w:val="00F232BD"/>
    <w:rsid w:val="00F3086E"/>
    <w:rsid w:val="00F323A0"/>
    <w:rsid w:val="00F36E41"/>
    <w:rsid w:val="00F47716"/>
    <w:rsid w:val="00F50BAE"/>
    <w:rsid w:val="00F5383E"/>
    <w:rsid w:val="00F551AF"/>
    <w:rsid w:val="00F56836"/>
    <w:rsid w:val="00F571CB"/>
    <w:rsid w:val="00F60C04"/>
    <w:rsid w:val="00F62964"/>
    <w:rsid w:val="00F67119"/>
    <w:rsid w:val="00F714D7"/>
    <w:rsid w:val="00F766AF"/>
    <w:rsid w:val="00F766F7"/>
    <w:rsid w:val="00F76954"/>
    <w:rsid w:val="00F77E50"/>
    <w:rsid w:val="00F81FAE"/>
    <w:rsid w:val="00F820AF"/>
    <w:rsid w:val="00F86036"/>
    <w:rsid w:val="00F908E2"/>
    <w:rsid w:val="00F93260"/>
    <w:rsid w:val="00F944C0"/>
    <w:rsid w:val="00F947EB"/>
    <w:rsid w:val="00F95BC1"/>
    <w:rsid w:val="00FA2517"/>
    <w:rsid w:val="00FA5D13"/>
    <w:rsid w:val="00FA5EA3"/>
    <w:rsid w:val="00FA60DE"/>
    <w:rsid w:val="00FA7CF0"/>
    <w:rsid w:val="00FB0133"/>
    <w:rsid w:val="00FB0BB9"/>
    <w:rsid w:val="00FB0D93"/>
    <w:rsid w:val="00FB5377"/>
    <w:rsid w:val="00FC2ED4"/>
    <w:rsid w:val="00FC677F"/>
    <w:rsid w:val="00FD217D"/>
    <w:rsid w:val="00FD7ECE"/>
    <w:rsid w:val="00FE213A"/>
    <w:rsid w:val="00FE2961"/>
    <w:rsid w:val="00FE560A"/>
    <w:rsid w:val="00FE74DB"/>
    <w:rsid w:val="00FE7AD9"/>
    <w:rsid w:val="00FF51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40"/>
        <w:jc w:val="both"/>
      </w:pPr>
    </w:pPrDefault>
  </w:docDefaults>
  <w:latentStyles w:defLockedState="0" w:defUIPriority="99" w:defSemiHidden="1" w:defUnhideWhenUsed="0" w:defQFormat="0" w:count="267">
    <w:lsdException w:name="Normal" w:semiHidden="0" w:uiPriority="98" w:qFormat="1"/>
    <w:lsdException w:name="heading 1" w:semiHidden="0" w:uiPriority="1" w:qFormat="1"/>
    <w:lsdException w:name="heading 2" w:semiHidden="0" w:uiPriority="1" w:qFormat="1"/>
    <w:lsdException w:name="heading 3" w:semiHidden="0" w:uiPriority="1" w:qFormat="1"/>
    <w:lsdException w:name="heading 4" w:semiHidden="0" w:uiPriority="34" w:qFormat="1"/>
    <w:lsdException w:name="heading 5" w:semiHidden="0" w:uiPriority="34" w:qFormat="1"/>
    <w:lsdException w:name="heading 6" w:semiHidden="0" w:uiPriority="34" w:qFormat="1"/>
    <w:lsdException w:name="heading 7" w:semiHidden="0" w:uiPriority="34" w:qFormat="1"/>
    <w:lsdException w:name="heading 8" w:semiHidden="0" w:uiPriority="34" w:qFormat="1"/>
    <w:lsdException w:name="heading 9" w:semiHidden="0" w:uiPriority="34"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header" w:unhideWhenUsed="1"/>
    <w:lsdException w:name="footer" w:unhideWhenUsed="1"/>
    <w:lsdException w:name="index heading" w:unhideWhenUsed="1"/>
    <w:lsdException w:name="caption" w:uiPriority="35" w:unhideWhenUsed="1" w:qFormat="1"/>
    <w:lsdException w:name="table of figures" w:unhideWhenUsed="1"/>
    <w:lsdException w:name="table of authorities" w:unhideWhenUsed="1"/>
    <w:lsdException w:name="toa heading" w:unhideWhenUsed="1"/>
    <w:lsdException w:name="Title" w:semiHidden="0" w:uiPriority="40" w:qFormat="1"/>
    <w:lsdException w:name="Closing" w:unhideWhenUsed="1"/>
    <w:lsdException w:name="Signature" w:unhideWhenUsed="1"/>
    <w:lsdException w:name="Default Paragraph Font" w:uiPriority="1" w:unhideWhenUsed="1"/>
    <w:lsdException w:name="Body Text" w:uiPriority="0" w:unhideWhenUsed="1" w:qFormat="1"/>
    <w:lsdException w:name="Body Text Indent" w:semiHidden="0" w:uiPriority="3" w:qFormat="1"/>
    <w:lsdException w:name="Message Header" w:unhideWhenUsed="1"/>
    <w:lsdException w:name="Subtitle" w:uiPriority="41"/>
    <w:lsdException w:name="Salutation" w:unhideWhenUsed="1"/>
    <w:lsdException w:name="Body Text First Indent" w:semiHidden="0" w:uiPriority="3" w:qFormat="1"/>
    <w:lsdException w:name="Body Text First Indent 2" w:semiHidden="0" w:uiPriority="4" w:qFormat="1"/>
    <w:lsdException w:name="Body Text 2" w:semiHidden="0" w:uiPriority="2" w:qFormat="1"/>
    <w:lsdException w:name="Body Text 3" w:semiHidden="0" w:uiPriority="8" w:qFormat="1"/>
    <w:lsdException w:name="Body Text Indent 2" w:semiHidden="0" w:uiPriority="4" w:qFormat="1"/>
    <w:lsdException w:name="Body Text Indent 3" w:semiHidden="0" w:uiPriority="8" w:qFormat="1"/>
    <w:lsdException w:name="Block Text" w:unhideWhenUsed="1"/>
    <w:lsdException w:name="Hyperlink" w:unhideWhenUsed="1"/>
    <w:lsdException w:name="Strong" w:uiPriority="52"/>
    <w:lsdException w:name="Emphasis" w:uiPriority="50"/>
    <w:lsdException w:name="HTML Top of Form" w:unhideWhenUsed="1"/>
    <w:lsdException w:name="HTML Bottom of Form"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lsdException w:name="Quote" w:uiPriority="59"/>
    <w:lsdException w:name="Intense Quote" w:uiPriority="60"/>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uiPriority="49"/>
    <w:lsdException w:name="Intense Emphasis" w:uiPriority="51"/>
    <w:lsdException w:name="Subtle Reference" w:uiPriority="61"/>
    <w:lsdException w:name="Intense Reference" w:uiPriority="62"/>
    <w:lsdException w:name="Book Title" w:qFormat="1"/>
    <w:lsdException w:name="Bibliography" w:uiPriority="37"/>
    <w:lsdException w:name="TOC Heading" w:uiPriority="39" w:unhideWhenUsed="1" w:qFormat="1"/>
  </w:latentStyles>
  <w:style w:type="paragraph" w:default="1" w:styleId="Normal">
    <w:name w:val="Normal"/>
    <w:uiPriority w:val="98"/>
    <w:qFormat/>
    <w:rsid w:val="001967C3"/>
    <w:rPr>
      <w:lang w:val="en-CA"/>
    </w:rPr>
  </w:style>
  <w:style w:type="paragraph" w:styleId="Heading1">
    <w:name w:val="heading 1"/>
    <w:basedOn w:val="Normal"/>
    <w:next w:val="Normal"/>
    <w:link w:val="Heading1Char"/>
    <w:uiPriority w:val="1"/>
    <w:qFormat/>
    <w:rsid w:val="00950EED"/>
    <w:pPr>
      <w:keepNext/>
      <w:keepLines/>
      <w:jc w:val="center"/>
      <w:outlineLvl w:val="0"/>
    </w:pPr>
    <w:rPr>
      <w:rFonts w:asciiTheme="majorHAnsi" w:eastAsiaTheme="majorEastAsia" w:hAnsiTheme="majorHAnsi" w:cstheme="majorBidi"/>
      <w:b/>
      <w:bCs/>
      <w:caps/>
      <w:szCs w:val="28"/>
    </w:rPr>
  </w:style>
  <w:style w:type="paragraph" w:styleId="Heading2">
    <w:name w:val="heading 2"/>
    <w:basedOn w:val="Normal"/>
    <w:next w:val="Normal"/>
    <w:link w:val="Heading2Char"/>
    <w:uiPriority w:val="1"/>
    <w:qFormat/>
    <w:rsid w:val="00FD217D"/>
    <w:pPr>
      <w:keepNext/>
      <w:keepLines/>
      <w:outlineLvl w:val="1"/>
    </w:pPr>
    <w:rPr>
      <w:rFonts w:asciiTheme="majorHAnsi" w:eastAsiaTheme="majorEastAsia" w:hAnsiTheme="majorHAnsi" w:cstheme="majorBidi"/>
      <w:b/>
      <w:bCs/>
      <w:i/>
      <w:szCs w:val="26"/>
    </w:rPr>
  </w:style>
  <w:style w:type="paragraph" w:styleId="Heading3">
    <w:name w:val="heading 3"/>
    <w:basedOn w:val="Normal"/>
    <w:next w:val="Normal"/>
    <w:link w:val="Heading3Char"/>
    <w:uiPriority w:val="1"/>
    <w:qFormat/>
    <w:rsid w:val="00FD217D"/>
    <w:pPr>
      <w:keepLines/>
      <w:outlineLvl w:val="2"/>
    </w:pPr>
    <w:rPr>
      <w:rFonts w:asciiTheme="majorHAnsi" w:eastAsiaTheme="majorEastAsia" w:hAnsiTheme="majorHAnsi" w:cstheme="majorBidi"/>
      <w:bCs/>
      <w:i/>
    </w:rPr>
  </w:style>
  <w:style w:type="paragraph" w:styleId="Heading4">
    <w:name w:val="heading 4"/>
    <w:basedOn w:val="Normal"/>
    <w:next w:val="Normal"/>
    <w:link w:val="Heading4Char"/>
    <w:uiPriority w:val="34"/>
    <w:semiHidden/>
    <w:qFormat/>
    <w:rsid w:val="0062474D"/>
    <w:pPr>
      <w:keepLines/>
      <w:outlineLvl w:val="3"/>
    </w:pPr>
    <w:rPr>
      <w:rFonts w:asciiTheme="majorHAnsi" w:eastAsiaTheme="majorEastAsia" w:hAnsiTheme="majorHAnsi" w:cstheme="majorBidi"/>
      <w:bCs/>
      <w:iCs/>
      <w:color w:val="0F0F0F" w:themeColor="text1"/>
    </w:rPr>
  </w:style>
  <w:style w:type="paragraph" w:styleId="Heading5">
    <w:name w:val="heading 5"/>
    <w:basedOn w:val="Normal"/>
    <w:next w:val="Normal"/>
    <w:link w:val="Heading5Char"/>
    <w:uiPriority w:val="34"/>
    <w:semiHidden/>
    <w:qFormat/>
    <w:rsid w:val="0062474D"/>
    <w:pPr>
      <w:keepLines/>
      <w:outlineLvl w:val="4"/>
    </w:pPr>
    <w:rPr>
      <w:rFonts w:asciiTheme="majorHAnsi" w:eastAsiaTheme="majorEastAsia" w:hAnsiTheme="majorHAnsi" w:cstheme="majorBidi"/>
      <w:color w:val="0F0F0F" w:themeColor="text1"/>
    </w:rPr>
  </w:style>
  <w:style w:type="paragraph" w:styleId="Heading6">
    <w:name w:val="heading 6"/>
    <w:basedOn w:val="Normal"/>
    <w:next w:val="Normal"/>
    <w:link w:val="Heading6Char"/>
    <w:uiPriority w:val="34"/>
    <w:semiHidden/>
    <w:qFormat/>
    <w:rsid w:val="0062474D"/>
    <w:pPr>
      <w:keepLines/>
      <w:outlineLvl w:val="5"/>
    </w:pPr>
    <w:rPr>
      <w:rFonts w:asciiTheme="majorHAnsi" w:eastAsiaTheme="majorEastAsia" w:hAnsiTheme="majorHAnsi" w:cstheme="majorBidi"/>
      <w:i/>
      <w:iCs/>
      <w:color w:val="0F0F0F" w:themeColor="text1"/>
    </w:rPr>
  </w:style>
  <w:style w:type="paragraph" w:styleId="Heading7">
    <w:name w:val="heading 7"/>
    <w:basedOn w:val="Normal"/>
    <w:next w:val="Normal"/>
    <w:link w:val="Heading7Char"/>
    <w:uiPriority w:val="34"/>
    <w:semiHidden/>
    <w:qFormat/>
    <w:rsid w:val="0062474D"/>
    <w:pPr>
      <w:keepLines/>
      <w:outlineLvl w:val="6"/>
    </w:pPr>
    <w:rPr>
      <w:rFonts w:asciiTheme="majorHAnsi" w:eastAsiaTheme="majorEastAsia" w:hAnsiTheme="majorHAnsi" w:cstheme="majorBidi"/>
      <w:i/>
      <w:iCs/>
      <w:color w:val="0F0F0F" w:themeColor="text1"/>
    </w:rPr>
  </w:style>
  <w:style w:type="paragraph" w:styleId="Heading8">
    <w:name w:val="heading 8"/>
    <w:basedOn w:val="Normal"/>
    <w:next w:val="Normal"/>
    <w:link w:val="Heading8Char"/>
    <w:uiPriority w:val="34"/>
    <w:semiHidden/>
    <w:qFormat/>
    <w:rsid w:val="0062474D"/>
    <w:pPr>
      <w:keepNext/>
      <w:keepLines/>
      <w:outlineLvl w:val="7"/>
    </w:pPr>
    <w:rPr>
      <w:rFonts w:asciiTheme="majorHAnsi" w:eastAsiaTheme="majorEastAsia" w:hAnsiTheme="majorHAnsi" w:cstheme="majorBidi"/>
      <w:color w:val="4B4B4B" w:themeColor="text1" w:themeTint="BF"/>
      <w:sz w:val="20"/>
      <w:szCs w:val="20"/>
    </w:rPr>
  </w:style>
  <w:style w:type="paragraph" w:styleId="Heading9">
    <w:name w:val="heading 9"/>
    <w:basedOn w:val="Normal"/>
    <w:next w:val="Normal"/>
    <w:link w:val="Heading9Char"/>
    <w:uiPriority w:val="34"/>
    <w:semiHidden/>
    <w:qFormat/>
    <w:rsid w:val="0062474D"/>
    <w:pPr>
      <w:keepLines/>
      <w:outlineLvl w:val="8"/>
    </w:pPr>
    <w:rPr>
      <w:rFonts w:asciiTheme="majorHAnsi" w:eastAsiaTheme="majorEastAsia" w:hAnsiTheme="majorHAnsi" w:cstheme="majorBidi"/>
      <w:i/>
      <w:iCs/>
      <w:color w:val="0F0F0F" w:themeColor="text1"/>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akesDocID">
    <w:name w:val="Blakes DocID"/>
    <w:basedOn w:val="Normal"/>
    <w:uiPriority w:val="99"/>
    <w:semiHidden/>
    <w:rsid w:val="00C01ADD"/>
    <w:rPr>
      <w:noProof/>
      <w:sz w:val="16"/>
    </w:rPr>
  </w:style>
  <w:style w:type="paragraph" w:styleId="Header">
    <w:name w:val="header"/>
    <w:basedOn w:val="Normal"/>
    <w:link w:val="HeaderChar"/>
    <w:uiPriority w:val="99"/>
    <w:semiHidden/>
    <w:rsid w:val="0062474D"/>
    <w:pPr>
      <w:tabs>
        <w:tab w:val="center" w:pos="4680"/>
        <w:tab w:val="right" w:pos="9360"/>
      </w:tabs>
    </w:pPr>
  </w:style>
  <w:style w:type="character" w:customStyle="1" w:styleId="HeaderChar">
    <w:name w:val="Header Char"/>
    <w:basedOn w:val="DefaultParagraphFont"/>
    <w:link w:val="Header"/>
    <w:uiPriority w:val="99"/>
    <w:semiHidden/>
    <w:rsid w:val="0062474D"/>
    <w:rPr>
      <w:szCs w:val="21"/>
      <w:lang w:val="en-CA"/>
    </w:rPr>
  </w:style>
  <w:style w:type="paragraph" w:styleId="Footer">
    <w:name w:val="footer"/>
    <w:basedOn w:val="Normal"/>
    <w:link w:val="FooterChar"/>
    <w:uiPriority w:val="99"/>
    <w:semiHidden/>
    <w:rsid w:val="0062474D"/>
    <w:pPr>
      <w:tabs>
        <w:tab w:val="center" w:pos="4680"/>
        <w:tab w:val="right" w:pos="9360"/>
      </w:tabs>
    </w:pPr>
  </w:style>
  <w:style w:type="character" w:customStyle="1" w:styleId="FooterChar">
    <w:name w:val="Footer Char"/>
    <w:basedOn w:val="DefaultParagraphFont"/>
    <w:link w:val="Footer"/>
    <w:uiPriority w:val="99"/>
    <w:semiHidden/>
    <w:rsid w:val="0062474D"/>
    <w:rPr>
      <w:szCs w:val="21"/>
      <w:lang w:val="en-CA"/>
    </w:rPr>
  </w:style>
  <w:style w:type="table" w:styleId="TableGrid">
    <w:name w:val="Table Grid"/>
    <w:basedOn w:val="TableNormal"/>
    <w:uiPriority w:val="59"/>
    <w:rsid w:val="00950EED"/>
    <w:pPr>
      <w:jc w:val="left"/>
    </w:pPr>
    <w:rPr>
      <w:szCs w:val="21"/>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qFormat/>
    <w:rsid w:val="00544333"/>
  </w:style>
  <w:style w:type="character" w:customStyle="1" w:styleId="BodyTextChar">
    <w:name w:val="Body Text Char"/>
    <w:basedOn w:val="DefaultParagraphFont"/>
    <w:link w:val="BodyText"/>
    <w:rsid w:val="00544333"/>
    <w:rPr>
      <w:lang w:val="en-CA"/>
    </w:rPr>
  </w:style>
  <w:style w:type="paragraph" w:styleId="NoSpacing">
    <w:name w:val="No Spacing"/>
    <w:uiPriority w:val="1"/>
    <w:qFormat/>
    <w:rsid w:val="00FD217D"/>
    <w:pPr>
      <w:spacing w:after="0"/>
    </w:pPr>
    <w:rPr>
      <w:szCs w:val="21"/>
    </w:rPr>
  </w:style>
  <w:style w:type="paragraph" w:styleId="ListParagraph">
    <w:name w:val="List Paragraph"/>
    <w:basedOn w:val="Normal"/>
    <w:uiPriority w:val="99"/>
    <w:rsid w:val="0062474D"/>
    <w:pPr>
      <w:ind w:left="720"/>
      <w:contextualSpacing/>
    </w:pPr>
  </w:style>
  <w:style w:type="paragraph" w:styleId="BodyText2">
    <w:name w:val="Body Text 2"/>
    <w:aliases w:val="(Double)"/>
    <w:basedOn w:val="BodyText"/>
    <w:link w:val="BodyText2Char"/>
    <w:uiPriority w:val="2"/>
    <w:qFormat/>
    <w:rsid w:val="00950EED"/>
    <w:pPr>
      <w:spacing w:after="480" w:line="480" w:lineRule="auto"/>
      <w:contextualSpacing/>
    </w:pPr>
  </w:style>
  <w:style w:type="character" w:customStyle="1" w:styleId="BodyText2Char">
    <w:name w:val="Body Text 2 Char"/>
    <w:aliases w:val="(Double) Char"/>
    <w:basedOn w:val="DefaultParagraphFont"/>
    <w:link w:val="BodyText2"/>
    <w:uiPriority w:val="2"/>
    <w:rsid w:val="00950EED"/>
  </w:style>
  <w:style w:type="paragraph" w:styleId="Closing">
    <w:name w:val="Closing"/>
    <w:basedOn w:val="Normal"/>
    <w:link w:val="ClosingChar"/>
    <w:uiPriority w:val="99"/>
    <w:semiHidden/>
    <w:unhideWhenUsed/>
    <w:rsid w:val="0062474D"/>
    <w:pPr>
      <w:ind w:left="4320"/>
    </w:pPr>
  </w:style>
  <w:style w:type="character" w:customStyle="1" w:styleId="ClosingChar">
    <w:name w:val="Closing Char"/>
    <w:basedOn w:val="DefaultParagraphFont"/>
    <w:link w:val="Closing"/>
    <w:uiPriority w:val="99"/>
    <w:semiHidden/>
    <w:rsid w:val="0062474D"/>
    <w:rPr>
      <w:szCs w:val="21"/>
      <w:lang w:val="en-CA"/>
    </w:rPr>
  </w:style>
  <w:style w:type="paragraph" w:styleId="BodyText3">
    <w:name w:val="Body Text 3"/>
    <w:aliases w:val="(Font Change)"/>
    <w:basedOn w:val="BodyText"/>
    <w:link w:val="BodyText3Char"/>
    <w:uiPriority w:val="8"/>
    <w:qFormat/>
    <w:rsid w:val="00475DEA"/>
    <w:rPr>
      <w:szCs w:val="16"/>
    </w:rPr>
  </w:style>
  <w:style w:type="character" w:customStyle="1" w:styleId="BodyText3Char">
    <w:name w:val="Body Text 3 Char"/>
    <w:aliases w:val="(Font Change) Char"/>
    <w:basedOn w:val="DefaultParagraphFont"/>
    <w:link w:val="BodyText3"/>
    <w:uiPriority w:val="8"/>
    <w:rsid w:val="00475DEA"/>
    <w:rPr>
      <w:rFonts w:asciiTheme="minorHAnsi" w:hAnsiTheme="minorHAnsi"/>
      <w:szCs w:val="16"/>
    </w:rPr>
  </w:style>
  <w:style w:type="paragraph" w:styleId="BodyTextFirstIndent">
    <w:name w:val="Body Text First Indent"/>
    <w:aliases w:val="(.5&quot;)"/>
    <w:basedOn w:val="BodyText"/>
    <w:link w:val="BodyTextFirstIndentChar"/>
    <w:uiPriority w:val="3"/>
    <w:qFormat/>
    <w:rsid w:val="00FD217D"/>
    <w:pPr>
      <w:ind w:firstLine="720"/>
    </w:pPr>
  </w:style>
  <w:style w:type="character" w:customStyle="1" w:styleId="BodyTextFirstIndentChar">
    <w:name w:val="Body Text First Indent Char"/>
    <w:aliases w:val="(.5&quot;) Char"/>
    <w:basedOn w:val="BodyTextChar"/>
    <w:link w:val="BodyTextFirstIndent"/>
    <w:uiPriority w:val="3"/>
    <w:rsid w:val="00FD217D"/>
    <w:rPr>
      <w:rFonts w:asciiTheme="minorHAnsi" w:hAnsiTheme="minorHAnsi"/>
      <w:lang w:val="en-CA"/>
    </w:rPr>
  </w:style>
  <w:style w:type="paragraph" w:styleId="BodyTextIndent">
    <w:name w:val="Body Text Indent"/>
    <w:aliases w:val="(.5&quot;Left)"/>
    <w:basedOn w:val="BodyText"/>
    <w:link w:val="BodyTextIndentChar"/>
    <w:uiPriority w:val="3"/>
    <w:qFormat/>
    <w:rsid w:val="00950EED"/>
    <w:pPr>
      <w:ind w:left="720"/>
    </w:pPr>
  </w:style>
  <w:style w:type="character" w:customStyle="1" w:styleId="BodyTextIndentChar">
    <w:name w:val="Body Text Indent Char"/>
    <w:aliases w:val="(.5&quot;Left) Char"/>
    <w:basedOn w:val="DefaultParagraphFont"/>
    <w:link w:val="BodyTextIndent"/>
    <w:uiPriority w:val="3"/>
    <w:rsid w:val="00950EED"/>
  </w:style>
  <w:style w:type="paragraph" w:styleId="BodyTextFirstIndent2">
    <w:name w:val="Body Text First Indent 2"/>
    <w:aliases w:val="(1&quot;)"/>
    <w:basedOn w:val="BodyText"/>
    <w:link w:val="BodyTextFirstIndent2Char"/>
    <w:uiPriority w:val="4"/>
    <w:qFormat/>
    <w:rsid w:val="00950EED"/>
    <w:pPr>
      <w:ind w:firstLine="1440"/>
    </w:pPr>
  </w:style>
  <w:style w:type="character" w:customStyle="1" w:styleId="BodyTextFirstIndent2Char">
    <w:name w:val="Body Text First Indent 2 Char"/>
    <w:aliases w:val="(1&quot;) Char"/>
    <w:basedOn w:val="DefaultParagraphFont"/>
    <w:link w:val="BodyTextFirstIndent2"/>
    <w:uiPriority w:val="4"/>
    <w:rsid w:val="00950EED"/>
  </w:style>
  <w:style w:type="paragraph" w:styleId="BodyTextIndent2">
    <w:name w:val="Body Text Indent 2"/>
    <w:aliases w:val="(1&quot;Left)"/>
    <w:basedOn w:val="BodyText"/>
    <w:link w:val="BodyTextIndent2Char"/>
    <w:uiPriority w:val="4"/>
    <w:qFormat/>
    <w:rsid w:val="00950EED"/>
    <w:pPr>
      <w:ind w:left="1440"/>
    </w:pPr>
  </w:style>
  <w:style w:type="character" w:customStyle="1" w:styleId="BodyTextIndent2Char">
    <w:name w:val="Body Text Indent 2 Char"/>
    <w:aliases w:val="(1&quot;Left) Char"/>
    <w:basedOn w:val="DefaultParagraphFont"/>
    <w:link w:val="BodyTextIndent2"/>
    <w:uiPriority w:val="4"/>
    <w:rsid w:val="00950EED"/>
  </w:style>
  <w:style w:type="paragraph" w:styleId="BodyTextIndent3">
    <w:name w:val="Body Text Indent 3"/>
    <w:aliases w:val="(.5&quot;Left,Double)"/>
    <w:basedOn w:val="BodyText"/>
    <w:link w:val="BodyTextIndent3Char"/>
    <w:uiPriority w:val="8"/>
    <w:qFormat/>
    <w:rsid w:val="00950EED"/>
    <w:pPr>
      <w:spacing w:after="480" w:line="480" w:lineRule="auto"/>
      <w:ind w:left="720"/>
      <w:contextualSpacing/>
    </w:pPr>
    <w:rPr>
      <w:szCs w:val="16"/>
    </w:rPr>
  </w:style>
  <w:style w:type="character" w:customStyle="1" w:styleId="BodyTextIndent3Char">
    <w:name w:val="Body Text Indent 3 Char"/>
    <w:aliases w:val="(.5&quot;Left Char,Double) Char"/>
    <w:basedOn w:val="DefaultParagraphFont"/>
    <w:link w:val="BodyTextIndent3"/>
    <w:uiPriority w:val="8"/>
    <w:rsid w:val="00950EED"/>
    <w:rPr>
      <w:szCs w:val="16"/>
    </w:rPr>
  </w:style>
  <w:style w:type="character" w:customStyle="1" w:styleId="Heading1Char">
    <w:name w:val="Heading 1 Char"/>
    <w:basedOn w:val="DefaultParagraphFont"/>
    <w:link w:val="Heading1"/>
    <w:uiPriority w:val="1"/>
    <w:rsid w:val="00950EED"/>
    <w:rPr>
      <w:rFonts w:asciiTheme="majorHAnsi" w:eastAsiaTheme="majorEastAsia" w:hAnsiTheme="majorHAnsi" w:cstheme="majorBidi"/>
      <w:b/>
      <w:bCs/>
      <w:caps/>
      <w:szCs w:val="28"/>
    </w:rPr>
  </w:style>
  <w:style w:type="character" w:customStyle="1" w:styleId="Heading2Char">
    <w:name w:val="Heading 2 Char"/>
    <w:basedOn w:val="DefaultParagraphFont"/>
    <w:link w:val="Heading2"/>
    <w:uiPriority w:val="1"/>
    <w:rsid w:val="00FD217D"/>
    <w:rPr>
      <w:rFonts w:asciiTheme="majorHAnsi" w:eastAsiaTheme="majorEastAsia" w:hAnsiTheme="majorHAnsi" w:cstheme="majorBidi"/>
      <w:b/>
      <w:bCs/>
      <w:i/>
      <w:szCs w:val="26"/>
    </w:rPr>
  </w:style>
  <w:style w:type="character" w:customStyle="1" w:styleId="Heading3Char">
    <w:name w:val="Heading 3 Char"/>
    <w:basedOn w:val="DefaultParagraphFont"/>
    <w:link w:val="Heading3"/>
    <w:uiPriority w:val="1"/>
    <w:rsid w:val="00FD217D"/>
    <w:rPr>
      <w:rFonts w:asciiTheme="majorHAnsi" w:eastAsiaTheme="majorEastAsia" w:hAnsiTheme="majorHAnsi" w:cstheme="majorBidi"/>
      <w:bCs/>
      <w:i/>
    </w:rPr>
  </w:style>
  <w:style w:type="character" w:customStyle="1" w:styleId="Heading4Char">
    <w:name w:val="Heading 4 Char"/>
    <w:basedOn w:val="DefaultParagraphFont"/>
    <w:link w:val="Heading4"/>
    <w:uiPriority w:val="34"/>
    <w:semiHidden/>
    <w:rsid w:val="0062474D"/>
    <w:rPr>
      <w:rFonts w:asciiTheme="majorHAnsi" w:eastAsiaTheme="majorEastAsia" w:hAnsiTheme="majorHAnsi" w:cstheme="majorBidi"/>
      <w:bCs/>
      <w:iCs/>
      <w:color w:val="0F0F0F" w:themeColor="text1"/>
      <w:szCs w:val="21"/>
      <w:lang w:val="en-CA"/>
    </w:rPr>
  </w:style>
  <w:style w:type="character" w:customStyle="1" w:styleId="Heading5Char">
    <w:name w:val="Heading 5 Char"/>
    <w:basedOn w:val="DefaultParagraphFont"/>
    <w:link w:val="Heading5"/>
    <w:uiPriority w:val="34"/>
    <w:semiHidden/>
    <w:rsid w:val="0062474D"/>
    <w:rPr>
      <w:rFonts w:asciiTheme="majorHAnsi" w:eastAsiaTheme="majorEastAsia" w:hAnsiTheme="majorHAnsi" w:cstheme="majorBidi"/>
      <w:color w:val="0F0F0F" w:themeColor="text1"/>
      <w:szCs w:val="21"/>
      <w:lang w:val="en-CA"/>
    </w:rPr>
  </w:style>
  <w:style w:type="character" w:customStyle="1" w:styleId="Heading6Char">
    <w:name w:val="Heading 6 Char"/>
    <w:basedOn w:val="DefaultParagraphFont"/>
    <w:link w:val="Heading6"/>
    <w:uiPriority w:val="34"/>
    <w:semiHidden/>
    <w:rsid w:val="0062474D"/>
    <w:rPr>
      <w:rFonts w:asciiTheme="majorHAnsi" w:eastAsiaTheme="majorEastAsia" w:hAnsiTheme="majorHAnsi" w:cstheme="majorBidi"/>
      <w:i/>
      <w:iCs/>
      <w:color w:val="0F0F0F" w:themeColor="text1"/>
      <w:szCs w:val="21"/>
      <w:lang w:val="en-CA"/>
    </w:rPr>
  </w:style>
  <w:style w:type="character" w:customStyle="1" w:styleId="Heading7Char">
    <w:name w:val="Heading 7 Char"/>
    <w:basedOn w:val="DefaultParagraphFont"/>
    <w:link w:val="Heading7"/>
    <w:uiPriority w:val="34"/>
    <w:semiHidden/>
    <w:rsid w:val="0062474D"/>
    <w:rPr>
      <w:rFonts w:asciiTheme="majorHAnsi" w:eastAsiaTheme="majorEastAsia" w:hAnsiTheme="majorHAnsi" w:cstheme="majorBidi"/>
      <w:i/>
      <w:iCs/>
      <w:color w:val="0F0F0F" w:themeColor="text1"/>
      <w:szCs w:val="21"/>
      <w:lang w:val="en-CA"/>
    </w:rPr>
  </w:style>
  <w:style w:type="character" w:customStyle="1" w:styleId="Heading9Char">
    <w:name w:val="Heading 9 Char"/>
    <w:basedOn w:val="DefaultParagraphFont"/>
    <w:link w:val="Heading9"/>
    <w:uiPriority w:val="34"/>
    <w:semiHidden/>
    <w:rsid w:val="0062474D"/>
    <w:rPr>
      <w:rFonts w:asciiTheme="majorHAnsi" w:eastAsiaTheme="majorEastAsia" w:hAnsiTheme="majorHAnsi" w:cstheme="majorBidi"/>
      <w:i/>
      <w:iCs/>
      <w:color w:val="0F0F0F" w:themeColor="text1"/>
      <w:szCs w:val="20"/>
      <w:lang w:val="en-CA"/>
    </w:rPr>
  </w:style>
  <w:style w:type="character" w:customStyle="1" w:styleId="Heading8Char">
    <w:name w:val="Heading 8 Char"/>
    <w:basedOn w:val="DefaultParagraphFont"/>
    <w:link w:val="Heading8"/>
    <w:uiPriority w:val="34"/>
    <w:semiHidden/>
    <w:rsid w:val="0062474D"/>
    <w:rPr>
      <w:rFonts w:asciiTheme="majorHAnsi" w:eastAsiaTheme="majorEastAsia" w:hAnsiTheme="majorHAnsi" w:cstheme="majorBidi"/>
      <w:color w:val="4B4B4B" w:themeColor="text1" w:themeTint="BF"/>
      <w:sz w:val="20"/>
      <w:szCs w:val="20"/>
      <w:lang w:val="en-CA"/>
    </w:rPr>
  </w:style>
  <w:style w:type="paragraph" w:styleId="Title">
    <w:name w:val="Title"/>
    <w:basedOn w:val="Normal"/>
    <w:next w:val="Normal"/>
    <w:link w:val="TitleChar"/>
    <w:uiPriority w:val="40"/>
    <w:qFormat/>
    <w:rsid w:val="00664C98"/>
    <w:pPr>
      <w:pBdr>
        <w:bottom w:val="single" w:sz="8" w:space="4" w:color="5F6163" w:themeColor="text2" w:themeShade="BF"/>
      </w:pBdr>
      <w:contextualSpacing/>
    </w:pPr>
    <w:rPr>
      <w:rFonts w:asciiTheme="majorHAnsi" w:eastAsiaTheme="majorEastAsia" w:hAnsiTheme="majorHAnsi" w:cstheme="majorBidi"/>
      <w:color w:val="5F6163" w:themeColor="text2" w:themeShade="BF"/>
      <w:spacing w:val="5"/>
      <w:kern w:val="28"/>
      <w:sz w:val="52"/>
      <w:szCs w:val="52"/>
    </w:rPr>
  </w:style>
  <w:style w:type="character" w:customStyle="1" w:styleId="TitleChar">
    <w:name w:val="Title Char"/>
    <w:basedOn w:val="DefaultParagraphFont"/>
    <w:link w:val="Title"/>
    <w:uiPriority w:val="40"/>
    <w:rsid w:val="00664C98"/>
    <w:rPr>
      <w:rFonts w:asciiTheme="majorHAnsi" w:eastAsiaTheme="majorEastAsia" w:hAnsiTheme="majorHAnsi" w:cstheme="majorBidi"/>
      <w:color w:val="5F6163" w:themeColor="text2" w:themeShade="BF"/>
      <w:spacing w:val="5"/>
      <w:kern w:val="28"/>
      <w:sz w:val="52"/>
      <w:szCs w:val="52"/>
      <w:lang w:val="en-CA"/>
    </w:rPr>
  </w:style>
  <w:style w:type="paragraph" w:styleId="Caption">
    <w:name w:val="caption"/>
    <w:basedOn w:val="Normal"/>
    <w:next w:val="Normal"/>
    <w:uiPriority w:val="35"/>
    <w:semiHidden/>
    <w:unhideWhenUsed/>
    <w:qFormat/>
    <w:rsid w:val="0062474D"/>
    <w:pPr>
      <w:jc w:val="center"/>
    </w:pPr>
    <w:rPr>
      <w:b/>
      <w:bCs/>
      <w:sz w:val="18"/>
      <w:szCs w:val="18"/>
    </w:rPr>
  </w:style>
  <w:style w:type="paragraph" w:styleId="FootnoteText">
    <w:name w:val="footnote text"/>
    <w:basedOn w:val="Normal"/>
    <w:link w:val="FootnoteTextChar"/>
    <w:uiPriority w:val="99"/>
    <w:semiHidden/>
    <w:rsid w:val="00EC6AFB"/>
    <w:pPr>
      <w:spacing w:after="60"/>
    </w:pPr>
    <w:rPr>
      <w:sz w:val="20"/>
      <w:szCs w:val="20"/>
    </w:rPr>
  </w:style>
  <w:style w:type="character" w:customStyle="1" w:styleId="FootnoteTextChar">
    <w:name w:val="Footnote Text Char"/>
    <w:basedOn w:val="DefaultParagraphFont"/>
    <w:link w:val="FootnoteText"/>
    <w:uiPriority w:val="99"/>
    <w:semiHidden/>
    <w:rsid w:val="00EC6AFB"/>
    <w:rPr>
      <w:sz w:val="20"/>
      <w:szCs w:val="20"/>
      <w:lang w:val="en-CA"/>
    </w:rPr>
  </w:style>
  <w:style w:type="character" w:styleId="BookTitle">
    <w:name w:val="Book Title"/>
    <w:basedOn w:val="DefaultParagraphFont"/>
    <w:uiPriority w:val="99"/>
    <w:qFormat/>
    <w:rsid w:val="0062474D"/>
    <w:rPr>
      <w:b/>
      <w:bCs/>
      <w:smallCaps/>
      <w:spacing w:val="5"/>
    </w:rPr>
  </w:style>
  <w:style w:type="paragraph" w:styleId="TOCHeading">
    <w:name w:val="TOC Heading"/>
    <w:basedOn w:val="Heading1"/>
    <w:next w:val="Normal"/>
    <w:uiPriority w:val="39"/>
    <w:semiHidden/>
    <w:unhideWhenUsed/>
    <w:qFormat/>
    <w:rsid w:val="00664C98"/>
    <w:pPr>
      <w:spacing w:before="480" w:after="0"/>
      <w:outlineLvl w:val="9"/>
    </w:pPr>
  </w:style>
  <w:style w:type="paragraph" w:styleId="BalloonText">
    <w:name w:val="Balloon Text"/>
    <w:basedOn w:val="Normal"/>
    <w:link w:val="BalloonTextChar"/>
    <w:uiPriority w:val="99"/>
    <w:semiHidden/>
    <w:rsid w:val="005F7C3C"/>
    <w:pPr>
      <w:spacing w:after="0"/>
    </w:pPr>
    <w:rPr>
      <w:rFonts w:ascii="Tahoma" w:hAnsi="Tahoma" w:cs="Tahoma"/>
      <w:sz w:val="16"/>
      <w:szCs w:val="16"/>
    </w:rPr>
  </w:style>
  <w:style w:type="paragraph" w:styleId="BlockText">
    <w:name w:val="Block Text"/>
    <w:basedOn w:val="Normal"/>
    <w:uiPriority w:val="99"/>
    <w:unhideWhenUsed/>
    <w:rsid w:val="00FD217D"/>
    <w:pPr>
      <w:ind w:left="1440" w:right="1440"/>
    </w:pPr>
    <w:rPr>
      <w:rFonts w:eastAsiaTheme="minorEastAsia"/>
      <w:i/>
      <w:iCs/>
    </w:rPr>
  </w:style>
  <w:style w:type="paragraph" w:styleId="Subtitle">
    <w:name w:val="Subtitle"/>
    <w:basedOn w:val="Normal"/>
    <w:next w:val="Normal"/>
    <w:link w:val="SubtitleChar"/>
    <w:uiPriority w:val="41"/>
    <w:rsid w:val="00475DEA"/>
    <w:pPr>
      <w:numPr>
        <w:ilvl w:val="1"/>
      </w:numPr>
    </w:pPr>
    <w:rPr>
      <w:rFonts w:asciiTheme="majorHAnsi" w:eastAsiaTheme="majorEastAsia" w:hAnsiTheme="majorHAnsi" w:cstheme="majorBidi"/>
      <w:i/>
      <w:iCs/>
      <w:szCs w:val="24"/>
    </w:rPr>
  </w:style>
  <w:style w:type="character" w:customStyle="1" w:styleId="SubtitleChar">
    <w:name w:val="Subtitle Char"/>
    <w:basedOn w:val="DefaultParagraphFont"/>
    <w:link w:val="Subtitle"/>
    <w:uiPriority w:val="41"/>
    <w:rsid w:val="00475DEA"/>
    <w:rPr>
      <w:rFonts w:asciiTheme="majorHAnsi" w:eastAsiaTheme="majorEastAsia" w:hAnsiTheme="majorHAnsi" w:cstheme="majorBidi"/>
      <w:i/>
      <w:iCs/>
      <w:szCs w:val="24"/>
    </w:rPr>
  </w:style>
  <w:style w:type="character" w:styleId="IntenseEmphasis">
    <w:name w:val="Intense Emphasis"/>
    <w:basedOn w:val="DefaultParagraphFont"/>
    <w:uiPriority w:val="51"/>
    <w:rsid w:val="00475DEA"/>
    <w:rPr>
      <w:b/>
      <w:bCs/>
      <w:i/>
      <w:iCs/>
      <w:color w:val="auto"/>
    </w:rPr>
  </w:style>
  <w:style w:type="character" w:customStyle="1" w:styleId="BalloonTextChar">
    <w:name w:val="Balloon Text Char"/>
    <w:basedOn w:val="DefaultParagraphFont"/>
    <w:link w:val="BalloonText"/>
    <w:uiPriority w:val="99"/>
    <w:semiHidden/>
    <w:rsid w:val="005F7C3C"/>
    <w:rPr>
      <w:rFonts w:ascii="Tahoma" w:hAnsi="Tahoma" w:cs="Tahoma"/>
      <w:sz w:val="16"/>
      <w:szCs w:val="16"/>
    </w:rPr>
  </w:style>
  <w:style w:type="paragraph" w:styleId="EndnoteText">
    <w:name w:val="endnote text"/>
    <w:basedOn w:val="Normal"/>
    <w:link w:val="EndnoteTextChar"/>
    <w:uiPriority w:val="99"/>
    <w:semiHidden/>
    <w:rsid w:val="00664C98"/>
    <w:pPr>
      <w:spacing w:after="0"/>
    </w:pPr>
    <w:rPr>
      <w:sz w:val="20"/>
      <w:szCs w:val="20"/>
    </w:rPr>
  </w:style>
  <w:style w:type="paragraph" w:styleId="IntenseQuote">
    <w:name w:val="Intense Quote"/>
    <w:basedOn w:val="Normal"/>
    <w:next w:val="Normal"/>
    <w:link w:val="IntenseQuoteChar"/>
    <w:uiPriority w:val="60"/>
    <w:rsid w:val="00664C98"/>
    <w:pPr>
      <w:pBdr>
        <w:bottom w:val="single" w:sz="4" w:space="4" w:color="5F6163" w:themeColor="text2" w:themeShade="BF"/>
      </w:pBdr>
      <w:spacing w:before="240"/>
      <w:ind w:left="936" w:right="936"/>
    </w:pPr>
    <w:rPr>
      <w:b/>
      <w:bCs/>
      <w:i/>
      <w:iCs/>
    </w:rPr>
  </w:style>
  <w:style w:type="character" w:customStyle="1" w:styleId="IntenseQuoteChar">
    <w:name w:val="Intense Quote Char"/>
    <w:basedOn w:val="DefaultParagraphFont"/>
    <w:link w:val="IntenseQuote"/>
    <w:uiPriority w:val="60"/>
    <w:rsid w:val="00664C98"/>
    <w:rPr>
      <w:b/>
      <w:bCs/>
      <w:i/>
      <w:iCs/>
      <w:lang w:val="en-CA"/>
    </w:rPr>
  </w:style>
  <w:style w:type="character" w:customStyle="1" w:styleId="EndnoteTextChar">
    <w:name w:val="Endnote Text Char"/>
    <w:basedOn w:val="DefaultParagraphFont"/>
    <w:link w:val="EndnoteText"/>
    <w:uiPriority w:val="99"/>
    <w:semiHidden/>
    <w:rsid w:val="00664C98"/>
    <w:rPr>
      <w:sz w:val="20"/>
      <w:szCs w:val="20"/>
      <w:lang w:val="en-CA"/>
    </w:rPr>
  </w:style>
  <w:style w:type="character" w:styleId="EndnoteReference">
    <w:name w:val="endnote reference"/>
    <w:basedOn w:val="DefaultParagraphFont"/>
    <w:uiPriority w:val="99"/>
    <w:semiHidden/>
    <w:rsid w:val="00664C98"/>
    <w:rPr>
      <w:vertAlign w:val="superscript"/>
    </w:rPr>
  </w:style>
  <w:style w:type="character" w:styleId="FootnoteReference">
    <w:name w:val="footnote reference"/>
    <w:basedOn w:val="DefaultParagraphFont"/>
    <w:uiPriority w:val="99"/>
    <w:semiHidden/>
    <w:rsid w:val="00EC6AFB"/>
    <w:rPr>
      <w:vertAlign w:val="superscript"/>
    </w:rPr>
  </w:style>
  <w:style w:type="character" w:customStyle="1" w:styleId="Prompt">
    <w:name w:val="Prompt"/>
    <w:aliases w:val="PR"/>
    <w:rsid w:val="0004365C"/>
    <w:rPr>
      <w:color w:val="auto"/>
      <w:lang w:val="en-CA" w:eastAsia="en-CA" w:bidi="ar-SA"/>
    </w:rPr>
  </w:style>
  <w:style w:type="paragraph" w:customStyle="1" w:styleId="MultiLevelL1">
    <w:name w:val="MultiLevel_L1"/>
    <w:basedOn w:val="Normal"/>
    <w:rsid w:val="003742FC"/>
    <w:pPr>
      <w:numPr>
        <w:numId w:val="40"/>
      </w:numPr>
      <w:outlineLvl w:val="0"/>
    </w:pPr>
    <w:rPr>
      <w:rFonts w:ascii="Arial" w:eastAsia="Times New Roman" w:hAnsi="Arial" w:cs="Arial"/>
      <w:szCs w:val="20"/>
    </w:rPr>
  </w:style>
  <w:style w:type="paragraph" w:customStyle="1" w:styleId="MultiLevelL2">
    <w:name w:val="MultiLevel_L2"/>
    <w:basedOn w:val="MultiLevelL1"/>
    <w:rsid w:val="003742FC"/>
    <w:pPr>
      <w:numPr>
        <w:ilvl w:val="1"/>
      </w:numPr>
      <w:jc w:val="left"/>
      <w:outlineLvl w:val="1"/>
    </w:pPr>
  </w:style>
  <w:style w:type="paragraph" w:customStyle="1" w:styleId="MultiLevelL3">
    <w:name w:val="MultiLevel_L3"/>
    <w:basedOn w:val="MultiLevelL2"/>
    <w:rsid w:val="003742FC"/>
    <w:pPr>
      <w:numPr>
        <w:ilvl w:val="2"/>
      </w:numPr>
      <w:outlineLvl w:val="2"/>
    </w:pPr>
  </w:style>
  <w:style w:type="paragraph" w:customStyle="1" w:styleId="MultiLevelL4">
    <w:name w:val="MultiLevel_L4"/>
    <w:basedOn w:val="MultiLevelL3"/>
    <w:rsid w:val="003742FC"/>
    <w:pPr>
      <w:numPr>
        <w:ilvl w:val="3"/>
      </w:numPr>
      <w:outlineLvl w:val="3"/>
    </w:pPr>
  </w:style>
  <w:style w:type="paragraph" w:customStyle="1" w:styleId="MultiLevelL5">
    <w:name w:val="MultiLevel_L5"/>
    <w:basedOn w:val="MultiLevelL4"/>
    <w:rsid w:val="003742FC"/>
    <w:pPr>
      <w:numPr>
        <w:ilvl w:val="4"/>
      </w:numPr>
      <w:outlineLvl w:val="4"/>
    </w:pPr>
  </w:style>
  <w:style w:type="paragraph" w:customStyle="1" w:styleId="MultiLevelL6">
    <w:name w:val="MultiLevel_L6"/>
    <w:basedOn w:val="MultiLevelL5"/>
    <w:rsid w:val="003742FC"/>
    <w:pPr>
      <w:numPr>
        <w:ilvl w:val="5"/>
      </w:numPr>
      <w:outlineLvl w:val="5"/>
    </w:pPr>
  </w:style>
  <w:style w:type="paragraph" w:customStyle="1" w:styleId="MultiLevelL7">
    <w:name w:val="MultiLevel_L7"/>
    <w:basedOn w:val="MultiLevelL6"/>
    <w:rsid w:val="003742FC"/>
    <w:pPr>
      <w:numPr>
        <w:ilvl w:val="6"/>
      </w:numPr>
      <w:outlineLvl w:val="6"/>
    </w:pPr>
  </w:style>
  <w:style w:type="paragraph" w:customStyle="1" w:styleId="MultiLevelL8">
    <w:name w:val="MultiLevel_L8"/>
    <w:basedOn w:val="MultiLevelL7"/>
    <w:rsid w:val="003742FC"/>
    <w:pPr>
      <w:numPr>
        <w:ilvl w:val="7"/>
      </w:numPr>
      <w:outlineLvl w:val="7"/>
    </w:pPr>
  </w:style>
  <w:style w:type="paragraph" w:customStyle="1" w:styleId="MultiLevelL9">
    <w:name w:val="MultiLevel_L9"/>
    <w:basedOn w:val="MultiLevelL8"/>
    <w:rsid w:val="003742FC"/>
    <w:pPr>
      <w:numPr>
        <w:ilvl w:val="8"/>
      </w:numPr>
      <w:outlineLvl w:val="8"/>
    </w:pPr>
  </w:style>
  <w:style w:type="paragraph" w:styleId="CommentText">
    <w:name w:val="annotation text"/>
    <w:basedOn w:val="Normal"/>
    <w:link w:val="CommentTextChar"/>
    <w:uiPriority w:val="99"/>
    <w:semiHidden/>
    <w:unhideWhenUsed/>
    <w:rsid w:val="00DC097A"/>
    <w:rPr>
      <w:sz w:val="20"/>
      <w:szCs w:val="20"/>
    </w:rPr>
  </w:style>
  <w:style w:type="character" w:customStyle="1" w:styleId="CommentTextChar">
    <w:name w:val="Comment Text Char"/>
    <w:basedOn w:val="DefaultParagraphFont"/>
    <w:link w:val="CommentText"/>
    <w:uiPriority w:val="99"/>
    <w:semiHidden/>
    <w:rsid w:val="00DC097A"/>
    <w:rPr>
      <w:sz w:val="20"/>
      <w:szCs w:val="20"/>
      <w:lang w:val="en-CA"/>
    </w:rPr>
  </w:style>
  <w:style w:type="paragraph" w:customStyle="1" w:styleId="StandardL1">
    <w:name w:val="Standard_L1"/>
    <w:basedOn w:val="Normal"/>
    <w:link w:val="StandardL1Char"/>
    <w:rsid w:val="00F714D7"/>
    <w:pPr>
      <w:numPr>
        <w:numId w:val="43"/>
      </w:numPr>
      <w:outlineLvl w:val="0"/>
    </w:pPr>
    <w:rPr>
      <w:rFonts w:ascii="Times New Roman" w:eastAsia="Times New Roman" w:hAnsi="Times New Roman" w:cs="Times New Roman"/>
      <w:sz w:val="24"/>
      <w:szCs w:val="20"/>
    </w:rPr>
  </w:style>
  <w:style w:type="paragraph" w:customStyle="1" w:styleId="StandardL2">
    <w:name w:val="Standard_L2"/>
    <w:basedOn w:val="StandardL1"/>
    <w:rsid w:val="00F714D7"/>
    <w:pPr>
      <w:numPr>
        <w:ilvl w:val="1"/>
      </w:numPr>
      <w:tabs>
        <w:tab w:val="clear" w:pos="1440"/>
      </w:tabs>
      <w:ind w:hanging="360"/>
      <w:outlineLvl w:val="1"/>
    </w:pPr>
  </w:style>
  <w:style w:type="paragraph" w:customStyle="1" w:styleId="StandardL3">
    <w:name w:val="Standard_L3"/>
    <w:basedOn w:val="StandardL2"/>
    <w:rsid w:val="00F714D7"/>
    <w:pPr>
      <w:numPr>
        <w:ilvl w:val="2"/>
      </w:numPr>
      <w:tabs>
        <w:tab w:val="clear" w:pos="2160"/>
      </w:tabs>
      <w:ind w:hanging="180"/>
      <w:outlineLvl w:val="2"/>
    </w:pPr>
  </w:style>
  <w:style w:type="paragraph" w:customStyle="1" w:styleId="StandardL4">
    <w:name w:val="Standard_L4"/>
    <w:basedOn w:val="StandardL3"/>
    <w:rsid w:val="00F714D7"/>
    <w:pPr>
      <w:numPr>
        <w:ilvl w:val="3"/>
      </w:numPr>
      <w:tabs>
        <w:tab w:val="clear" w:pos="2880"/>
      </w:tabs>
      <w:ind w:hanging="360"/>
      <w:outlineLvl w:val="3"/>
    </w:pPr>
  </w:style>
  <w:style w:type="paragraph" w:customStyle="1" w:styleId="StandardL5">
    <w:name w:val="Standard_L5"/>
    <w:basedOn w:val="StandardL4"/>
    <w:rsid w:val="00F714D7"/>
    <w:pPr>
      <w:numPr>
        <w:ilvl w:val="4"/>
      </w:numPr>
      <w:tabs>
        <w:tab w:val="clear" w:pos="3600"/>
      </w:tabs>
      <w:ind w:hanging="360"/>
      <w:outlineLvl w:val="4"/>
    </w:pPr>
  </w:style>
  <w:style w:type="paragraph" w:customStyle="1" w:styleId="StandardL6">
    <w:name w:val="Standard_L6"/>
    <w:basedOn w:val="StandardL5"/>
    <w:rsid w:val="00F714D7"/>
    <w:pPr>
      <w:numPr>
        <w:ilvl w:val="5"/>
      </w:numPr>
      <w:tabs>
        <w:tab w:val="clear" w:pos="4320"/>
      </w:tabs>
      <w:ind w:hanging="180"/>
      <w:outlineLvl w:val="5"/>
    </w:pPr>
  </w:style>
  <w:style w:type="paragraph" w:customStyle="1" w:styleId="StandardL7">
    <w:name w:val="Standard_L7"/>
    <w:basedOn w:val="StandardL6"/>
    <w:rsid w:val="00F714D7"/>
    <w:pPr>
      <w:numPr>
        <w:ilvl w:val="6"/>
      </w:numPr>
      <w:tabs>
        <w:tab w:val="clear" w:pos="5040"/>
      </w:tabs>
      <w:ind w:hanging="360"/>
      <w:outlineLvl w:val="6"/>
    </w:pPr>
  </w:style>
  <w:style w:type="paragraph" w:customStyle="1" w:styleId="StandardL8">
    <w:name w:val="Standard_L8"/>
    <w:basedOn w:val="StandardL7"/>
    <w:rsid w:val="00F714D7"/>
    <w:pPr>
      <w:numPr>
        <w:ilvl w:val="7"/>
      </w:numPr>
      <w:tabs>
        <w:tab w:val="clear" w:pos="5760"/>
      </w:tabs>
      <w:ind w:hanging="360"/>
      <w:outlineLvl w:val="7"/>
    </w:pPr>
  </w:style>
  <w:style w:type="paragraph" w:customStyle="1" w:styleId="StandardL9">
    <w:name w:val="Standard_L9"/>
    <w:basedOn w:val="StandardL8"/>
    <w:rsid w:val="00F714D7"/>
    <w:pPr>
      <w:numPr>
        <w:ilvl w:val="8"/>
      </w:numPr>
      <w:tabs>
        <w:tab w:val="clear" w:pos="6480"/>
      </w:tabs>
      <w:ind w:hanging="180"/>
      <w:outlineLvl w:val="8"/>
    </w:pPr>
  </w:style>
  <w:style w:type="character" w:customStyle="1" w:styleId="StandardL1Char">
    <w:name w:val="Standard_L1 Char"/>
    <w:basedOn w:val="DefaultParagraphFont"/>
    <w:link w:val="StandardL1"/>
    <w:rsid w:val="00F714D7"/>
    <w:rPr>
      <w:rFonts w:ascii="Times New Roman" w:eastAsia="Times New Roman" w:hAnsi="Times New Roman" w:cs="Times New Roman"/>
      <w:sz w:val="24"/>
      <w:szCs w:val="20"/>
      <w:lang w:val="en-C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40"/>
        <w:jc w:val="both"/>
      </w:pPr>
    </w:pPrDefault>
  </w:docDefaults>
  <w:latentStyles w:defLockedState="0" w:defUIPriority="99" w:defSemiHidden="1" w:defUnhideWhenUsed="0" w:defQFormat="0" w:count="267">
    <w:lsdException w:name="Normal" w:semiHidden="0" w:uiPriority="98" w:qFormat="1"/>
    <w:lsdException w:name="heading 1" w:semiHidden="0" w:uiPriority="1" w:qFormat="1"/>
    <w:lsdException w:name="heading 2" w:semiHidden="0" w:uiPriority="1" w:qFormat="1"/>
    <w:lsdException w:name="heading 3" w:semiHidden="0" w:uiPriority="1" w:qFormat="1"/>
    <w:lsdException w:name="heading 4" w:semiHidden="0" w:uiPriority="34" w:qFormat="1"/>
    <w:lsdException w:name="heading 5" w:semiHidden="0" w:uiPriority="34" w:qFormat="1"/>
    <w:lsdException w:name="heading 6" w:semiHidden="0" w:uiPriority="34" w:qFormat="1"/>
    <w:lsdException w:name="heading 7" w:semiHidden="0" w:uiPriority="34" w:qFormat="1"/>
    <w:lsdException w:name="heading 8" w:semiHidden="0" w:uiPriority="34" w:qFormat="1"/>
    <w:lsdException w:name="heading 9" w:semiHidden="0" w:uiPriority="34"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header" w:unhideWhenUsed="1"/>
    <w:lsdException w:name="footer" w:unhideWhenUsed="1"/>
    <w:lsdException w:name="index heading" w:unhideWhenUsed="1"/>
    <w:lsdException w:name="caption" w:uiPriority="35" w:unhideWhenUsed="1" w:qFormat="1"/>
    <w:lsdException w:name="table of figures" w:unhideWhenUsed="1"/>
    <w:lsdException w:name="table of authorities" w:unhideWhenUsed="1"/>
    <w:lsdException w:name="toa heading" w:unhideWhenUsed="1"/>
    <w:lsdException w:name="Title" w:semiHidden="0" w:uiPriority="40" w:qFormat="1"/>
    <w:lsdException w:name="Closing" w:unhideWhenUsed="1"/>
    <w:lsdException w:name="Signature" w:unhideWhenUsed="1"/>
    <w:lsdException w:name="Default Paragraph Font" w:uiPriority="1" w:unhideWhenUsed="1"/>
    <w:lsdException w:name="Body Text" w:uiPriority="0" w:unhideWhenUsed="1" w:qFormat="1"/>
    <w:lsdException w:name="Body Text Indent" w:semiHidden="0" w:uiPriority="3" w:qFormat="1"/>
    <w:lsdException w:name="Message Header" w:unhideWhenUsed="1"/>
    <w:lsdException w:name="Subtitle" w:uiPriority="41"/>
    <w:lsdException w:name="Salutation" w:unhideWhenUsed="1"/>
    <w:lsdException w:name="Body Text First Indent" w:semiHidden="0" w:uiPriority="3" w:qFormat="1"/>
    <w:lsdException w:name="Body Text First Indent 2" w:semiHidden="0" w:uiPriority="4" w:qFormat="1"/>
    <w:lsdException w:name="Body Text 2" w:semiHidden="0" w:uiPriority="2" w:qFormat="1"/>
    <w:lsdException w:name="Body Text 3" w:semiHidden="0" w:uiPriority="8" w:qFormat="1"/>
    <w:lsdException w:name="Body Text Indent 2" w:semiHidden="0" w:uiPriority="4" w:qFormat="1"/>
    <w:lsdException w:name="Body Text Indent 3" w:semiHidden="0" w:uiPriority="8" w:qFormat="1"/>
    <w:lsdException w:name="Block Text" w:unhideWhenUsed="1"/>
    <w:lsdException w:name="Hyperlink" w:unhideWhenUsed="1"/>
    <w:lsdException w:name="Strong" w:uiPriority="52"/>
    <w:lsdException w:name="Emphasis" w:uiPriority="50"/>
    <w:lsdException w:name="HTML Top of Form" w:unhideWhenUsed="1"/>
    <w:lsdException w:name="HTML Bottom of Form"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lsdException w:name="Quote" w:uiPriority="59"/>
    <w:lsdException w:name="Intense Quote" w:uiPriority="60"/>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uiPriority="49"/>
    <w:lsdException w:name="Intense Emphasis" w:uiPriority="51"/>
    <w:lsdException w:name="Subtle Reference" w:uiPriority="61"/>
    <w:lsdException w:name="Intense Reference" w:uiPriority="62"/>
    <w:lsdException w:name="Book Title" w:qFormat="1"/>
    <w:lsdException w:name="Bibliography" w:uiPriority="37"/>
    <w:lsdException w:name="TOC Heading" w:uiPriority="39" w:unhideWhenUsed="1" w:qFormat="1"/>
  </w:latentStyles>
  <w:style w:type="paragraph" w:default="1" w:styleId="Normal">
    <w:name w:val="Normal"/>
    <w:uiPriority w:val="98"/>
    <w:qFormat/>
    <w:rsid w:val="001967C3"/>
    <w:rPr>
      <w:lang w:val="en-CA"/>
    </w:rPr>
  </w:style>
  <w:style w:type="paragraph" w:styleId="Heading1">
    <w:name w:val="heading 1"/>
    <w:basedOn w:val="Normal"/>
    <w:next w:val="Normal"/>
    <w:link w:val="Heading1Char"/>
    <w:uiPriority w:val="1"/>
    <w:qFormat/>
    <w:rsid w:val="00950EED"/>
    <w:pPr>
      <w:keepNext/>
      <w:keepLines/>
      <w:jc w:val="center"/>
      <w:outlineLvl w:val="0"/>
    </w:pPr>
    <w:rPr>
      <w:rFonts w:asciiTheme="majorHAnsi" w:eastAsiaTheme="majorEastAsia" w:hAnsiTheme="majorHAnsi" w:cstheme="majorBidi"/>
      <w:b/>
      <w:bCs/>
      <w:caps/>
      <w:szCs w:val="28"/>
    </w:rPr>
  </w:style>
  <w:style w:type="paragraph" w:styleId="Heading2">
    <w:name w:val="heading 2"/>
    <w:basedOn w:val="Normal"/>
    <w:next w:val="Normal"/>
    <w:link w:val="Heading2Char"/>
    <w:uiPriority w:val="1"/>
    <w:qFormat/>
    <w:rsid w:val="00FD217D"/>
    <w:pPr>
      <w:keepNext/>
      <w:keepLines/>
      <w:outlineLvl w:val="1"/>
    </w:pPr>
    <w:rPr>
      <w:rFonts w:asciiTheme="majorHAnsi" w:eastAsiaTheme="majorEastAsia" w:hAnsiTheme="majorHAnsi" w:cstheme="majorBidi"/>
      <w:b/>
      <w:bCs/>
      <w:i/>
      <w:szCs w:val="26"/>
    </w:rPr>
  </w:style>
  <w:style w:type="paragraph" w:styleId="Heading3">
    <w:name w:val="heading 3"/>
    <w:basedOn w:val="Normal"/>
    <w:next w:val="Normal"/>
    <w:link w:val="Heading3Char"/>
    <w:uiPriority w:val="1"/>
    <w:qFormat/>
    <w:rsid w:val="00FD217D"/>
    <w:pPr>
      <w:keepLines/>
      <w:outlineLvl w:val="2"/>
    </w:pPr>
    <w:rPr>
      <w:rFonts w:asciiTheme="majorHAnsi" w:eastAsiaTheme="majorEastAsia" w:hAnsiTheme="majorHAnsi" w:cstheme="majorBidi"/>
      <w:bCs/>
      <w:i/>
    </w:rPr>
  </w:style>
  <w:style w:type="paragraph" w:styleId="Heading4">
    <w:name w:val="heading 4"/>
    <w:basedOn w:val="Normal"/>
    <w:next w:val="Normal"/>
    <w:link w:val="Heading4Char"/>
    <w:uiPriority w:val="34"/>
    <w:semiHidden/>
    <w:qFormat/>
    <w:rsid w:val="0062474D"/>
    <w:pPr>
      <w:keepLines/>
      <w:outlineLvl w:val="3"/>
    </w:pPr>
    <w:rPr>
      <w:rFonts w:asciiTheme="majorHAnsi" w:eastAsiaTheme="majorEastAsia" w:hAnsiTheme="majorHAnsi" w:cstheme="majorBidi"/>
      <w:bCs/>
      <w:iCs/>
      <w:color w:val="0F0F0F" w:themeColor="text1"/>
    </w:rPr>
  </w:style>
  <w:style w:type="paragraph" w:styleId="Heading5">
    <w:name w:val="heading 5"/>
    <w:basedOn w:val="Normal"/>
    <w:next w:val="Normal"/>
    <w:link w:val="Heading5Char"/>
    <w:uiPriority w:val="34"/>
    <w:semiHidden/>
    <w:qFormat/>
    <w:rsid w:val="0062474D"/>
    <w:pPr>
      <w:keepLines/>
      <w:outlineLvl w:val="4"/>
    </w:pPr>
    <w:rPr>
      <w:rFonts w:asciiTheme="majorHAnsi" w:eastAsiaTheme="majorEastAsia" w:hAnsiTheme="majorHAnsi" w:cstheme="majorBidi"/>
      <w:color w:val="0F0F0F" w:themeColor="text1"/>
    </w:rPr>
  </w:style>
  <w:style w:type="paragraph" w:styleId="Heading6">
    <w:name w:val="heading 6"/>
    <w:basedOn w:val="Normal"/>
    <w:next w:val="Normal"/>
    <w:link w:val="Heading6Char"/>
    <w:uiPriority w:val="34"/>
    <w:semiHidden/>
    <w:qFormat/>
    <w:rsid w:val="0062474D"/>
    <w:pPr>
      <w:keepLines/>
      <w:outlineLvl w:val="5"/>
    </w:pPr>
    <w:rPr>
      <w:rFonts w:asciiTheme="majorHAnsi" w:eastAsiaTheme="majorEastAsia" w:hAnsiTheme="majorHAnsi" w:cstheme="majorBidi"/>
      <w:i/>
      <w:iCs/>
      <w:color w:val="0F0F0F" w:themeColor="text1"/>
    </w:rPr>
  </w:style>
  <w:style w:type="paragraph" w:styleId="Heading7">
    <w:name w:val="heading 7"/>
    <w:basedOn w:val="Normal"/>
    <w:next w:val="Normal"/>
    <w:link w:val="Heading7Char"/>
    <w:uiPriority w:val="34"/>
    <w:semiHidden/>
    <w:qFormat/>
    <w:rsid w:val="0062474D"/>
    <w:pPr>
      <w:keepLines/>
      <w:outlineLvl w:val="6"/>
    </w:pPr>
    <w:rPr>
      <w:rFonts w:asciiTheme="majorHAnsi" w:eastAsiaTheme="majorEastAsia" w:hAnsiTheme="majorHAnsi" w:cstheme="majorBidi"/>
      <w:i/>
      <w:iCs/>
      <w:color w:val="0F0F0F" w:themeColor="text1"/>
    </w:rPr>
  </w:style>
  <w:style w:type="paragraph" w:styleId="Heading8">
    <w:name w:val="heading 8"/>
    <w:basedOn w:val="Normal"/>
    <w:next w:val="Normal"/>
    <w:link w:val="Heading8Char"/>
    <w:uiPriority w:val="34"/>
    <w:semiHidden/>
    <w:qFormat/>
    <w:rsid w:val="0062474D"/>
    <w:pPr>
      <w:keepNext/>
      <w:keepLines/>
      <w:outlineLvl w:val="7"/>
    </w:pPr>
    <w:rPr>
      <w:rFonts w:asciiTheme="majorHAnsi" w:eastAsiaTheme="majorEastAsia" w:hAnsiTheme="majorHAnsi" w:cstheme="majorBidi"/>
      <w:color w:val="4B4B4B" w:themeColor="text1" w:themeTint="BF"/>
      <w:sz w:val="20"/>
      <w:szCs w:val="20"/>
    </w:rPr>
  </w:style>
  <w:style w:type="paragraph" w:styleId="Heading9">
    <w:name w:val="heading 9"/>
    <w:basedOn w:val="Normal"/>
    <w:next w:val="Normal"/>
    <w:link w:val="Heading9Char"/>
    <w:uiPriority w:val="34"/>
    <w:semiHidden/>
    <w:qFormat/>
    <w:rsid w:val="0062474D"/>
    <w:pPr>
      <w:keepLines/>
      <w:outlineLvl w:val="8"/>
    </w:pPr>
    <w:rPr>
      <w:rFonts w:asciiTheme="majorHAnsi" w:eastAsiaTheme="majorEastAsia" w:hAnsiTheme="majorHAnsi" w:cstheme="majorBidi"/>
      <w:i/>
      <w:iCs/>
      <w:color w:val="0F0F0F" w:themeColor="text1"/>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akesDocID">
    <w:name w:val="Blakes DocID"/>
    <w:basedOn w:val="Normal"/>
    <w:uiPriority w:val="99"/>
    <w:semiHidden/>
    <w:rsid w:val="00C01ADD"/>
    <w:rPr>
      <w:noProof/>
      <w:sz w:val="16"/>
    </w:rPr>
  </w:style>
  <w:style w:type="paragraph" w:styleId="Header">
    <w:name w:val="header"/>
    <w:basedOn w:val="Normal"/>
    <w:link w:val="HeaderChar"/>
    <w:uiPriority w:val="99"/>
    <w:semiHidden/>
    <w:rsid w:val="0062474D"/>
    <w:pPr>
      <w:tabs>
        <w:tab w:val="center" w:pos="4680"/>
        <w:tab w:val="right" w:pos="9360"/>
      </w:tabs>
    </w:pPr>
  </w:style>
  <w:style w:type="character" w:customStyle="1" w:styleId="HeaderChar">
    <w:name w:val="Header Char"/>
    <w:basedOn w:val="DefaultParagraphFont"/>
    <w:link w:val="Header"/>
    <w:uiPriority w:val="99"/>
    <w:semiHidden/>
    <w:rsid w:val="0062474D"/>
    <w:rPr>
      <w:szCs w:val="21"/>
      <w:lang w:val="en-CA"/>
    </w:rPr>
  </w:style>
  <w:style w:type="paragraph" w:styleId="Footer">
    <w:name w:val="footer"/>
    <w:basedOn w:val="Normal"/>
    <w:link w:val="FooterChar"/>
    <w:uiPriority w:val="99"/>
    <w:semiHidden/>
    <w:rsid w:val="0062474D"/>
    <w:pPr>
      <w:tabs>
        <w:tab w:val="center" w:pos="4680"/>
        <w:tab w:val="right" w:pos="9360"/>
      </w:tabs>
    </w:pPr>
  </w:style>
  <w:style w:type="character" w:customStyle="1" w:styleId="FooterChar">
    <w:name w:val="Footer Char"/>
    <w:basedOn w:val="DefaultParagraphFont"/>
    <w:link w:val="Footer"/>
    <w:uiPriority w:val="99"/>
    <w:semiHidden/>
    <w:rsid w:val="0062474D"/>
    <w:rPr>
      <w:szCs w:val="21"/>
      <w:lang w:val="en-CA"/>
    </w:rPr>
  </w:style>
  <w:style w:type="table" w:styleId="TableGrid">
    <w:name w:val="Table Grid"/>
    <w:basedOn w:val="TableNormal"/>
    <w:uiPriority w:val="59"/>
    <w:rsid w:val="00950EED"/>
    <w:pPr>
      <w:jc w:val="left"/>
    </w:pPr>
    <w:rPr>
      <w:szCs w:val="21"/>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qFormat/>
    <w:rsid w:val="00544333"/>
  </w:style>
  <w:style w:type="character" w:customStyle="1" w:styleId="BodyTextChar">
    <w:name w:val="Body Text Char"/>
    <w:basedOn w:val="DefaultParagraphFont"/>
    <w:link w:val="BodyText"/>
    <w:rsid w:val="00544333"/>
    <w:rPr>
      <w:lang w:val="en-CA"/>
    </w:rPr>
  </w:style>
  <w:style w:type="paragraph" w:styleId="NoSpacing">
    <w:name w:val="No Spacing"/>
    <w:uiPriority w:val="1"/>
    <w:qFormat/>
    <w:rsid w:val="00FD217D"/>
    <w:pPr>
      <w:spacing w:after="0"/>
    </w:pPr>
    <w:rPr>
      <w:szCs w:val="21"/>
    </w:rPr>
  </w:style>
  <w:style w:type="paragraph" w:styleId="ListParagraph">
    <w:name w:val="List Paragraph"/>
    <w:basedOn w:val="Normal"/>
    <w:uiPriority w:val="99"/>
    <w:rsid w:val="0062474D"/>
    <w:pPr>
      <w:ind w:left="720"/>
      <w:contextualSpacing/>
    </w:pPr>
  </w:style>
  <w:style w:type="paragraph" w:styleId="BodyText2">
    <w:name w:val="Body Text 2"/>
    <w:aliases w:val="(Double)"/>
    <w:basedOn w:val="BodyText"/>
    <w:link w:val="BodyText2Char"/>
    <w:uiPriority w:val="2"/>
    <w:qFormat/>
    <w:rsid w:val="00950EED"/>
    <w:pPr>
      <w:spacing w:after="480" w:line="480" w:lineRule="auto"/>
      <w:contextualSpacing/>
    </w:pPr>
  </w:style>
  <w:style w:type="character" w:customStyle="1" w:styleId="BodyText2Char">
    <w:name w:val="Body Text 2 Char"/>
    <w:aliases w:val="(Double) Char"/>
    <w:basedOn w:val="DefaultParagraphFont"/>
    <w:link w:val="BodyText2"/>
    <w:uiPriority w:val="2"/>
    <w:rsid w:val="00950EED"/>
  </w:style>
  <w:style w:type="paragraph" w:styleId="Closing">
    <w:name w:val="Closing"/>
    <w:basedOn w:val="Normal"/>
    <w:link w:val="ClosingChar"/>
    <w:uiPriority w:val="99"/>
    <w:semiHidden/>
    <w:unhideWhenUsed/>
    <w:rsid w:val="0062474D"/>
    <w:pPr>
      <w:ind w:left="4320"/>
    </w:pPr>
  </w:style>
  <w:style w:type="character" w:customStyle="1" w:styleId="ClosingChar">
    <w:name w:val="Closing Char"/>
    <w:basedOn w:val="DefaultParagraphFont"/>
    <w:link w:val="Closing"/>
    <w:uiPriority w:val="99"/>
    <w:semiHidden/>
    <w:rsid w:val="0062474D"/>
    <w:rPr>
      <w:szCs w:val="21"/>
      <w:lang w:val="en-CA"/>
    </w:rPr>
  </w:style>
  <w:style w:type="paragraph" w:styleId="BodyText3">
    <w:name w:val="Body Text 3"/>
    <w:aliases w:val="(Font Change)"/>
    <w:basedOn w:val="BodyText"/>
    <w:link w:val="BodyText3Char"/>
    <w:uiPriority w:val="8"/>
    <w:qFormat/>
    <w:rsid w:val="00475DEA"/>
    <w:rPr>
      <w:szCs w:val="16"/>
    </w:rPr>
  </w:style>
  <w:style w:type="character" w:customStyle="1" w:styleId="BodyText3Char">
    <w:name w:val="Body Text 3 Char"/>
    <w:aliases w:val="(Font Change) Char"/>
    <w:basedOn w:val="DefaultParagraphFont"/>
    <w:link w:val="BodyText3"/>
    <w:uiPriority w:val="8"/>
    <w:rsid w:val="00475DEA"/>
    <w:rPr>
      <w:rFonts w:asciiTheme="minorHAnsi" w:hAnsiTheme="minorHAnsi"/>
      <w:szCs w:val="16"/>
    </w:rPr>
  </w:style>
  <w:style w:type="paragraph" w:styleId="BodyTextFirstIndent">
    <w:name w:val="Body Text First Indent"/>
    <w:aliases w:val="(.5&quot;)"/>
    <w:basedOn w:val="BodyText"/>
    <w:link w:val="BodyTextFirstIndentChar"/>
    <w:uiPriority w:val="3"/>
    <w:qFormat/>
    <w:rsid w:val="00FD217D"/>
    <w:pPr>
      <w:ind w:firstLine="720"/>
    </w:pPr>
  </w:style>
  <w:style w:type="character" w:customStyle="1" w:styleId="BodyTextFirstIndentChar">
    <w:name w:val="Body Text First Indent Char"/>
    <w:aliases w:val="(.5&quot;) Char"/>
    <w:basedOn w:val="BodyTextChar"/>
    <w:link w:val="BodyTextFirstIndent"/>
    <w:uiPriority w:val="3"/>
    <w:rsid w:val="00FD217D"/>
    <w:rPr>
      <w:rFonts w:asciiTheme="minorHAnsi" w:hAnsiTheme="minorHAnsi"/>
      <w:lang w:val="en-CA"/>
    </w:rPr>
  </w:style>
  <w:style w:type="paragraph" w:styleId="BodyTextIndent">
    <w:name w:val="Body Text Indent"/>
    <w:aliases w:val="(.5&quot;Left)"/>
    <w:basedOn w:val="BodyText"/>
    <w:link w:val="BodyTextIndentChar"/>
    <w:uiPriority w:val="3"/>
    <w:qFormat/>
    <w:rsid w:val="00950EED"/>
    <w:pPr>
      <w:ind w:left="720"/>
    </w:pPr>
  </w:style>
  <w:style w:type="character" w:customStyle="1" w:styleId="BodyTextIndentChar">
    <w:name w:val="Body Text Indent Char"/>
    <w:aliases w:val="(.5&quot;Left) Char"/>
    <w:basedOn w:val="DefaultParagraphFont"/>
    <w:link w:val="BodyTextIndent"/>
    <w:uiPriority w:val="3"/>
    <w:rsid w:val="00950EED"/>
  </w:style>
  <w:style w:type="paragraph" w:styleId="BodyTextFirstIndent2">
    <w:name w:val="Body Text First Indent 2"/>
    <w:aliases w:val="(1&quot;)"/>
    <w:basedOn w:val="BodyText"/>
    <w:link w:val="BodyTextFirstIndent2Char"/>
    <w:uiPriority w:val="4"/>
    <w:qFormat/>
    <w:rsid w:val="00950EED"/>
    <w:pPr>
      <w:ind w:firstLine="1440"/>
    </w:pPr>
  </w:style>
  <w:style w:type="character" w:customStyle="1" w:styleId="BodyTextFirstIndent2Char">
    <w:name w:val="Body Text First Indent 2 Char"/>
    <w:aliases w:val="(1&quot;) Char"/>
    <w:basedOn w:val="DefaultParagraphFont"/>
    <w:link w:val="BodyTextFirstIndent2"/>
    <w:uiPriority w:val="4"/>
    <w:rsid w:val="00950EED"/>
  </w:style>
  <w:style w:type="paragraph" w:styleId="BodyTextIndent2">
    <w:name w:val="Body Text Indent 2"/>
    <w:aliases w:val="(1&quot;Left)"/>
    <w:basedOn w:val="BodyText"/>
    <w:link w:val="BodyTextIndent2Char"/>
    <w:uiPriority w:val="4"/>
    <w:qFormat/>
    <w:rsid w:val="00950EED"/>
    <w:pPr>
      <w:ind w:left="1440"/>
    </w:pPr>
  </w:style>
  <w:style w:type="character" w:customStyle="1" w:styleId="BodyTextIndent2Char">
    <w:name w:val="Body Text Indent 2 Char"/>
    <w:aliases w:val="(1&quot;Left) Char"/>
    <w:basedOn w:val="DefaultParagraphFont"/>
    <w:link w:val="BodyTextIndent2"/>
    <w:uiPriority w:val="4"/>
    <w:rsid w:val="00950EED"/>
  </w:style>
  <w:style w:type="paragraph" w:styleId="BodyTextIndent3">
    <w:name w:val="Body Text Indent 3"/>
    <w:aliases w:val="(.5&quot;Left,Double)"/>
    <w:basedOn w:val="BodyText"/>
    <w:link w:val="BodyTextIndent3Char"/>
    <w:uiPriority w:val="8"/>
    <w:qFormat/>
    <w:rsid w:val="00950EED"/>
    <w:pPr>
      <w:spacing w:after="480" w:line="480" w:lineRule="auto"/>
      <w:ind w:left="720"/>
      <w:contextualSpacing/>
    </w:pPr>
    <w:rPr>
      <w:szCs w:val="16"/>
    </w:rPr>
  </w:style>
  <w:style w:type="character" w:customStyle="1" w:styleId="BodyTextIndent3Char">
    <w:name w:val="Body Text Indent 3 Char"/>
    <w:aliases w:val="(.5&quot;Left Char,Double) Char"/>
    <w:basedOn w:val="DefaultParagraphFont"/>
    <w:link w:val="BodyTextIndent3"/>
    <w:uiPriority w:val="8"/>
    <w:rsid w:val="00950EED"/>
    <w:rPr>
      <w:szCs w:val="16"/>
    </w:rPr>
  </w:style>
  <w:style w:type="character" w:customStyle="1" w:styleId="Heading1Char">
    <w:name w:val="Heading 1 Char"/>
    <w:basedOn w:val="DefaultParagraphFont"/>
    <w:link w:val="Heading1"/>
    <w:uiPriority w:val="1"/>
    <w:rsid w:val="00950EED"/>
    <w:rPr>
      <w:rFonts w:asciiTheme="majorHAnsi" w:eastAsiaTheme="majorEastAsia" w:hAnsiTheme="majorHAnsi" w:cstheme="majorBidi"/>
      <w:b/>
      <w:bCs/>
      <w:caps/>
      <w:szCs w:val="28"/>
    </w:rPr>
  </w:style>
  <w:style w:type="character" w:customStyle="1" w:styleId="Heading2Char">
    <w:name w:val="Heading 2 Char"/>
    <w:basedOn w:val="DefaultParagraphFont"/>
    <w:link w:val="Heading2"/>
    <w:uiPriority w:val="1"/>
    <w:rsid w:val="00FD217D"/>
    <w:rPr>
      <w:rFonts w:asciiTheme="majorHAnsi" w:eastAsiaTheme="majorEastAsia" w:hAnsiTheme="majorHAnsi" w:cstheme="majorBidi"/>
      <w:b/>
      <w:bCs/>
      <w:i/>
      <w:szCs w:val="26"/>
    </w:rPr>
  </w:style>
  <w:style w:type="character" w:customStyle="1" w:styleId="Heading3Char">
    <w:name w:val="Heading 3 Char"/>
    <w:basedOn w:val="DefaultParagraphFont"/>
    <w:link w:val="Heading3"/>
    <w:uiPriority w:val="1"/>
    <w:rsid w:val="00FD217D"/>
    <w:rPr>
      <w:rFonts w:asciiTheme="majorHAnsi" w:eastAsiaTheme="majorEastAsia" w:hAnsiTheme="majorHAnsi" w:cstheme="majorBidi"/>
      <w:bCs/>
      <w:i/>
    </w:rPr>
  </w:style>
  <w:style w:type="character" w:customStyle="1" w:styleId="Heading4Char">
    <w:name w:val="Heading 4 Char"/>
    <w:basedOn w:val="DefaultParagraphFont"/>
    <w:link w:val="Heading4"/>
    <w:uiPriority w:val="34"/>
    <w:semiHidden/>
    <w:rsid w:val="0062474D"/>
    <w:rPr>
      <w:rFonts w:asciiTheme="majorHAnsi" w:eastAsiaTheme="majorEastAsia" w:hAnsiTheme="majorHAnsi" w:cstheme="majorBidi"/>
      <w:bCs/>
      <w:iCs/>
      <w:color w:val="0F0F0F" w:themeColor="text1"/>
      <w:szCs w:val="21"/>
      <w:lang w:val="en-CA"/>
    </w:rPr>
  </w:style>
  <w:style w:type="character" w:customStyle="1" w:styleId="Heading5Char">
    <w:name w:val="Heading 5 Char"/>
    <w:basedOn w:val="DefaultParagraphFont"/>
    <w:link w:val="Heading5"/>
    <w:uiPriority w:val="34"/>
    <w:semiHidden/>
    <w:rsid w:val="0062474D"/>
    <w:rPr>
      <w:rFonts w:asciiTheme="majorHAnsi" w:eastAsiaTheme="majorEastAsia" w:hAnsiTheme="majorHAnsi" w:cstheme="majorBidi"/>
      <w:color w:val="0F0F0F" w:themeColor="text1"/>
      <w:szCs w:val="21"/>
      <w:lang w:val="en-CA"/>
    </w:rPr>
  </w:style>
  <w:style w:type="character" w:customStyle="1" w:styleId="Heading6Char">
    <w:name w:val="Heading 6 Char"/>
    <w:basedOn w:val="DefaultParagraphFont"/>
    <w:link w:val="Heading6"/>
    <w:uiPriority w:val="34"/>
    <w:semiHidden/>
    <w:rsid w:val="0062474D"/>
    <w:rPr>
      <w:rFonts w:asciiTheme="majorHAnsi" w:eastAsiaTheme="majorEastAsia" w:hAnsiTheme="majorHAnsi" w:cstheme="majorBidi"/>
      <w:i/>
      <w:iCs/>
      <w:color w:val="0F0F0F" w:themeColor="text1"/>
      <w:szCs w:val="21"/>
      <w:lang w:val="en-CA"/>
    </w:rPr>
  </w:style>
  <w:style w:type="character" w:customStyle="1" w:styleId="Heading7Char">
    <w:name w:val="Heading 7 Char"/>
    <w:basedOn w:val="DefaultParagraphFont"/>
    <w:link w:val="Heading7"/>
    <w:uiPriority w:val="34"/>
    <w:semiHidden/>
    <w:rsid w:val="0062474D"/>
    <w:rPr>
      <w:rFonts w:asciiTheme="majorHAnsi" w:eastAsiaTheme="majorEastAsia" w:hAnsiTheme="majorHAnsi" w:cstheme="majorBidi"/>
      <w:i/>
      <w:iCs/>
      <w:color w:val="0F0F0F" w:themeColor="text1"/>
      <w:szCs w:val="21"/>
      <w:lang w:val="en-CA"/>
    </w:rPr>
  </w:style>
  <w:style w:type="character" w:customStyle="1" w:styleId="Heading9Char">
    <w:name w:val="Heading 9 Char"/>
    <w:basedOn w:val="DefaultParagraphFont"/>
    <w:link w:val="Heading9"/>
    <w:uiPriority w:val="34"/>
    <w:semiHidden/>
    <w:rsid w:val="0062474D"/>
    <w:rPr>
      <w:rFonts w:asciiTheme="majorHAnsi" w:eastAsiaTheme="majorEastAsia" w:hAnsiTheme="majorHAnsi" w:cstheme="majorBidi"/>
      <w:i/>
      <w:iCs/>
      <w:color w:val="0F0F0F" w:themeColor="text1"/>
      <w:szCs w:val="20"/>
      <w:lang w:val="en-CA"/>
    </w:rPr>
  </w:style>
  <w:style w:type="character" w:customStyle="1" w:styleId="Heading8Char">
    <w:name w:val="Heading 8 Char"/>
    <w:basedOn w:val="DefaultParagraphFont"/>
    <w:link w:val="Heading8"/>
    <w:uiPriority w:val="34"/>
    <w:semiHidden/>
    <w:rsid w:val="0062474D"/>
    <w:rPr>
      <w:rFonts w:asciiTheme="majorHAnsi" w:eastAsiaTheme="majorEastAsia" w:hAnsiTheme="majorHAnsi" w:cstheme="majorBidi"/>
      <w:color w:val="4B4B4B" w:themeColor="text1" w:themeTint="BF"/>
      <w:sz w:val="20"/>
      <w:szCs w:val="20"/>
      <w:lang w:val="en-CA"/>
    </w:rPr>
  </w:style>
  <w:style w:type="paragraph" w:styleId="Title">
    <w:name w:val="Title"/>
    <w:basedOn w:val="Normal"/>
    <w:next w:val="Normal"/>
    <w:link w:val="TitleChar"/>
    <w:uiPriority w:val="40"/>
    <w:qFormat/>
    <w:rsid w:val="00664C98"/>
    <w:pPr>
      <w:pBdr>
        <w:bottom w:val="single" w:sz="8" w:space="4" w:color="5F6163" w:themeColor="text2" w:themeShade="BF"/>
      </w:pBdr>
      <w:contextualSpacing/>
    </w:pPr>
    <w:rPr>
      <w:rFonts w:asciiTheme="majorHAnsi" w:eastAsiaTheme="majorEastAsia" w:hAnsiTheme="majorHAnsi" w:cstheme="majorBidi"/>
      <w:color w:val="5F6163" w:themeColor="text2" w:themeShade="BF"/>
      <w:spacing w:val="5"/>
      <w:kern w:val="28"/>
      <w:sz w:val="52"/>
      <w:szCs w:val="52"/>
    </w:rPr>
  </w:style>
  <w:style w:type="character" w:customStyle="1" w:styleId="TitleChar">
    <w:name w:val="Title Char"/>
    <w:basedOn w:val="DefaultParagraphFont"/>
    <w:link w:val="Title"/>
    <w:uiPriority w:val="40"/>
    <w:rsid w:val="00664C98"/>
    <w:rPr>
      <w:rFonts w:asciiTheme="majorHAnsi" w:eastAsiaTheme="majorEastAsia" w:hAnsiTheme="majorHAnsi" w:cstheme="majorBidi"/>
      <w:color w:val="5F6163" w:themeColor="text2" w:themeShade="BF"/>
      <w:spacing w:val="5"/>
      <w:kern w:val="28"/>
      <w:sz w:val="52"/>
      <w:szCs w:val="52"/>
      <w:lang w:val="en-CA"/>
    </w:rPr>
  </w:style>
  <w:style w:type="paragraph" w:styleId="Caption">
    <w:name w:val="caption"/>
    <w:basedOn w:val="Normal"/>
    <w:next w:val="Normal"/>
    <w:uiPriority w:val="35"/>
    <w:semiHidden/>
    <w:unhideWhenUsed/>
    <w:qFormat/>
    <w:rsid w:val="0062474D"/>
    <w:pPr>
      <w:jc w:val="center"/>
    </w:pPr>
    <w:rPr>
      <w:b/>
      <w:bCs/>
      <w:sz w:val="18"/>
      <w:szCs w:val="18"/>
    </w:rPr>
  </w:style>
  <w:style w:type="paragraph" w:styleId="FootnoteText">
    <w:name w:val="footnote text"/>
    <w:basedOn w:val="Normal"/>
    <w:link w:val="FootnoteTextChar"/>
    <w:uiPriority w:val="99"/>
    <w:semiHidden/>
    <w:rsid w:val="00EC6AFB"/>
    <w:pPr>
      <w:spacing w:after="60"/>
    </w:pPr>
    <w:rPr>
      <w:sz w:val="20"/>
      <w:szCs w:val="20"/>
    </w:rPr>
  </w:style>
  <w:style w:type="character" w:customStyle="1" w:styleId="FootnoteTextChar">
    <w:name w:val="Footnote Text Char"/>
    <w:basedOn w:val="DefaultParagraphFont"/>
    <w:link w:val="FootnoteText"/>
    <w:uiPriority w:val="99"/>
    <w:semiHidden/>
    <w:rsid w:val="00EC6AFB"/>
    <w:rPr>
      <w:sz w:val="20"/>
      <w:szCs w:val="20"/>
      <w:lang w:val="en-CA"/>
    </w:rPr>
  </w:style>
  <w:style w:type="character" w:styleId="BookTitle">
    <w:name w:val="Book Title"/>
    <w:basedOn w:val="DefaultParagraphFont"/>
    <w:uiPriority w:val="99"/>
    <w:qFormat/>
    <w:rsid w:val="0062474D"/>
    <w:rPr>
      <w:b/>
      <w:bCs/>
      <w:smallCaps/>
      <w:spacing w:val="5"/>
    </w:rPr>
  </w:style>
  <w:style w:type="paragraph" w:styleId="TOCHeading">
    <w:name w:val="TOC Heading"/>
    <w:basedOn w:val="Heading1"/>
    <w:next w:val="Normal"/>
    <w:uiPriority w:val="39"/>
    <w:semiHidden/>
    <w:unhideWhenUsed/>
    <w:qFormat/>
    <w:rsid w:val="00664C98"/>
    <w:pPr>
      <w:spacing w:before="480" w:after="0"/>
      <w:outlineLvl w:val="9"/>
    </w:pPr>
  </w:style>
  <w:style w:type="paragraph" w:styleId="BalloonText">
    <w:name w:val="Balloon Text"/>
    <w:basedOn w:val="Normal"/>
    <w:link w:val="BalloonTextChar"/>
    <w:uiPriority w:val="99"/>
    <w:semiHidden/>
    <w:rsid w:val="005F7C3C"/>
    <w:pPr>
      <w:spacing w:after="0"/>
    </w:pPr>
    <w:rPr>
      <w:rFonts w:ascii="Tahoma" w:hAnsi="Tahoma" w:cs="Tahoma"/>
      <w:sz w:val="16"/>
      <w:szCs w:val="16"/>
    </w:rPr>
  </w:style>
  <w:style w:type="paragraph" w:styleId="BlockText">
    <w:name w:val="Block Text"/>
    <w:basedOn w:val="Normal"/>
    <w:uiPriority w:val="99"/>
    <w:unhideWhenUsed/>
    <w:rsid w:val="00FD217D"/>
    <w:pPr>
      <w:ind w:left="1440" w:right="1440"/>
    </w:pPr>
    <w:rPr>
      <w:rFonts w:eastAsiaTheme="minorEastAsia"/>
      <w:i/>
      <w:iCs/>
    </w:rPr>
  </w:style>
  <w:style w:type="paragraph" w:styleId="Subtitle">
    <w:name w:val="Subtitle"/>
    <w:basedOn w:val="Normal"/>
    <w:next w:val="Normal"/>
    <w:link w:val="SubtitleChar"/>
    <w:uiPriority w:val="41"/>
    <w:rsid w:val="00475DEA"/>
    <w:pPr>
      <w:numPr>
        <w:ilvl w:val="1"/>
      </w:numPr>
    </w:pPr>
    <w:rPr>
      <w:rFonts w:asciiTheme="majorHAnsi" w:eastAsiaTheme="majorEastAsia" w:hAnsiTheme="majorHAnsi" w:cstheme="majorBidi"/>
      <w:i/>
      <w:iCs/>
      <w:szCs w:val="24"/>
    </w:rPr>
  </w:style>
  <w:style w:type="character" w:customStyle="1" w:styleId="SubtitleChar">
    <w:name w:val="Subtitle Char"/>
    <w:basedOn w:val="DefaultParagraphFont"/>
    <w:link w:val="Subtitle"/>
    <w:uiPriority w:val="41"/>
    <w:rsid w:val="00475DEA"/>
    <w:rPr>
      <w:rFonts w:asciiTheme="majorHAnsi" w:eastAsiaTheme="majorEastAsia" w:hAnsiTheme="majorHAnsi" w:cstheme="majorBidi"/>
      <w:i/>
      <w:iCs/>
      <w:szCs w:val="24"/>
    </w:rPr>
  </w:style>
  <w:style w:type="character" w:styleId="IntenseEmphasis">
    <w:name w:val="Intense Emphasis"/>
    <w:basedOn w:val="DefaultParagraphFont"/>
    <w:uiPriority w:val="51"/>
    <w:rsid w:val="00475DEA"/>
    <w:rPr>
      <w:b/>
      <w:bCs/>
      <w:i/>
      <w:iCs/>
      <w:color w:val="auto"/>
    </w:rPr>
  </w:style>
  <w:style w:type="character" w:customStyle="1" w:styleId="BalloonTextChar">
    <w:name w:val="Balloon Text Char"/>
    <w:basedOn w:val="DefaultParagraphFont"/>
    <w:link w:val="BalloonText"/>
    <w:uiPriority w:val="99"/>
    <w:semiHidden/>
    <w:rsid w:val="005F7C3C"/>
    <w:rPr>
      <w:rFonts w:ascii="Tahoma" w:hAnsi="Tahoma" w:cs="Tahoma"/>
      <w:sz w:val="16"/>
      <w:szCs w:val="16"/>
    </w:rPr>
  </w:style>
  <w:style w:type="paragraph" w:styleId="EndnoteText">
    <w:name w:val="endnote text"/>
    <w:basedOn w:val="Normal"/>
    <w:link w:val="EndnoteTextChar"/>
    <w:uiPriority w:val="99"/>
    <w:semiHidden/>
    <w:rsid w:val="00664C98"/>
    <w:pPr>
      <w:spacing w:after="0"/>
    </w:pPr>
    <w:rPr>
      <w:sz w:val="20"/>
      <w:szCs w:val="20"/>
    </w:rPr>
  </w:style>
  <w:style w:type="paragraph" w:styleId="IntenseQuote">
    <w:name w:val="Intense Quote"/>
    <w:basedOn w:val="Normal"/>
    <w:next w:val="Normal"/>
    <w:link w:val="IntenseQuoteChar"/>
    <w:uiPriority w:val="60"/>
    <w:rsid w:val="00664C98"/>
    <w:pPr>
      <w:pBdr>
        <w:bottom w:val="single" w:sz="4" w:space="4" w:color="5F6163" w:themeColor="text2" w:themeShade="BF"/>
      </w:pBdr>
      <w:spacing w:before="240"/>
      <w:ind w:left="936" w:right="936"/>
    </w:pPr>
    <w:rPr>
      <w:b/>
      <w:bCs/>
      <w:i/>
      <w:iCs/>
    </w:rPr>
  </w:style>
  <w:style w:type="character" w:customStyle="1" w:styleId="IntenseQuoteChar">
    <w:name w:val="Intense Quote Char"/>
    <w:basedOn w:val="DefaultParagraphFont"/>
    <w:link w:val="IntenseQuote"/>
    <w:uiPriority w:val="60"/>
    <w:rsid w:val="00664C98"/>
    <w:rPr>
      <w:b/>
      <w:bCs/>
      <w:i/>
      <w:iCs/>
      <w:lang w:val="en-CA"/>
    </w:rPr>
  </w:style>
  <w:style w:type="character" w:customStyle="1" w:styleId="EndnoteTextChar">
    <w:name w:val="Endnote Text Char"/>
    <w:basedOn w:val="DefaultParagraphFont"/>
    <w:link w:val="EndnoteText"/>
    <w:uiPriority w:val="99"/>
    <w:semiHidden/>
    <w:rsid w:val="00664C98"/>
    <w:rPr>
      <w:sz w:val="20"/>
      <w:szCs w:val="20"/>
      <w:lang w:val="en-CA"/>
    </w:rPr>
  </w:style>
  <w:style w:type="character" w:styleId="EndnoteReference">
    <w:name w:val="endnote reference"/>
    <w:basedOn w:val="DefaultParagraphFont"/>
    <w:uiPriority w:val="99"/>
    <w:semiHidden/>
    <w:rsid w:val="00664C98"/>
    <w:rPr>
      <w:vertAlign w:val="superscript"/>
    </w:rPr>
  </w:style>
  <w:style w:type="character" w:styleId="FootnoteReference">
    <w:name w:val="footnote reference"/>
    <w:basedOn w:val="DefaultParagraphFont"/>
    <w:uiPriority w:val="99"/>
    <w:semiHidden/>
    <w:rsid w:val="00EC6AFB"/>
    <w:rPr>
      <w:vertAlign w:val="superscript"/>
    </w:rPr>
  </w:style>
  <w:style w:type="character" w:customStyle="1" w:styleId="Prompt">
    <w:name w:val="Prompt"/>
    <w:aliases w:val="PR"/>
    <w:rsid w:val="0004365C"/>
    <w:rPr>
      <w:color w:val="auto"/>
      <w:lang w:val="en-CA" w:eastAsia="en-CA" w:bidi="ar-SA"/>
    </w:rPr>
  </w:style>
  <w:style w:type="paragraph" w:customStyle="1" w:styleId="MultiLevelL1">
    <w:name w:val="MultiLevel_L1"/>
    <w:basedOn w:val="Normal"/>
    <w:rsid w:val="003742FC"/>
    <w:pPr>
      <w:numPr>
        <w:numId w:val="40"/>
      </w:numPr>
      <w:outlineLvl w:val="0"/>
    </w:pPr>
    <w:rPr>
      <w:rFonts w:ascii="Arial" w:eastAsia="Times New Roman" w:hAnsi="Arial" w:cs="Arial"/>
      <w:szCs w:val="20"/>
    </w:rPr>
  </w:style>
  <w:style w:type="paragraph" w:customStyle="1" w:styleId="MultiLevelL2">
    <w:name w:val="MultiLevel_L2"/>
    <w:basedOn w:val="MultiLevelL1"/>
    <w:rsid w:val="003742FC"/>
    <w:pPr>
      <w:numPr>
        <w:ilvl w:val="1"/>
      </w:numPr>
      <w:jc w:val="left"/>
      <w:outlineLvl w:val="1"/>
    </w:pPr>
  </w:style>
  <w:style w:type="paragraph" w:customStyle="1" w:styleId="MultiLevelL3">
    <w:name w:val="MultiLevel_L3"/>
    <w:basedOn w:val="MultiLevelL2"/>
    <w:rsid w:val="003742FC"/>
    <w:pPr>
      <w:numPr>
        <w:ilvl w:val="2"/>
      </w:numPr>
      <w:outlineLvl w:val="2"/>
    </w:pPr>
  </w:style>
  <w:style w:type="paragraph" w:customStyle="1" w:styleId="MultiLevelL4">
    <w:name w:val="MultiLevel_L4"/>
    <w:basedOn w:val="MultiLevelL3"/>
    <w:rsid w:val="003742FC"/>
    <w:pPr>
      <w:numPr>
        <w:ilvl w:val="3"/>
      </w:numPr>
      <w:outlineLvl w:val="3"/>
    </w:pPr>
  </w:style>
  <w:style w:type="paragraph" w:customStyle="1" w:styleId="MultiLevelL5">
    <w:name w:val="MultiLevel_L5"/>
    <w:basedOn w:val="MultiLevelL4"/>
    <w:rsid w:val="003742FC"/>
    <w:pPr>
      <w:numPr>
        <w:ilvl w:val="4"/>
      </w:numPr>
      <w:outlineLvl w:val="4"/>
    </w:pPr>
  </w:style>
  <w:style w:type="paragraph" w:customStyle="1" w:styleId="MultiLevelL6">
    <w:name w:val="MultiLevel_L6"/>
    <w:basedOn w:val="MultiLevelL5"/>
    <w:rsid w:val="003742FC"/>
    <w:pPr>
      <w:numPr>
        <w:ilvl w:val="5"/>
      </w:numPr>
      <w:outlineLvl w:val="5"/>
    </w:pPr>
  </w:style>
  <w:style w:type="paragraph" w:customStyle="1" w:styleId="MultiLevelL7">
    <w:name w:val="MultiLevel_L7"/>
    <w:basedOn w:val="MultiLevelL6"/>
    <w:rsid w:val="003742FC"/>
    <w:pPr>
      <w:numPr>
        <w:ilvl w:val="6"/>
      </w:numPr>
      <w:outlineLvl w:val="6"/>
    </w:pPr>
  </w:style>
  <w:style w:type="paragraph" w:customStyle="1" w:styleId="MultiLevelL8">
    <w:name w:val="MultiLevel_L8"/>
    <w:basedOn w:val="MultiLevelL7"/>
    <w:rsid w:val="003742FC"/>
    <w:pPr>
      <w:numPr>
        <w:ilvl w:val="7"/>
      </w:numPr>
      <w:outlineLvl w:val="7"/>
    </w:pPr>
  </w:style>
  <w:style w:type="paragraph" w:customStyle="1" w:styleId="MultiLevelL9">
    <w:name w:val="MultiLevel_L9"/>
    <w:basedOn w:val="MultiLevelL8"/>
    <w:rsid w:val="003742FC"/>
    <w:pPr>
      <w:numPr>
        <w:ilvl w:val="8"/>
      </w:numPr>
      <w:outlineLvl w:val="8"/>
    </w:pPr>
  </w:style>
  <w:style w:type="paragraph" w:styleId="CommentText">
    <w:name w:val="annotation text"/>
    <w:basedOn w:val="Normal"/>
    <w:link w:val="CommentTextChar"/>
    <w:uiPriority w:val="99"/>
    <w:semiHidden/>
    <w:unhideWhenUsed/>
    <w:rsid w:val="00DC097A"/>
    <w:rPr>
      <w:sz w:val="20"/>
      <w:szCs w:val="20"/>
    </w:rPr>
  </w:style>
  <w:style w:type="character" w:customStyle="1" w:styleId="CommentTextChar">
    <w:name w:val="Comment Text Char"/>
    <w:basedOn w:val="DefaultParagraphFont"/>
    <w:link w:val="CommentText"/>
    <w:uiPriority w:val="99"/>
    <w:semiHidden/>
    <w:rsid w:val="00DC097A"/>
    <w:rPr>
      <w:sz w:val="20"/>
      <w:szCs w:val="20"/>
      <w:lang w:val="en-CA"/>
    </w:rPr>
  </w:style>
  <w:style w:type="paragraph" w:customStyle="1" w:styleId="StandardL1">
    <w:name w:val="Standard_L1"/>
    <w:basedOn w:val="Normal"/>
    <w:link w:val="StandardL1Char"/>
    <w:rsid w:val="00F714D7"/>
    <w:pPr>
      <w:numPr>
        <w:numId w:val="43"/>
      </w:numPr>
      <w:outlineLvl w:val="0"/>
    </w:pPr>
    <w:rPr>
      <w:rFonts w:ascii="Times New Roman" w:eastAsia="Times New Roman" w:hAnsi="Times New Roman" w:cs="Times New Roman"/>
      <w:sz w:val="24"/>
      <w:szCs w:val="20"/>
    </w:rPr>
  </w:style>
  <w:style w:type="paragraph" w:customStyle="1" w:styleId="StandardL2">
    <w:name w:val="Standard_L2"/>
    <w:basedOn w:val="StandardL1"/>
    <w:rsid w:val="00F714D7"/>
    <w:pPr>
      <w:numPr>
        <w:ilvl w:val="1"/>
      </w:numPr>
      <w:tabs>
        <w:tab w:val="clear" w:pos="1440"/>
      </w:tabs>
      <w:ind w:hanging="360"/>
      <w:outlineLvl w:val="1"/>
    </w:pPr>
  </w:style>
  <w:style w:type="paragraph" w:customStyle="1" w:styleId="StandardL3">
    <w:name w:val="Standard_L3"/>
    <w:basedOn w:val="StandardL2"/>
    <w:rsid w:val="00F714D7"/>
    <w:pPr>
      <w:numPr>
        <w:ilvl w:val="2"/>
      </w:numPr>
      <w:tabs>
        <w:tab w:val="clear" w:pos="2160"/>
      </w:tabs>
      <w:ind w:hanging="180"/>
      <w:outlineLvl w:val="2"/>
    </w:pPr>
  </w:style>
  <w:style w:type="paragraph" w:customStyle="1" w:styleId="StandardL4">
    <w:name w:val="Standard_L4"/>
    <w:basedOn w:val="StandardL3"/>
    <w:rsid w:val="00F714D7"/>
    <w:pPr>
      <w:numPr>
        <w:ilvl w:val="3"/>
      </w:numPr>
      <w:tabs>
        <w:tab w:val="clear" w:pos="2880"/>
      </w:tabs>
      <w:ind w:hanging="360"/>
      <w:outlineLvl w:val="3"/>
    </w:pPr>
  </w:style>
  <w:style w:type="paragraph" w:customStyle="1" w:styleId="StandardL5">
    <w:name w:val="Standard_L5"/>
    <w:basedOn w:val="StandardL4"/>
    <w:rsid w:val="00F714D7"/>
    <w:pPr>
      <w:numPr>
        <w:ilvl w:val="4"/>
      </w:numPr>
      <w:tabs>
        <w:tab w:val="clear" w:pos="3600"/>
      </w:tabs>
      <w:ind w:hanging="360"/>
      <w:outlineLvl w:val="4"/>
    </w:pPr>
  </w:style>
  <w:style w:type="paragraph" w:customStyle="1" w:styleId="StandardL6">
    <w:name w:val="Standard_L6"/>
    <w:basedOn w:val="StandardL5"/>
    <w:rsid w:val="00F714D7"/>
    <w:pPr>
      <w:numPr>
        <w:ilvl w:val="5"/>
      </w:numPr>
      <w:tabs>
        <w:tab w:val="clear" w:pos="4320"/>
      </w:tabs>
      <w:ind w:hanging="180"/>
      <w:outlineLvl w:val="5"/>
    </w:pPr>
  </w:style>
  <w:style w:type="paragraph" w:customStyle="1" w:styleId="StandardL7">
    <w:name w:val="Standard_L7"/>
    <w:basedOn w:val="StandardL6"/>
    <w:rsid w:val="00F714D7"/>
    <w:pPr>
      <w:numPr>
        <w:ilvl w:val="6"/>
      </w:numPr>
      <w:tabs>
        <w:tab w:val="clear" w:pos="5040"/>
      </w:tabs>
      <w:ind w:hanging="360"/>
      <w:outlineLvl w:val="6"/>
    </w:pPr>
  </w:style>
  <w:style w:type="paragraph" w:customStyle="1" w:styleId="StandardL8">
    <w:name w:val="Standard_L8"/>
    <w:basedOn w:val="StandardL7"/>
    <w:rsid w:val="00F714D7"/>
    <w:pPr>
      <w:numPr>
        <w:ilvl w:val="7"/>
      </w:numPr>
      <w:tabs>
        <w:tab w:val="clear" w:pos="5760"/>
      </w:tabs>
      <w:ind w:hanging="360"/>
      <w:outlineLvl w:val="7"/>
    </w:pPr>
  </w:style>
  <w:style w:type="paragraph" w:customStyle="1" w:styleId="StandardL9">
    <w:name w:val="Standard_L9"/>
    <w:basedOn w:val="StandardL8"/>
    <w:rsid w:val="00F714D7"/>
    <w:pPr>
      <w:numPr>
        <w:ilvl w:val="8"/>
      </w:numPr>
      <w:tabs>
        <w:tab w:val="clear" w:pos="6480"/>
      </w:tabs>
      <w:ind w:hanging="180"/>
      <w:outlineLvl w:val="8"/>
    </w:pPr>
  </w:style>
  <w:style w:type="character" w:customStyle="1" w:styleId="StandardL1Char">
    <w:name w:val="Standard_L1 Char"/>
    <w:basedOn w:val="DefaultParagraphFont"/>
    <w:link w:val="StandardL1"/>
    <w:rsid w:val="00F714D7"/>
    <w:rPr>
      <w:rFonts w:ascii="Times New Roman" w:eastAsia="Times New Roman" w:hAnsi="Times New Roman" w:cs="Times New Roman"/>
      <w:sz w:val="24"/>
      <w:szCs w:val="20"/>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602306">
      <w:bodyDiv w:val="1"/>
      <w:marLeft w:val="0"/>
      <w:marRight w:val="0"/>
      <w:marTop w:val="0"/>
      <w:marBottom w:val="0"/>
      <w:divBdr>
        <w:top w:val="none" w:sz="0" w:space="0" w:color="auto"/>
        <w:left w:val="none" w:sz="0" w:space="0" w:color="auto"/>
        <w:bottom w:val="none" w:sz="0" w:space="0" w:color="auto"/>
        <w:right w:val="none" w:sz="0" w:space="0" w:color="auto"/>
      </w:divBdr>
    </w:div>
    <w:div w:id="135998051">
      <w:bodyDiv w:val="1"/>
      <w:marLeft w:val="0"/>
      <w:marRight w:val="0"/>
      <w:marTop w:val="0"/>
      <w:marBottom w:val="0"/>
      <w:divBdr>
        <w:top w:val="none" w:sz="0" w:space="0" w:color="auto"/>
        <w:left w:val="none" w:sz="0" w:space="0" w:color="auto"/>
        <w:bottom w:val="none" w:sz="0" w:space="0" w:color="auto"/>
        <w:right w:val="none" w:sz="0" w:space="0" w:color="auto"/>
      </w:divBdr>
    </w:div>
    <w:div w:id="150558573">
      <w:bodyDiv w:val="1"/>
      <w:marLeft w:val="0"/>
      <w:marRight w:val="0"/>
      <w:marTop w:val="0"/>
      <w:marBottom w:val="0"/>
      <w:divBdr>
        <w:top w:val="none" w:sz="0" w:space="0" w:color="auto"/>
        <w:left w:val="none" w:sz="0" w:space="0" w:color="auto"/>
        <w:bottom w:val="none" w:sz="0" w:space="0" w:color="auto"/>
        <w:right w:val="none" w:sz="0" w:space="0" w:color="auto"/>
      </w:divBdr>
    </w:div>
    <w:div w:id="214511342">
      <w:bodyDiv w:val="1"/>
      <w:marLeft w:val="0"/>
      <w:marRight w:val="0"/>
      <w:marTop w:val="0"/>
      <w:marBottom w:val="0"/>
      <w:divBdr>
        <w:top w:val="none" w:sz="0" w:space="0" w:color="auto"/>
        <w:left w:val="none" w:sz="0" w:space="0" w:color="auto"/>
        <w:bottom w:val="none" w:sz="0" w:space="0" w:color="auto"/>
        <w:right w:val="none" w:sz="0" w:space="0" w:color="auto"/>
      </w:divBdr>
    </w:div>
    <w:div w:id="257373294">
      <w:bodyDiv w:val="1"/>
      <w:marLeft w:val="0"/>
      <w:marRight w:val="0"/>
      <w:marTop w:val="0"/>
      <w:marBottom w:val="0"/>
      <w:divBdr>
        <w:top w:val="none" w:sz="0" w:space="0" w:color="auto"/>
        <w:left w:val="none" w:sz="0" w:space="0" w:color="auto"/>
        <w:bottom w:val="none" w:sz="0" w:space="0" w:color="auto"/>
        <w:right w:val="none" w:sz="0" w:space="0" w:color="auto"/>
      </w:divBdr>
    </w:div>
    <w:div w:id="271666554">
      <w:bodyDiv w:val="1"/>
      <w:marLeft w:val="0"/>
      <w:marRight w:val="0"/>
      <w:marTop w:val="0"/>
      <w:marBottom w:val="0"/>
      <w:divBdr>
        <w:top w:val="none" w:sz="0" w:space="0" w:color="auto"/>
        <w:left w:val="none" w:sz="0" w:space="0" w:color="auto"/>
        <w:bottom w:val="none" w:sz="0" w:space="0" w:color="auto"/>
        <w:right w:val="none" w:sz="0" w:space="0" w:color="auto"/>
      </w:divBdr>
    </w:div>
    <w:div w:id="311256315">
      <w:bodyDiv w:val="1"/>
      <w:marLeft w:val="0"/>
      <w:marRight w:val="0"/>
      <w:marTop w:val="0"/>
      <w:marBottom w:val="0"/>
      <w:divBdr>
        <w:top w:val="none" w:sz="0" w:space="0" w:color="auto"/>
        <w:left w:val="none" w:sz="0" w:space="0" w:color="auto"/>
        <w:bottom w:val="none" w:sz="0" w:space="0" w:color="auto"/>
        <w:right w:val="none" w:sz="0" w:space="0" w:color="auto"/>
      </w:divBdr>
    </w:div>
    <w:div w:id="338509333">
      <w:bodyDiv w:val="1"/>
      <w:marLeft w:val="0"/>
      <w:marRight w:val="0"/>
      <w:marTop w:val="0"/>
      <w:marBottom w:val="0"/>
      <w:divBdr>
        <w:top w:val="none" w:sz="0" w:space="0" w:color="auto"/>
        <w:left w:val="none" w:sz="0" w:space="0" w:color="auto"/>
        <w:bottom w:val="none" w:sz="0" w:space="0" w:color="auto"/>
        <w:right w:val="none" w:sz="0" w:space="0" w:color="auto"/>
      </w:divBdr>
    </w:div>
    <w:div w:id="342443500">
      <w:bodyDiv w:val="1"/>
      <w:marLeft w:val="0"/>
      <w:marRight w:val="0"/>
      <w:marTop w:val="0"/>
      <w:marBottom w:val="0"/>
      <w:divBdr>
        <w:top w:val="none" w:sz="0" w:space="0" w:color="auto"/>
        <w:left w:val="none" w:sz="0" w:space="0" w:color="auto"/>
        <w:bottom w:val="none" w:sz="0" w:space="0" w:color="auto"/>
        <w:right w:val="none" w:sz="0" w:space="0" w:color="auto"/>
      </w:divBdr>
    </w:div>
    <w:div w:id="366950846">
      <w:bodyDiv w:val="1"/>
      <w:marLeft w:val="0"/>
      <w:marRight w:val="0"/>
      <w:marTop w:val="0"/>
      <w:marBottom w:val="0"/>
      <w:divBdr>
        <w:top w:val="none" w:sz="0" w:space="0" w:color="auto"/>
        <w:left w:val="none" w:sz="0" w:space="0" w:color="auto"/>
        <w:bottom w:val="none" w:sz="0" w:space="0" w:color="auto"/>
        <w:right w:val="none" w:sz="0" w:space="0" w:color="auto"/>
      </w:divBdr>
    </w:div>
    <w:div w:id="387263906">
      <w:bodyDiv w:val="1"/>
      <w:marLeft w:val="0"/>
      <w:marRight w:val="0"/>
      <w:marTop w:val="0"/>
      <w:marBottom w:val="0"/>
      <w:divBdr>
        <w:top w:val="none" w:sz="0" w:space="0" w:color="auto"/>
        <w:left w:val="none" w:sz="0" w:space="0" w:color="auto"/>
        <w:bottom w:val="none" w:sz="0" w:space="0" w:color="auto"/>
        <w:right w:val="none" w:sz="0" w:space="0" w:color="auto"/>
      </w:divBdr>
    </w:div>
    <w:div w:id="412047393">
      <w:bodyDiv w:val="1"/>
      <w:marLeft w:val="0"/>
      <w:marRight w:val="0"/>
      <w:marTop w:val="0"/>
      <w:marBottom w:val="0"/>
      <w:divBdr>
        <w:top w:val="none" w:sz="0" w:space="0" w:color="auto"/>
        <w:left w:val="none" w:sz="0" w:space="0" w:color="auto"/>
        <w:bottom w:val="none" w:sz="0" w:space="0" w:color="auto"/>
        <w:right w:val="none" w:sz="0" w:space="0" w:color="auto"/>
      </w:divBdr>
    </w:div>
    <w:div w:id="434911386">
      <w:bodyDiv w:val="1"/>
      <w:marLeft w:val="0"/>
      <w:marRight w:val="0"/>
      <w:marTop w:val="0"/>
      <w:marBottom w:val="0"/>
      <w:divBdr>
        <w:top w:val="none" w:sz="0" w:space="0" w:color="auto"/>
        <w:left w:val="none" w:sz="0" w:space="0" w:color="auto"/>
        <w:bottom w:val="none" w:sz="0" w:space="0" w:color="auto"/>
        <w:right w:val="none" w:sz="0" w:space="0" w:color="auto"/>
      </w:divBdr>
    </w:div>
    <w:div w:id="546532524">
      <w:bodyDiv w:val="1"/>
      <w:marLeft w:val="0"/>
      <w:marRight w:val="0"/>
      <w:marTop w:val="0"/>
      <w:marBottom w:val="0"/>
      <w:divBdr>
        <w:top w:val="none" w:sz="0" w:space="0" w:color="auto"/>
        <w:left w:val="none" w:sz="0" w:space="0" w:color="auto"/>
        <w:bottom w:val="none" w:sz="0" w:space="0" w:color="auto"/>
        <w:right w:val="none" w:sz="0" w:space="0" w:color="auto"/>
      </w:divBdr>
    </w:div>
    <w:div w:id="589973301">
      <w:bodyDiv w:val="1"/>
      <w:marLeft w:val="0"/>
      <w:marRight w:val="0"/>
      <w:marTop w:val="0"/>
      <w:marBottom w:val="0"/>
      <w:divBdr>
        <w:top w:val="none" w:sz="0" w:space="0" w:color="auto"/>
        <w:left w:val="none" w:sz="0" w:space="0" w:color="auto"/>
        <w:bottom w:val="none" w:sz="0" w:space="0" w:color="auto"/>
        <w:right w:val="none" w:sz="0" w:space="0" w:color="auto"/>
      </w:divBdr>
    </w:div>
    <w:div w:id="745297953">
      <w:bodyDiv w:val="1"/>
      <w:marLeft w:val="0"/>
      <w:marRight w:val="0"/>
      <w:marTop w:val="0"/>
      <w:marBottom w:val="0"/>
      <w:divBdr>
        <w:top w:val="none" w:sz="0" w:space="0" w:color="auto"/>
        <w:left w:val="none" w:sz="0" w:space="0" w:color="auto"/>
        <w:bottom w:val="none" w:sz="0" w:space="0" w:color="auto"/>
        <w:right w:val="none" w:sz="0" w:space="0" w:color="auto"/>
      </w:divBdr>
    </w:div>
    <w:div w:id="860703790">
      <w:bodyDiv w:val="1"/>
      <w:marLeft w:val="0"/>
      <w:marRight w:val="0"/>
      <w:marTop w:val="0"/>
      <w:marBottom w:val="0"/>
      <w:divBdr>
        <w:top w:val="none" w:sz="0" w:space="0" w:color="auto"/>
        <w:left w:val="none" w:sz="0" w:space="0" w:color="auto"/>
        <w:bottom w:val="none" w:sz="0" w:space="0" w:color="auto"/>
        <w:right w:val="none" w:sz="0" w:space="0" w:color="auto"/>
      </w:divBdr>
    </w:div>
    <w:div w:id="1149439772">
      <w:bodyDiv w:val="1"/>
      <w:marLeft w:val="0"/>
      <w:marRight w:val="0"/>
      <w:marTop w:val="0"/>
      <w:marBottom w:val="0"/>
      <w:divBdr>
        <w:top w:val="none" w:sz="0" w:space="0" w:color="auto"/>
        <w:left w:val="none" w:sz="0" w:space="0" w:color="auto"/>
        <w:bottom w:val="none" w:sz="0" w:space="0" w:color="auto"/>
        <w:right w:val="none" w:sz="0" w:space="0" w:color="auto"/>
      </w:divBdr>
    </w:div>
    <w:div w:id="1155561599">
      <w:bodyDiv w:val="1"/>
      <w:marLeft w:val="0"/>
      <w:marRight w:val="0"/>
      <w:marTop w:val="0"/>
      <w:marBottom w:val="0"/>
      <w:divBdr>
        <w:top w:val="none" w:sz="0" w:space="0" w:color="auto"/>
        <w:left w:val="none" w:sz="0" w:space="0" w:color="auto"/>
        <w:bottom w:val="none" w:sz="0" w:space="0" w:color="auto"/>
        <w:right w:val="none" w:sz="0" w:space="0" w:color="auto"/>
      </w:divBdr>
    </w:div>
    <w:div w:id="1269661391">
      <w:bodyDiv w:val="1"/>
      <w:marLeft w:val="0"/>
      <w:marRight w:val="0"/>
      <w:marTop w:val="0"/>
      <w:marBottom w:val="0"/>
      <w:divBdr>
        <w:top w:val="none" w:sz="0" w:space="0" w:color="auto"/>
        <w:left w:val="none" w:sz="0" w:space="0" w:color="auto"/>
        <w:bottom w:val="none" w:sz="0" w:space="0" w:color="auto"/>
        <w:right w:val="none" w:sz="0" w:space="0" w:color="auto"/>
      </w:divBdr>
    </w:div>
    <w:div w:id="1340352920">
      <w:bodyDiv w:val="1"/>
      <w:marLeft w:val="0"/>
      <w:marRight w:val="0"/>
      <w:marTop w:val="0"/>
      <w:marBottom w:val="0"/>
      <w:divBdr>
        <w:top w:val="none" w:sz="0" w:space="0" w:color="auto"/>
        <w:left w:val="none" w:sz="0" w:space="0" w:color="auto"/>
        <w:bottom w:val="none" w:sz="0" w:space="0" w:color="auto"/>
        <w:right w:val="none" w:sz="0" w:space="0" w:color="auto"/>
      </w:divBdr>
    </w:div>
    <w:div w:id="1396775757">
      <w:bodyDiv w:val="1"/>
      <w:marLeft w:val="0"/>
      <w:marRight w:val="0"/>
      <w:marTop w:val="0"/>
      <w:marBottom w:val="0"/>
      <w:divBdr>
        <w:top w:val="none" w:sz="0" w:space="0" w:color="auto"/>
        <w:left w:val="none" w:sz="0" w:space="0" w:color="auto"/>
        <w:bottom w:val="none" w:sz="0" w:space="0" w:color="auto"/>
        <w:right w:val="none" w:sz="0" w:space="0" w:color="auto"/>
      </w:divBdr>
    </w:div>
    <w:div w:id="1418747399">
      <w:bodyDiv w:val="1"/>
      <w:marLeft w:val="0"/>
      <w:marRight w:val="0"/>
      <w:marTop w:val="0"/>
      <w:marBottom w:val="0"/>
      <w:divBdr>
        <w:top w:val="none" w:sz="0" w:space="0" w:color="auto"/>
        <w:left w:val="none" w:sz="0" w:space="0" w:color="auto"/>
        <w:bottom w:val="none" w:sz="0" w:space="0" w:color="auto"/>
        <w:right w:val="none" w:sz="0" w:space="0" w:color="auto"/>
      </w:divBdr>
    </w:div>
    <w:div w:id="1467510780">
      <w:bodyDiv w:val="1"/>
      <w:marLeft w:val="0"/>
      <w:marRight w:val="0"/>
      <w:marTop w:val="0"/>
      <w:marBottom w:val="0"/>
      <w:divBdr>
        <w:top w:val="none" w:sz="0" w:space="0" w:color="auto"/>
        <w:left w:val="none" w:sz="0" w:space="0" w:color="auto"/>
        <w:bottom w:val="none" w:sz="0" w:space="0" w:color="auto"/>
        <w:right w:val="none" w:sz="0" w:space="0" w:color="auto"/>
      </w:divBdr>
    </w:div>
    <w:div w:id="1543790716">
      <w:bodyDiv w:val="1"/>
      <w:marLeft w:val="0"/>
      <w:marRight w:val="0"/>
      <w:marTop w:val="0"/>
      <w:marBottom w:val="0"/>
      <w:divBdr>
        <w:top w:val="none" w:sz="0" w:space="0" w:color="auto"/>
        <w:left w:val="none" w:sz="0" w:space="0" w:color="auto"/>
        <w:bottom w:val="none" w:sz="0" w:space="0" w:color="auto"/>
        <w:right w:val="none" w:sz="0" w:space="0" w:color="auto"/>
      </w:divBdr>
    </w:div>
    <w:div w:id="1551696565">
      <w:bodyDiv w:val="1"/>
      <w:marLeft w:val="0"/>
      <w:marRight w:val="0"/>
      <w:marTop w:val="0"/>
      <w:marBottom w:val="0"/>
      <w:divBdr>
        <w:top w:val="none" w:sz="0" w:space="0" w:color="auto"/>
        <w:left w:val="none" w:sz="0" w:space="0" w:color="auto"/>
        <w:bottom w:val="none" w:sz="0" w:space="0" w:color="auto"/>
        <w:right w:val="none" w:sz="0" w:space="0" w:color="auto"/>
      </w:divBdr>
    </w:div>
    <w:div w:id="1602487801">
      <w:bodyDiv w:val="1"/>
      <w:marLeft w:val="0"/>
      <w:marRight w:val="0"/>
      <w:marTop w:val="0"/>
      <w:marBottom w:val="0"/>
      <w:divBdr>
        <w:top w:val="none" w:sz="0" w:space="0" w:color="auto"/>
        <w:left w:val="none" w:sz="0" w:space="0" w:color="auto"/>
        <w:bottom w:val="none" w:sz="0" w:space="0" w:color="auto"/>
        <w:right w:val="none" w:sz="0" w:space="0" w:color="auto"/>
      </w:divBdr>
    </w:div>
    <w:div w:id="1606696244">
      <w:bodyDiv w:val="1"/>
      <w:marLeft w:val="0"/>
      <w:marRight w:val="0"/>
      <w:marTop w:val="0"/>
      <w:marBottom w:val="0"/>
      <w:divBdr>
        <w:top w:val="none" w:sz="0" w:space="0" w:color="auto"/>
        <w:left w:val="none" w:sz="0" w:space="0" w:color="auto"/>
        <w:bottom w:val="none" w:sz="0" w:space="0" w:color="auto"/>
        <w:right w:val="none" w:sz="0" w:space="0" w:color="auto"/>
      </w:divBdr>
    </w:div>
    <w:div w:id="1647278120">
      <w:bodyDiv w:val="1"/>
      <w:marLeft w:val="0"/>
      <w:marRight w:val="0"/>
      <w:marTop w:val="0"/>
      <w:marBottom w:val="0"/>
      <w:divBdr>
        <w:top w:val="none" w:sz="0" w:space="0" w:color="auto"/>
        <w:left w:val="none" w:sz="0" w:space="0" w:color="auto"/>
        <w:bottom w:val="none" w:sz="0" w:space="0" w:color="auto"/>
        <w:right w:val="none" w:sz="0" w:space="0" w:color="auto"/>
      </w:divBdr>
    </w:div>
    <w:div w:id="1648509355">
      <w:bodyDiv w:val="1"/>
      <w:marLeft w:val="0"/>
      <w:marRight w:val="0"/>
      <w:marTop w:val="0"/>
      <w:marBottom w:val="0"/>
      <w:divBdr>
        <w:top w:val="none" w:sz="0" w:space="0" w:color="auto"/>
        <w:left w:val="none" w:sz="0" w:space="0" w:color="auto"/>
        <w:bottom w:val="none" w:sz="0" w:space="0" w:color="auto"/>
        <w:right w:val="none" w:sz="0" w:space="0" w:color="auto"/>
      </w:divBdr>
    </w:div>
    <w:div w:id="1683051198">
      <w:bodyDiv w:val="1"/>
      <w:marLeft w:val="0"/>
      <w:marRight w:val="0"/>
      <w:marTop w:val="0"/>
      <w:marBottom w:val="0"/>
      <w:divBdr>
        <w:top w:val="none" w:sz="0" w:space="0" w:color="auto"/>
        <w:left w:val="none" w:sz="0" w:space="0" w:color="auto"/>
        <w:bottom w:val="none" w:sz="0" w:space="0" w:color="auto"/>
        <w:right w:val="none" w:sz="0" w:space="0" w:color="auto"/>
      </w:divBdr>
    </w:div>
    <w:div w:id="1718313797">
      <w:bodyDiv w:val="1"/>
      <w:marLeft w:val="0"/>
      <w:marRight w:val="0"/>
      <w:marTop w:val="0"/>
      <w:marBottom w:val="0"/>
      <w:divBdr>
        <w:top w:val="none" w:sz="0" w:space="0" w:color="auto"/>
        <w:left w:val="none" w:sz="0" w:space="0" w:color="auto"/>
        <w:bottom w:val="none" w:sz="0" w:space="0" w:color="auto"/>
        <w:right w:val="none" w:sz="0" w:space="0" w:color="auto"/>
      </w:divBdr>
    </w:div>
    <w:div w:id="1732147892">
      <w:bodyDiv w:val="1"/>
      <w:marLeft w:val="0"/>
      <w:marRight w:val="0"/>
      <w:marTop w:val="0"/>
      <w:marBottom w:val="0"/>
      <w:divBdr>
        <w:top w:val="none" w:sz="0" w:space="0" w:color="auto"/>
        <w:left w:val="none" w:sz="0" w:space="0" w:color="auto"/>
        <w:bottom w:val="none" w:sz="0" w:space="0" w:color="auto"/>
        <w:right w:val="none" w:sz="0" w:space="0" w:color="auto"/>
      </w:divBdr>
    </w:div>
    <w:div w:id="1769303581">
      <w:bodyDiv w:val="1"/>
      <w:marLeft w:val="0"/>
      <w:marRight w:val="0"/>
      <w:marTop w:val="0"/>
      <w:marBottom w:val="0"/>
      <w:divBdr>
        <w:top w:val="none" w:sz="0" w:space="0" w:color="auto"/>
        <w:left w:val="none" w:sz="0" w:space="0" w:color="auto"/>
        <w:bottom w:val="none" w:sz="0" w:space="0" w:color="auto"/>
        <w:right w:val="none" w:sz="0" w:space="0" w:color="auto"/>
      </w:divBdr>
    </w:div>
    <w:div w:id="1864131059">
      <w:bodyDiv w:val="1"/>
      <w:marLeft w:val="0"/>
      <w:marRight w:val="0"/>
      <w:marTop w:val="0"/>
      <w:marBottom w:val="0"/>
      <w:divBdr>
        <w:top w:val="none" w:sz="0" w:space="0" w:color="auto"/>
        <w:left w:val="none" w:sz="0" w:space="0" w:color="auto"/>
        <w:bottom w:val="none" w:sz="0" w:space="0" w:color="auto"/>
        <w:right w:val="none" w:sz="0" w:space="0" w:color="auto"/>
      </w:divBdr>
    </w:div>
    <w:div w:id="1880587438">
      <w:bodyDiv w:val="1"/>
      <w:marLeft w:val="0"/>
      <w:marRight w:val="0"/>
      <w:marTop w:val="0"/>
      <w:marBottom w:val="0"/>
      <w:divBdr>
        <w:top w:val="none" w:sz="0" w:space="0" w:color="auto"/>
        <w:left w:val="none" w:sz="0" w:space="0" w:color="auto"/>
        <w:bottom w:val="none" w:sz="0" w:space="0" w:color="auto"/>
        <w:right w:val="none" w:sz="0" w:space="0" w:color="auto"/>
      </w:divBdr>
    </w:div>
    <w:div w:id="1910798419">
      <w:bodyDiv w:val="1"/>
      <w:marLeft w:val="0"/>
      <w:marRight w:val="0"/>
      <w:marTop w:val="0"/>
      <w:marBottom w:val="0"/>
      <w:divBdr>
        <w:top w:val="none" w:sz="0" w:space="0" w:color="auto"/>
        <w:left w:val="none" w:sz="0" w:space="0" w:color="auto"/>
        <w:bottom w:val="none" w:sz="0" w:space="0" w:color="auto"/>
        <w:right w:val="none" w:sz="0" w:space="0" w:color="auto"/>
      </w:divBdr>
    </w:div>
    <w:div w:id="1920560552">
      <w:bodyDiv w:val="1"/>
      <w:marLeft w:val="0"/>
      <w:marRight w:val="0"/>
      <w:marTop w:val="0"/>
      <w:marBottom w:val="0"/>
      <w:divBdr>
        <w:top w:val="none" w:sz="0" w:space="0" w:color="auto"/>
        <w:left w:val="none" w:sz="0" w:space="0" w:color="auto"/>
        <w:bottom w:val="none" w:sz="0" w:space="0" w:color="auto"/>
        <w:right w:val="none" w:sz="0" w:space="0" w:color="auto"/>
      </w:divBdr>
    </w:div>
    <w:div w:id="1954626217">
      <w:bodyDiv w:val="1"/>
      <w:marLeft w:val="0"/>
      <w:marRight w:val="0"/>
      <w:marTop w:val="0"/>
      <w:marBottom w:val="0"/>
      <w:divBdr>
        <w:top w:val="none" w:sz="0" w:space="0" w:color="auto"/>
        <w:left w:val="none" w:sz="0" w:space="0" w:color="auto"/>
        <w:bottom w:val="none" w:sz="0" w:space="0" w:color="auto"/>
        <w:right w:val="none" w:sz="0" w:space="0" w:color="auto"/>
      </w:divBdr>
    </w:div>
    <w:div w:id="1977682299">
      <w:bodyDiv w:val="1"/>
      <w:marLeft w:val="0"/>
      <w:marRight w:val="0"/>
      <w:marTop w:val="0"/>
      <w:marBottom w:val="0"/>
      <w:divBdr>
        <w:top w:val="none" w:sz="0" w:space="0" w:color="auto"/>
        <w:left w:val="none" w:sz="0" w:space="0" w:color="auto"/>
        <w:bottom w:val="none" w:sz="0" w:space="0" w:color="auto"/>
        <w:right w:val="none" w:sz="0" w:space="0" w:color="auto"/>
      </w:divBdr>
    </w:div>
    <w:div w:id="1980262310">
      <w:bodyDiv w:val="1"/>
      <w:marLeft w:val="0"/>
      <w:marRight w:val="0"/>
      <w:marTop w:val="0"/>
      <w:marBottom w:val="0"/>
      <w:divBdr>
        <w:top w:val="none" w:sz="0" w:space="0" w:color="auto"/>
        <w:left w:val="none" w:sz="0" w:space="0" w:color="auto"/>
        <w:bottom w:val="none" w:sz="0" w:space="0" w:color="auto"/>
        <w:right w:val="none" w:sz="0" w:space="0" w:color="auto"/>
      </w:divBdr>
    </w:div>
    <w:div w:id="2024159518">
      <w:bodyDiv w:val="1"/>
      <w:marLeft w:val="0"/>
      <w:marRight w:val="0"/>
      <w:marTop w:val="0"/>
      <w:marBottom w:val="0"/>
      <w:divBdr>
        <w:top w:val="none" w:sz="0" w:space="0" w:color="auto"/>
        <w:left w:val="none" w:sz="0" w:space="0" w:color="auto"/>
        <w:bottom w:val="none" w:sz="0" w:space="0" w:color="auto"/>
        <w:right w:val="none" w:sz="0" w:space="0" w:color="auto"/>
      </w:divBdr>
    </w:div>
    <w:div w:id="2085103477">
      <w:bodyDiv w:val="1"/>
      <w:marLeft w:val="0"/>
      <w:marRight w:val="0"/>
      <w:marTop w:val="0"/>
      <w:marBottom w:val="0"/>
      <w:divBdr>
        <w:top w:val="none" w:sz="0" w:space="0" w:color="auto"/>
        <w:left w:val="none" w:sz="0" w:space="0" w:color="auto"/>
        <w:bottom w:val="none" w:sz="0" w:space="0" w:color="auto"/>
        <w:right w:val="none" w:sz="0" w:space="0" w:color="auto"/>
      </w:divBdr>
    </w:div>
    <w:div w:id="2126263414">
      <w:bodyDiv w:val="1"/>
      <w:marLeft w:val="0"/>
      <w:marRight w:val="0"/>
      <w:marTop w:val="0"/>
      <w:marBottom w:val="0"/>
      <w:divBdr>
        <w:top w:val="none" w:sz="0" w:space="0" w:color="auto"/>
        <w:left w:val="none" w:sz="0" w:space="0" w:color="auto"/>
        <w:bottom w:val="none" w:sz="0" w:space="0" w:color="auto"/>
        <w:right w:val="none" w:sz="0" w:space="0" w:color="auto"/>
      </w:divBdr>
    </w:div>
    <w:div w:id="2141999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Blakes">
  <a:themeElements>
    <a:clrScheme name="Blakes">
      <a:dk1>
        <a:srgbClr val="0F0F0F"/>
      </a:dk1>
      <a:lt1>
        <a:sysClr val="window" lastClr="FFFFFF"/>
      </a:lt1>
      <a:dk2>
        <a:srgbClr val="808285"/>
      </a:dk2>
      <a:lt2>
        <a:srgbClr val="FFFFFF"/>
      </a:lt2>
      <a:accent1>
        <a:srgbClr val="E31836"/>
      </a:accent1>
      <a:accent2>
        <a:srgbClr val="808285"/>
      </a:accent2>
      <a:accent3>
        <a:srgbClr val="D1D3D4"/>
      </a:accent3>
      <a:accent4>
        <a:srgbClr val="4E67C8"/>
      </a:accent4>
      <a:accent5>
        <a:srgbClr val="A7EA52"/>
      </a:accent5>
      <a:accent6>
        <a:srgbClr val="FF8021"/>
      </a:accent6>
      <a:hlink>
        <a:srgbClr val="0000FF"/>
      </a:hlink>
      <a:folHlink>
        <a:srgbClr val="800080"/>
      </a:folHlink>
    </a:clrScheme>
    <a:fontScheme name="Blake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3BE994-3388-4A91-9D82-C16C165953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177</TotalTime>
  <Pages>31</Pages>
  <Words>11451</Words>
  <Characters>65274</Characters>
  <Application>Microsoft Office Word</Application>
  <DocSecurity>0</DocSecurity>
  <Lines>543</Lines>
  <Paragraphs>153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_</dc:creator>
  <cp:keywords/>
  <dc:description/>
  <cp:lastModifiedBy>_</cp:lastModifiedBy>
  <cp:revision>23</cp:revision>
  <cp:lastPrinted>2017-03-31T13:27:00Z</cp:lastPrinted>
  <dcterms:created xsi:type="dcterms:W3CDTF">2017-04-14T09:43:00Z</dcterms:created>
  <dcterms:modified xsi:type="dcterms:W3CDTF">2017-04-14T12:52:00Z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XDOCID">
    <vt:lpwstr>23107566.13</vt:lpwstr>
  </property>
  <property fmtid="{D5CDD505-2E9C-101B-9397-08002B2CF9AE}" pid="3" name="DocXLocation">
    <vt:lpwstr>Every Page</vt:lpwstr>
  </property>
  <property fmtid="{D5CDD505-2E9C-101B-9397-08002B2CF9AE}" pid="4" name="DocXFormat">
    <vt:lpwstr>Blakes DocID</vt:lpwstr>
  </property>
</Properties>
</file>