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36B" w:rsidRPr="00DF63F5" w:rsidRDefault="00DC136B">
      <w:pPr>
        <w:rPr>
          <w:rFonts w:ascii="Calibri" w:hAnsi="Calibri"/>
          <w:b/>
          <w:sz w:val="20"/>
          <w:szCs w:val="20"/>
        </w:rPr>
      </w:pPr>
    </w:p>
    <w:p w:rsidR="00DF63F5" w:rsidRPr="00DF63F5" w:rsidRDefault="0069016A" w:rsidP="00DF63F5">
      <w:pPr>
        <w:rPr>
          <w:rFonts w:ascii="Calibri" w:hAnsi="Calibri"/>
          <w:sz w:val="20"/>
          <w:szCs w:val="20"/>
        </w:rPr>
      </w:pPr>
      <w:r>
        <w:rPr>
          <w:rFonts w:ascii="Calibri" w:hAnsi="Calibri"/>
          <w:sz w:val="20"/>
          <w:szCs w:val="20"/>
        </w:rPr>
        <w:t>May 2</w:t>
      </w:r>
      <w:r w:rsidR="00DF63F5" w:rsidRPr="00DF63F5">
        <w:rPr>
          <w:rFonts w:ascii="Calibri" w:hAnsi="Calibri"/>
          <w:sz w:val="20"/>
          <w:szCs w:val="20"/>
        </w:rPr>
        <w:t>, 2017</w:t>
      </w:r>
    </w:p>
    <w:p w:rsidR="00DF63F5" w:rsidRPr="00DF63F5" w:rsidRDefault="00DF63F5">
      <w:pPr>
        <w:rPr>
          <w:b/>
          <w:sz w:val="20"/>
          <w:szCs w:val="20"/>
        </w:rPr>
      </w:pPr>
    </w:p>
    <w:p w:rsidR="00DD7021" w:rsidRPr="00C411BA" w:rsidRDefault="00F004E4" w:rsidP="00B25999">
      <w:pPr>
        <w:pStyle w:val="Header"/>
        <w:tabs>
          <w:tab w:val="clear" w:pos="4536"/>
          <w:tab w:val="clear" w:pos="9072"/>
        </w:tabs>
        <w:jc w:val="right"/>
        <w:rPr>
          <w:sz w:val="20"/>
          <w:szCs w:val="20"/>
        </w:rPr>
      </w:pPr>
      <w:r w:rsidRPr="00C411BA">
        <w:rPr>
          <w:sz w:val="20"/>
          <w:szCs w:val="20"/>
        </w:rPr>
        <w:tab/>
      </w:r>
      <w:r w:rsidRPr="00C411BA">
        <w:rPr>
          <w:sz w:val="20"/>
          <w:szCs w:val="20"/>
        </w:rPr>
        <w:tab/>
      </w:r>
      <w:r w:rsidRPr="00C411BA">
        <w:rPr>
          <w:sz w:val="20"/>
          <w:szCs w:val="20"/>
        </w:rPr>
        <w:tab/>
      </w:r>
      <w:r w:rsidRPr="00C411BA">
        <w:rPr>
          <w:sz w:val="20"/>
          <w:szCs w:val="20"/>
        </w:rPr>
        <w:tab/>
      </w:r>
      <w:r w:rsidRPr="00C411BA">
        <w:rPr>
          <w:sz w:val="20"/>
          <w:szCs w:val="20"/>
        </w:rPr>
        <w:tab/>
      </w:r>
      <w:r w:rsidRPr="00C411BA">
        <w:rPr>
          <w:sz w:val="20"/>
          <w:szCs w:val="20"/>
        </w:rPr>
        <w:tab/>
      </w:r>
      <w:r w:rsidR="00CF75D6" w:rsidRPr="00C411BA">
        <w:rPr>
          <w:noProof/>
          <w:sz w:val="20"/>
          <w:szCs w:val="20"/>
          <w:lang w:val="en-CA" w:eastAsia="en-CA"/>
        </w:rPr>
        <w:drawing>
          <wp:inline distT="0" distB="0" distL="0" distR="0">
            <wp:extent cx="1625600" cy="469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625600" cy="469900"/>
                    </a:xfrm>
                    <a:prstGeom prst="rect">
                      <a:avLst/>
                    </a:prstGeom>
                    <a:noFill/>
                    <a:ln w="9525">
                      <a:noFill/>
                      <a:miter lim="800000"/>
                      <a:headEnd/>
                      <a:tailEnd/>
                    </a:ln>
                  </pic:spPr>
                </pic:pic>
              </a:graphicData>
            </a:graphic>
          </wp:inline>
        </w:drawing>
      </w:r>
    </w:p>
    <w:p w:rsidR="00DF63F5" w:rsidRDefault="00DF63F5" w:rsidP="00DF63F5">
      <w:pPr>
        <w:pStyle w:val="Header"/>
        <w:tabs>
          <w:tab w:val="clear" w:pos="4536"/>
          <w:tab w:val="clear" w:pos="9072"/>
        </w:tabs>
        <w:jc w:val="center"/>
        <w:rPr>
          <w:rFonts w:asciiTheme="minorHAnsi" w:hAnsiTheme="minorHAnsi"/>
          <w:b/>
          <w:sz w:val="20"/>
          <w:szCs w:val="20"/>
        </w:rPr>
      </w:pPr>
    </w:p>
    <w:p w:rsidR="00DD7021" w:rsidRPr="00345DA6" w:rsidRDefault="00DF63F5" w:rsidP="00DF63F5">
      <w:pPr>
        <w:pStyle w:val="Header"/>
        <w:tabs>
          <w:tab w:val="clear" w:pos="4536"/>
          <w:tab w:val="clear" w:pos="9072"/>
        </w:tabs>
        <w:jc w:val="center"/>
        <w:rPr>
          <w:rFonts w:ascii="Calibri" w:hAnsi="Calibri"/>
          <w:b/>
        </w:rPr>
      </w:pPr>
      <w:r w:rsidRPr="00345DA6">
        <w:rPr>
          <w:rFonts w:ascii="Calibri" w:hAnsi="Calibri"/>
          <w:b/>
        </w:rPr>
        <w:t>OPG ACCOUNTING CONSIDERATIONS OF ONTARIO FAIR HYDRO PLAN</w:t>
      </w:r>
    </w:p>
    <w:p w:rsidR="00DF63F5" w:rsidRDefault="00DF63F5" w:rsidP="00DF63F5">
      <w:pPr>
        <w:pStyle w:val="Header"/>
        <w:tabs>
          <w:tab w:val="clear" w:pos="4536"/>
          <w:tab w:val="clear" w:pos="9072"/>
        </w:tabs>
        <w:jc w:val="center"/>
        <w:rPr>
          <w:rFonts w:asciiTheme="minorHAnsi" w:hAnsiTheme="minorHAnsi"/>
          <w:sz w:val="20"/>
          <w:szCs w:val="20"/>
        </w:rPr>
      </w:pPr>
    </w:p>
    <w:p w:rsidR="00495287" w:rsidRPr="00A66860" w:rsidRDefault="00DF63F5" w:rsidP="00A66860">
      <w:pPr>
        <w:pStyle w:val="Header"/>
        <w:tabs>
          <w:tab w:val="clear" w:pos="4536"/>
          <w:tab w:val="clear" w:pos="9072"/>
        </w:tabs>
        <w:spacing w:after="160"/>
        <w:rPr>
          <w:rFonts w:ascii="Arial" w:hAnsi="Arial" w:cs="Arial"/>
          <w:b/>
          <w:i/>
          <w:sz w:val="20"/>
          <w:szCs w:val="20"/>
        </w:rPr>
      </w:pPr>
      <w:r w:rsidRPr="00DF63F5">
        <w:rPr>
          <w:rFonts w:ascii="Arial" w:hAnsi="Arial" w:cs="Arial"/>
          <w:b/>
          <w:i/>
          <w:sz w:val="20"/>
          <w:szCs w:val="20"/>
        </w:rPr>
        <w:t>Purpose:</w:t>
      </w:r>
    </w:p>
    <w:p w:rsidR="00D309FA" w:rsidRDefault="00DF63F5" w:rsidP="00DF63F5">
      <w:pPr>
        <w:pStyle w:val="Header"/>
        <w:tabs>
          <w:tab w:val="clear" w:pos="4536"/>
          <w:tab w:val="clear" w:pos="9072"/>
        </w:tabs>
        <w:rPr>
          <w:rFonts w:ascii="Arial" w:hAnsi="Arial" w:cs="Arial"/>
          <w:sz w:val="20"/>
          <w:szCs w:val="20"/>
        </w:rPr>
      </w:pPr>
      <w:r>
        <w:rPr>
          <w:rFonts w:ascii="Arial" w:hAnsi="Arial" w:cs="Arial"/>
          <w:sz w:val="20"/>
          <w:szCs w:val="20"/>
        </w:rPr>
        <w:t>The purpose of this document is to summarize</w:t>
      </w:r>
      <w:r w:rsidR="00693395">
        <w:rPr>
          <w:rFonts w:ascii="Arial" w:hAnsi="Arial" w:cs="Arial"/>
          <w:sz w:val="20"/>
          <w:szCs w:val="20"/>
        </w:rPr>
        <w:t xml:space="preserve"> the </w:t>
      </w:r>
      <w:r>
        <w:rPr>
          <w:rFonts w:ascii="Arial" w:hAnsi="Arial" w:cs="Arial"/>
          <w:sz w:val="20"/>
          <w:szCs w:val="20"/>
        </w:rPr>
        <w:t xml:space="preserve">preliminary views </w:t>
      </w:r>
      <w:r w:rsidR="00693395">
        <w:rPr>
          <w:rFonts w:ascii="Arial" w:hAnsi="Arial" w:cs="Arial"/>
          <w:sz w:val="20"/>
          <w:szCs w:val="20"/>
        </w:rPr>
        <w:t xml:space="preserve">of Ontario Power Generation (OPG) </w:t>
      </w:r>
      <w:r>
        <w:rPr>
          <w:rFonts w:ascii="Arial" w:hAnsi="Arial" w:cs="Arial"/>
          <w:sz w:val="20"/>
          <w:szCs w:val="20"/>
        </w:rPr>
        <w:t>on the</w:t>
      </w:r>
      <w:r w:rsidR="00D309FA">
        <w:rPr>
          <w:rFonts w:ascii="Arial" w:hAnsi="Arial" w:cs="Arial"/>
          <w:sz w:val="20"/>
          <w:szCs w:val="20"/>
        </w:rPr>
        <w:t xml:space="preserve"> ability for OPG to consolidate the Financing Entity Trust associated with the Ontario Fair Hydro Plan.</w:t>
      </w:r>
    </w:p>
    <w:p w:rsidR="00D309FA" w:rsidRDefault="00D309FA" w:rsidP="00DF63F5">
      <w:pPr>
        <w:pStyle w:val="Header"/>
        <w:tabs>
          <w:tab w:val="clear" w:pos="4536"/>
          <w:tab w:val="clear" w:pos="9072"/>
        </w:tabs>
        <w:rPr>
          <w:rFonts w:ascii="Arial" w:hAnsi="Arial" w:cs="Arial"/>
          <w:sz w:val="20"/>
          <w:szCs w:val="20"/>
        </w:rPr>
      </w:pPr>
    </w:p>
    <w:p w:rsidR="00D309FA" w:rsidRDefault="00D309FA" w:rsidP="00D309FA">
      <w:pPr>
        <w:pStyle w:val="Header"/>
        <w:tabs>
          <w:tab w:val="clear" w:pos="4536"/>
          <w:tab w:val="clear" w:pos="9072"/>
        </w:tabs>
        <w:rPr>
          <w:rFonts w:ascii="Arial" w:hAnsi="Arial" w:cs="Arial"/>
          <w:sz w:val="20"/>
          <w:szCs w:val="20"/>
        </w:rPr>
      </w:pPr>
      <w:r>
        <w:rPr>
          <w:rFonts w:ascii="Arial" w:hAnsi="Arial" w:cs="Arial"/>
          <w:sz w:val="20"/>
          <w:szCs w:val="20"/>
        </w:rPr>
        <w:t xml:space="preserve">This memo is </w:t>
      </w:r>
      <w:r w:rsidRPr="00D309FA">
        <w:rPr>
          <w:rFonts w:ascii="Arial" w:hAnsi="Arial" w:cs="Arial"/>
          <w:sz w:val="20"/>
          <w:szCs w:val="20"/>
        </w:rPr>
        <w:t>assessed against the Legislation proposal ‘</w:t>
      </w:r>
      <w:r w:rsidR="00F55725" w:rsidRPr="00F55725">
        <w:rPr>
          <w:rFonts w:ascii="Arial" w:hAnsi="Arial" w:cs="Arial"/>
          <w:sz w:val="20"/>
          <w:szCs w:val="20"/>
        </w:rPr>
        <w:t>Ontario Fair Hydro Plan Act, 2017, if enacted</w:t>
      </w:r>
      <w:r w:rsidR="00F55725">
        <w:rPr>
          <w:rFonts w:ascii="Arial" w:hAnsi="Arial" w:cs="Arial"/>
          <w:sz w:val="20"/>
          <w:szCs w:val="20"/>
        </w:rPr>
        <w:t xml:space="preserve"> V6</w:t>
      </w:r>
      <w:r w:rsidRPr="00D309FA">
        <w:rPr>
          <w:rFonts w:ascii="Arial" w:hAnsi="Arial" w:cs="Arial"/>
          <w:sz w:val="20"/>
          <w:szCs w:val="20"/>
        </w:rPr>
        <w:t>’ sen</w:t>
      </w:r>
      <w:r>
        <w:rPr>
          <w:rFonts w:ascii="Arial" w:hAnsi="Arial" w:cs="Arial"/>
          <w:sz w:val="20"/>
          <w:szCs w:val="20"/>
        </w:rPr>
        <w:t xml:space="preserve">t by </w:t>
      </w:r>
      <w:r w:rsidR="00F55725">
        <w:rPr>
          <w:rFonts w:ascii="Arial" w:hAnsi="Arial" w:cs="Arial"/>
          <w:sz w:val="20"/>
          <w:szCs w:val="20"/>
        </w:rPr>
        <w:t>Carolyn Calwell</w:t>
      </w:r>
      <w:r>
        <w:rPr>
          <w:rFonts w:ascii="Arial" w:hAnsi="Arial" w:cs="Arial"/>
          <w:sz w:val="20"/>
          <w:szCs w:val="20"/>
        </w:rPr>
        <w:t xml:space="preserve"> on </w:t>
      </w:r>
      <w:r w:rsidR="00F55725">
        <w:rPr>
          <w:rFonts w:ascii="Arial" w:hAnsi="Arial" w:cs="Arial"/>
          <w:sz w:val="20"/>
          <w:szCs w:val="20"/>
        </w:rPr>
        <w:t>May 1</w:t>
      </w:r>
      <w:r w:rsidRPr="00D309FA">
        <w:rPr>
          <w:rFonts w:ascii="Arial" w:hAnsi="Arial" w:cs="Arial"/>
          <w:sz w:val="20"/>
          <w:szCs w:val="20"/>
        </w:rPr>
        <w:t xml:space="preserve">, 2017.  </w:t>
      </w:r>
      <w:r>
        <w:rPr>
          <w:rFonts w:ascii="Arial" w:hAnsi="Arial" w:cs="Arial"/>
          <w:sz w:val="20"/>
          <w:szCs w:val="20"/>
        </w:rPr>
        <w:t>Note that this</w:t>
      </w:r>
      <w:r w:rsidRPr="00D309FA">
        <w:rPr>
          <w:rFonts w:ascii="Arial" w:hAnsi="Arial" w:cs="Arial"/>
          <w:sz w:val="20"/>
          <w:szCs w:val="20"/>
        </w:rPr>
        <w:t xml:space="preserve"> </w:t>
      </w:r>
      <w:r>
        <w:rPr>
          <w:rFonts w:ascii="Arial" w:hAnsi="Arial" w:cs="Arial"/>
          <w:sz w:val="20"/>
          <w:szCs w:val="20"/>
        </w:rPr>
        <w:t>assessment is preliminary pending the finalization of the Legislation, the Trust indentures, Regulations, financing structure and other detailed terms</w:t>
      </w:r>
      <w:r w:rsidR="00D34EAF">
        <w:rPr>
          <w:rFonts w:ascii="Arial" w:hAnsi="Arial" w:cs="Arial"/>
          <w:sz w:val="20"/>
          <w:szCs w:val="20"/>
        </w:rPr>
        <w:t>, and all related documentary evidence</w:t>
      </w:r>
      <w:r>
        <w:rPr>
          <w:rFonts w:ascii="Arial" w:hAnsi="Arial" w:cs="Arial"/>
          <w:sz w:val="20"/>
          <w:szCs w:val="20"/>
        </w:rPr>
        <w:t>.</w:t>
      </w:r>
      <w:r w:rsidR="00D34EAF">
        <w:rPr>
          <w:rFonts w:ascii="Arial" w:hAnsi="Arial" w:cs="Arial"/>
          <w:sz w:val="20"/>
          <w:szCs w:val="20"/>
        </w:rPr>
        <w:t xml:space="preserve">  This assessment will be updated once final documentation is available.  </w:t>
      </w:r>
    </w:p>
    <w:p w:rsidR="00DF63F5" w:rsidRDefault="00DF63F5" w:rsidP="00D309FA">
      <w:pPr>
        <w:pStyle w:val="Header"/>
        <w:tabs>
          <w:tab w:val="clear" w:pos="4536"/>
          <w:tab w:val="clear" w:pos="9072"/>
        </w:tabs>
        <w:rPr>
          <w:b/>
          <w:sz w:val="20"/>
          <w:szCs w:val="20"/>
        </w:rPr>
      </w:pPr>
    </w:p>
    <w:p w:rsidR="00495287" w:rsidRPr="00DF63F5" w:rsidRDefault="00DF63F5" w:rsidP="00A66860">
      <w:pPr>
        <w:pStyle w:val="Header"/>
        <w:tabs>
          <w:tab w:val="clear" w:pos="4536"/>
          <w:tab w:val="clear" w:pos="9072"/>
        </w:tabs>
        <w:spacing w:after="160"/>
        <w:rPr>
          <w:rFonts w:ascii="Arial" w:hAnsi="Arial" w:cs="Arial"/>
          <w:b/>
          <w:i/>
          <w:sz w:val="20"/>
          <w:szCs w:val="20"/>
        </w:rPr>
      </w:pPr>
      <w:r>
        <w:rPr>
          <w:rFonts w:ascii="Arial" w:hAnsi="Arial" w:cs="Arial"/>
          <w:b/>
          <w:i/>
          <w:sz w:val="20"/>
          <w:szCs w:val="20"/>
        </w:rPr>
        <w:t>Background:</w:t>
      </w:r>
    </w:p>
    <w:p w:rsidR="00F24EC5" w:rsidRDefault="00F24EC5" w:rsidP="00F24EC5">
      <w:pPr>
        <w:rPr>
          <w:rFonts w:ascii="Arial" w:hAnsi="Arial" w:cs="Arial"/>
          <w:sz w:val="20"/>
          <w:szCs w:val="20"/>
        </w:rPr>
      </w:pPr>
      <w:r w:rsidRPr="00F24EC5">
        <w:rPr>
          <w:rFonts w:ascii="Arial" w:hAnsi="Arial" w:cs="Arial"/>
          <w:sz w:val="20"/>
          <w:szCs w:val="20"/>
        </w:rPr>
        <w:t>On March 2, 2017, the Province</w:t>
      </w:r>
      <w:r>
        <w:rPr>
          <w:rFonts w:ascii="Arial" w:hAnsi="Arial" w:cs="Arial"/>
          <w:sz w:val="20"/>
          <w:szCs w:val="20"/>
        </w:rPr>
        <w:t xml:space="preserve"> of Ontario (</w:t>
      </w:r>
      <w:r w:rsidR="00B171AE">
        <w:rPr>
          <w:rFonts w:ascii="Arial" w:hAnsi="Arial" w:cs="Arial"/>
          <w:sz w:val="20"/>
          <w:szCs w:val="20"/>
        </w:rPr>
        <w:t xml:space="preserve">the </w:t>
      </w:r>
      <w:r>
        <w:rPr>
          <w:rFonts w:ascii="Arial" w:hAnsi="Arial" w:cs="Arial"/>
          <w:sz w:val="20"/>
          <w:szCs w:val="20"/>
        </w:rPr>
        <w:t>Province)</w:t>
      </w:r>
      <w:r w:rsidRPr="00F24EC5">
        <w:rPr>
          <w:rFonts w:ascii="Arial" w:hAnsi="Arial" w:cs="Arial"/>
          <w:sz w:val="20"/>
          <w:szCs w:val="20"/>
        </w:rPr>
        <w:t xml:space="preserve"> announced Ontario’s Fair Hydro Plan (the Plan) aimed at reducing electricity bills by 25 percent on average for all residential consumers in the province.  As part of the Plan, the Province has proposed financing a portion of the Global Adjustment costs over a longer time period for Regulated Price Plan eligible customers (e.g., residential, farm, small businesses).  </w:t>
      </w:r>
    </w:p>
    <w:p w:rsidR="00396268" w:rsidRDefault="00396268" w:rsidP="00F24EC5">
      <w:pPr>
        <w:rPr>
          <w:rFonts w:ascii="Arial" w:hAnsi="Arial" w:cs="Arial"/>
          <w:sz w:val="20"/>
          <w:szCs w:val="20"/>
        </w:rPr>
      </w:pPr>
    </w:p>
    <w:p w:rsidR="00490D16" w:rsidRDefault="00396268" w:rsidP="00490D16">
      <w:pPr>
        <w:rPr>
          <w:rFonts w:ascii="Arial" w:hAnsi="Arial" w:cs="Arial"/>
          <w:sz w:val="20"/>
          <w:szCs w:val="20"/>
        </w:rPr>
      </w:pPr>
      <w:r w:rsidRPr="00396268">
        <w:rPr>
          <w:rFonts w:ascii="Arial" w:hAnsi="Arial" w:cs="Arial"/>
          <w:sz w:val="20"/>
          <w:szCs w:val="20"/>
        </w:rPr>
        <w:t xml:space="preserve">On April 13th, the Province requested that OPG consider administering the </w:t>
      </w:r>
      <w:r>
        <w:rPr>
          <w:rFonts w:ascii="Arial" w:hAnsi="Arial" w:cs="Arial"/>
          <w:sz w:val="20"/>
          <w:szCs w:val="20"/>
        </w:rPr>
        <w:t>financing associated with the Plan</w:t>
      </w:r>
      <w:r w:rsidRPr="00396268">
        <w:rPr>
          <w:rFonts w:ascii="Arial" w:hAnsi="Arial" w:cs="Arial"/>
          <w:sz w:val="20"/>
          <w:szCs w:val="20"/>
        </w:rPr>
        <w:t xml:space="preserve">, because of OPG’s participation in the market, regulatory knowledge and the potential ability to consolidate the </w:t>
      </w:r>
      <w:r w:rsidR="00D34EAF">
        <w:rPr>
          <w:rFonts w:ascii="Arial" w:hAnsi="Arial" w:cs="Arial"/>
          <w:sz w:val="20"/>
          <w:szCs w:val="20"/>
        </w:rPr>
        <w:t>related financing activities</w:t>
      </w:r>
      <w:r w:rsidRPr="00396268">
        <w:rPr>
          <w:rFonts w:ascii="Arial" w:hAnsi="Arial" w:cs="Arial"/>
          <w:sz w:val="20"/>
          <w:szCs w:val="20"/>
        </w:rPr>
        <w:t>.</w:t>
      </w:r>
      <w:r>
        <w:rPr>
          <w:rFonts w:ascii="Arial" w:hAnsi="Arial" w:cs="Arial"/>
          <w:sz w:val="20"/>
          <w:szCs w:val="20"/>
        </w:rPr>
        <w:t xml:space="preserve">  </w:t>
      </w:r>
      <w:r w:rsidR="00F24EC5" w:rsidRPr="00F24EC5">
        <w:rPr>
          <w:rFonts w:ascii="Arial" w:hAnsi="Arial" w:cs="Arial"/>
          <w:sz w:val="20"/>
          <w:szCs w:val="20"/>
        </w:rPr>
        <w:t>To undertake this financing, OPG will establ</w:t>
      </w:r>
      <w:r>
        <w:rPr>
          <w:rFonts w:ascii="Arial" w:hAnsi="Arial" w:cs="Arial"/>
          <w:sz w:val="20"/>
          <w:szCs w:val="20"/>
        </w:rPr>
        <w:t xml:space="preserve">ish a Financing Entity Trust (the </w:t>
      </w:r>
      <w:r w:rsidR="00F24EC5" w:rsidRPr="00F24EC5">
        <w:rPr>
          <w:rFonts w:ascii="Arial" w:hAnsi="Arial" w:cs="Arial"/>
          <w:sz w:val="20"/>
          <w:szCs w:val="20"/>
        </w:rPr>
        <w:t>Trust</w:t>
      </w:r>
      <w:r>
        <w:rPr>
          <w:rFonts w:ascii="Arial" w:hAnsi="Arial" w:cs="Arial"/>
          <w:sz w:val="20"/>
          <w:szCs w:val="20"/>
        </w:rPr>
        <w:t>)</w:t>
      </w:r>
      <w:r w:rsidR="00F24EC5" w:rsidRPr="00F24EC5">
        <w:rPr>
          <w:rFonts w:ascii="Arial" w:hAnsi="Arial" w:cs="Arial"/>
          <w:sz w:val="20"/>
          <w:szCs w:val="20"/>
        </w:rPr>
        <w:t xml:space="preserve"> to finance and administer the Global Adjustment costs through a mixture of external financing and an equity injection from the Ontario Financing Authority. It is expected that OPG will control the Trust for accounting purposes and that it</w:t>
      </w:r>
      <w:r w:rsidR="00D34EAF">
        <w:rPr>
          <w:rFonts w:ascii="Arial" w:hAnsi="Arial" w:cs="Arial"/>
          <w:sz w:val="20"/>
          <w:szCs w:val="20"/>
        </w:rPr>
        <w:t>s financial position and results</w:t>
      </w:r>
      <w:r w:rsidR="00F24EC5" w:rsidRPr="00F24EC5">
        <w:rPr>
          <w:rFonts w:ascii="Arial" w:hAnsi="Arial" w:cs="Arial"/>
          <w:sz w:val="20"/>
          <w:szCs w:val="20"/>
        </w:rPr>
        <w:t xml:space="preserve"> will be consolidated with</w:t>
      </w:r>
      <w:r w:rsidR="00D34EAF">
        <w:rPr>
          <w:rFonts w:ascii="Arial" w:hAnsi="Arial" w:cs="Arial"/>
          <w:sz w:val="20"/>
          <w:szCs w:val="20"/>
        </w:rPr>
        <w:t>in</w:t>
      </w:r>
      <w:r w:rsidR="00F24EC5" w:rsidRPr="00F24EC5">
        <w:rPr>
          <w:rFonts w:ascii="Arial" w:hAnsi="Arial" w:cs="Arial"/>
          <w:sz w:val="20"/>
          <w:szCs w:val="20"/>
        </w:rPr>
        <w:t xml:space="preserve"> OPG’s consolidated financial statements.</w:t>
      </w:r>
    </w:p>
    <w:p w:rsidR="00F269BE" w:rsidRDefault="00F269BE" w:rsidP="00490D16">
      <w:pPr>
        <w:rPr>
          <w:rFonts w:ascii="Arial" w:hAnsi="Arial" w:cs="Arial"/>
          <w:sz w:val="20"/>
          <w:szCs w:val="20"/>
        </w:rPr>
      </w:pPr>
    </w:p>
    <w:p w:rsidR="00F269BE" w:rsidRPr="00F269BE" w:rsidRDefault="00F269BE" w:rsidP="00F269BE">
      <w:pPr>
        <w:spacing w:after="160"/>
        <w:rPr>
          <w:rFonts w:ascii="Arial" w:hAnsi="Arial" w:cs="Arial"/>
          <w:b/>
          <w:i/>
          <w:sz w:val="20"/>
          <w:szCs w:val="20"/>
        </w:rPr>
      </w:pPr>
      <w:r w:rsidRPr="00F269BE">
        <w:rPr>
          <w:rFonts w:ascii="Arial" w:hAnsi="Arial" w:cs="Arial"/>
          <w:b/>
          <w:i/>
          <w:sz w:val="20"/>
          <w:szCs w:val="20"/>
        </w:rPr>
        <w:t xml:space="preserve">Assumptions </w:t>
      </w:r>
      <w:r w:rsidR="00FD2C0F">
        <w:rPr>
          <w:rFonts w:ascii="Arial" w:hAnsi="Arial" w:cs="Arial"/>
          <w:b/>
          <w:i/>
          <w:sz w:val="20"/>
          <w:szCs w:val="20"/>
        </w:rPr>
        <w:t xml:space="preserve">made to perform accounting </w:t>
      </w:r>
      <w:proofErr w:type="gramStart"/>
      <w:r w:rsidR="00FD2C0F">
        <w:rPr>
          <w:rFonts w:ascii="Arial" w:hAnsi="Arial" w:cs="Arial"/>
          <w:b/>
          <w:i/>
          <w:sz w:val="20"/>
          <w:szCs w:val="20"/>
        </w:rPr>
        <w:t xml:space="preserve">analysis which </w:t>
      </w:r>
      <w:r w:rsidR="00D34EAF">
        <w:rPr>
          <w:rFonts w:ascii="Arial" w:hAnsi="Arial" w:cs="Arial"/>
          <w:b/>
          <w:i/>
          <w:sz w:val="20"/>
          <w:szCs w:val="20"/>
        </w:rPr>
        <w:t>are</w:t>
      </w:r>
      <w:proofErr w:type="gramEnd"/>
      <w:r w:rsidR="00FD2C0F">
        <w:rPr>
          <w:rFonts w:ascii="Arial" w:hAnsi="Arial" w:cs="Arial"/>
          <w:b/>
          <w:i/>
          <w:sz w:val="20"/>
          <w:szCs w:val="20"/>
        </w:rPr>
        <w:t xml:space="preserve"> </w:t>
      </w:r>
      <w:r w:rsidRPr="00F269BE">
        <w:rPr>
          <w:rFonts w:ascii="Arial" w:hAnsi="Arial" w:cs="Arial"/>
          <w:b/>
          <w:i/>
          <w:sz w:val="20"/>
          <w:szCs w:val="20"/>
        </w:rPr>
        <w:t>not yet addressed in Legislation</w:t>
      </w:r>
      <w:r w:rsidR="00831466">
        <w:rPr>
          <w:rFonts w:ascii="Arial" w:hAnsi="Arial" w:cs="Arial"/>
          <w:b/>
          <w:i/>
          <w:sz w:val="20"/>
          <w:szCs w:val="20"/>
        </w:rPr>
        <w:t xml:space="preserve"> </w:t>
      </w:r>
      <w:r w:rsidR="00D34EAF">
        <w:rPr>
          <w:rFonts w:ascii="Arial" w:hAnsi="Arial" w:cs="Arial"/>
          <w:b/>
          <w:i/>
          <w:sz w:val="20"/>
          <w:szCs w:val="20"/>
        </w:rPr>
        <w:t xml:space="preserve">– it is expected that these matters will be </w:t>
      </w:r>
      <w:r w:rsidR="00831466">
        <w:rPr>
          <w:rFonts w:ascii="Arial" w:hAnsi="Arial" w:cs="Arial"/>
          <w:b/>
          <w:i/>
          <w:sz w:val="20"/>
          <w:szCs w:val="20"/>
        </w:rPr>
        <w:t xml:space="preserve">addressed in Regulations, Trust documents, </w:t>
      </w:r>
      <w:r w:rsidR="00D34EAF">
        <w:rPr>
          <w:rFonts w:ascii="Arial" w:hAnsi="Arial" w:cs="Arial"/>
          <w:b/>
          <w:i/>
          <w:sz w:val="20"/>
          <w:szCs w:val="20"/>
        </w:rPr>
        <w:t xml:space="preserve">and various other </w:t>
      </w:r>
      <w:r w:rsidR="00831466">
        <w:rPr>
          <w:rFonts w:ascii="Arial" w:hAnsi="Arial" w:cs="Arial"/>
          <w:b/>
          <w:i/>
          <w:sz w:val="20"/>
          <w:szCs w:val="20"/>
        </w:rPr>
        <w:t>agreements</w:t>
      </w:r>
      <w:r w:rsidRPr="00F269BE">
        <w:rPr>
          <w:rFonts w:ascii="Arial" w:hAnsi="Arial" w:cs="Arial"/>
          <w:b/>
          <w:i/>
          <w:sz w:val="20"/>
          <w:szCs w:val="20"/>
        </w:rPr>
        <w:t>:</w:t>
      </w:r>
    </w:p>
    <w:p w:rsidR="00F269BE" w:rsidRDefault="00F269BE" w:rsidP="00F269BE">
      <w:pPr>
        <w:pStyle w:val="ListParagraph"/>
        <w:numPr>
          <w:ilvl w:val="0"/>
          <w:numId w:val="45"/>
        </w:numPr>
        <w:rPr>
          <w:rFonts w:ascii="Arial" w:hAnsi="Arial" w:cs="Arial"/>
          <w:sz w:val="20"/>
          <w:szCs w:val="20"/>
        </w:rPr>
      </w:pPr>
      <w:r w:rsidRPr="00460B9F">
        <w:rPr>
          <w:rFonts w:ascii="Arial" w:hAnsi="Arial" w:cs="Arial"/>
          <w:sz w:val="20"/>
          <w:szCs w:val="20"/>
        </w:rPr>
        <w:t xml:space="preserve">The </w:t>
      </w:r>
      <w:r w:rsidR="00FA3490">
        <w:rPr>
          <w:rFonts w:ascii="Arial" w:hAnsi="Arial" w:cs="Arial"/>
          <w:sz w:val="20"/>
          <w:szCs w:val="20"/>
        </w:rPr>
        <w:t>Regulation</w:t>
      </w:r>
      <w:r w:rsidRPr="00460B9F">
        <w:rPr>
          <w:rFonts w:ascii="Arial" w:hAnsi="Arial" w:cs="Arial"/>
          <w:sz w:val="20"/>
          <w:szCs w:val="20"/>
        </w:rPr>
        <w:t xml:space="preserve"> must require interest, carrying and administrative costs to be paid to the Trust </w:t>
      </w:r>
      <w:r w:rsidR="00963B5C">
        <w:rPr>
          <w:rFonts w:ascii="Arial" w:hAnsi="Arial" w:cs="Arial"/>
          <w:sz w:val="20"/>
          <w:szCs w:val="20"/>
        </w:rPr>
        <w:t xml:space="preserve">in cash </w:t>
      </w:r>
      <w:r w:rsidRPr="00460B9F">
        <w:rPr>
          <w:rFonts w:ascii="Arial" w:hAnsi="Arial" w:cs="Arial"/>
          <w:sz w:val="20"/>
          <w:szCs w:val="20"/>
        </w:rPr>
        <w:t>on a monthly basis, so that the Trust is able to recognize appropriate revenue to offset any ongoing costs.</w:t>
      </w:r>
    </w:p>
    <w:p w:rsidR="001237F4" w:rsidRPr="001237F4" w:rsidRDefault="001237F4" w:rsidP="001237F4">
      <w:pPr>
        <w:pStyle w:val="ListParagraph"/>
        <w:numPr>
          <w:ilvl w:val="0"/>
          <w:numId w:val="45"/>
        </w:numPr>
        <w:spacing w:after="200" w:line="276" w:lineRule="auto"/>
        <w:rPr>
          <w:rFonts w:ascii="Arial" w:hAnsi="Arial"/>
          <w:b/>
          <w:sz w:val="20"/>
          <w:lang w:val="en-CA"/>
        </w:rPr>
      </w:pPr>
      <w:r>
        <w:rPr>
          <w:rFonts w:ascii="Arial" w:hAnsi="Arial" w:cs="Arial"/>
          <w:sz w:val="20"/>
          <w:szCs w:val="20"/>
          <w:lang w:val="en-CA"/>
        </w:rPr>
        <w:t xml:space="preserve">The Regulations, Trust documents and various agreements will provide that OPG will have significant variability </w:t>
      </w:r>
      <w:r w:rsidR="00836C7E">
        <w:rPr>
          <w:rFonts w:ascii="Arial" w:hAnsi="Arial" w:cs="Arial"/>
          <w:sz w:val="20"/>
          <w:szCs w:val="20"/>
          <w:lang w:val="en-CA"/>
        </w:rPr>
        <w:t xml:space="preserve">and exposure from the activities of the Trust </w:t>
      </w:r>
      <w:r>
        <w:rPr>
          <w:rFonts w:ascii="Arial" w:hAnsi="Arial" w:cs="Arial"/>
          <w:sz w:val="20"/>
          <w:szCs w:val="20"/>
          <w:lang w:val="en-CA"/>
        </w:rPr>
        <w:t xml:space="preserve">relative to the rate of return that OPG would recognize from its role as the Financial Services Manager of the Trust. </w:t>
      </w:r>
      <w:r w:rsidR="00836C7E">
        <w:rPr>
          <w:rFonts w:ascii="Arial" w:hAnsi="Arial" w:cs="Arial"/>
          <w:sz w:val="20"/>
          <w:szCs w:val="20"/>
          <w:lang w:val="en-CA"/>
        </w:rPr>
        <w:t xml:space="preserve"> The performance fee will be meaningful and allow OPG to make decisions that will significantly impact its returns.  </w:t>
      </w:r>
    </w:p>
    <w:p w:rsidR="00F269BE" w:rsidRDefault="00F269BE" w:rsidP="00F269BE">
      <w:pPr>
        <w:pStyle w:val="ListParagraph"/>
        <w:numPr>
          <w:ilvl w:val="0"/>
          <w:numId w:val="45"/>
        </w:numPr>
        <w:rPr>
          <w:rFonts w:ascii="Arial" w:hAnsi="Arial" w:cs="Arial"/>
          <w:sz w:val="20"/>
          <w:szCs w:val="20"/>
        </w:rPr>
      </w:pPr>
      <w:r>
        <w:rPr>
          <w:rFonts w:ascii="Arial" w:hAnsi="Arial" w:cs="Arial"/>
          <w:sz w:val="20"/>
          <w:szCs w:val="20"/>
        </w:rPr>
        <w:t>The Minister of Energy will have the ability to replace the Financial Services Manger (OPG) if there is a failure to perform.  There will be</w:t>
      </w:r>
      <w:r w:rsidRPr="004948B6">
        <w:rPr>
          <w:rFonts w:ascii="Arial" w:hAnsi="Arial" w:cs="Arial"/>
          <w:sz w:val="20"/>
          <w:szCs w:val="20"/>
        </w:rPr>
        <w:t xml:space="preserve"> a bifurcation of roles where the Province could not remove OPG as manager/administrator with respect to the existing debt placed by the Trust, but could remove OPG’s responsibility/right to prepare the Financing Plan going forward</w:t>
      </w:r>
      <w:r>
        <w:rPr>
          <w:rFonts w:ascii="Arial" w:hAnsi="Arial" w:cs="Arial"/>
          <w:sz w:val="20"/>
          <w:szCs w:val="20"/>
        </w:rPr>
        <w:t>.</w:t>
      </w:r>
      <w:r w:rsidR="00963B5C">
        <w:rPr>
          <w:rFonts w:ascii="Arial" w:hAnsi="Arial" w:cs="Arial"/>
          <w:sz w:val="20"/>
          <w:szCs w:val="20"/>
        </w:rPr>
        <w:t xml:space="preserve">  The ability for the Minister of Energy to remove OPG as the Financial Services Manager should not impact the recoverability of existing </w:t>
      </w:r>
      <w:r w:rsidR="00F9458B">
        <w:rPr>
          <w:rFonts w:ascii="Arial" w:hAnsi="Arial" w:cs="Arial"/>
          <w:sz w:val="20"/>
          <w:szCs w:val="20"/>
        </w:rPr>
        <w:t>intangible assets</w:t>
      </w:r>
      <w:r w:rsidR="00963B5C">
        <w:rPr>
          <w:rFonts w:ascii="Arial" w:hAnsi="Arial" w:cs="Arial"/>
          <w:sz w:val="20"/>
          <w:szCs w:val="20"/>
        </w:rPr>
        <w:t>.</w:t>
      </w:r>
    </w:p>
    <w:p w:rsidR="00F269BE" w:rsidRPr="00EC3D2D" w:rsidRDefault="00EC3D2D" w:rsidP="009A6515">
      <w:pPr>
        <w:pStyle w:val="ListParagraph"/>
        <w:numPr>
          <w:ilvl w:val="0"/>
          <w:numId w:val="45"/>
        </w:numPr>
        <w:rPr>
          <w:rFonts w:ascii="Arial" w:hAnsi="Arial" w:cs="Arial"/>
          <w:sz w:val="20"/>
          <w:szCs w:val="20"/>
        </w:rPr>
      </w:pPr>
      <w:r w:rsidRPr="00EC3D2D">
        <w:rPr>
          <w:rFonts w:ascii="Arial" w:hAnsi="Arial" w:cs="Arial"/>
          <w:sz w:val="20"/>
          <w:szCs w:val="20"/>
        </w:rPr>
        <w:lastRenderedPageBreak/>
        <w:t>The calculation of the Fair Allocation Amount will be performed by the Minister of Energy</w:t>
      </w:r>
      <w:r>
        <w:rPr>
          <w:rFonts w:ascii="Arial" w:hAnsi="Arial" w:cs="Arial"/>
          <w:sz w:val="20"/>
          <w:szCs w:val="20"/>
        </w:rPr>
        <w:t xml:space="preserve">.  </w:t>
      </w:r>
    </w:p>
    <w:p w:rsidR="009A6515" w:rsidRPr="009A6515" w:rsidRDefault="002B2DA8" w:rsidP="009A6515">
      <w:pPr>
        <w:pStyle w:val="ListParagraph"/>
        <w:numPr>
          <w:ilvl w:val="0"/>
          <w:numId w:val="45"/>
        </w:numPr>
        <w:rPr>
          <w:rFonts w:ascii="Arial" w:hAnsi="Arial"/>
          <w:b/>
          <w:sz w:val="20"/>
        </w:rPr>
      </w:pPr>
      <w:r w:rsidRPr="00EC3D2D">
        <w:rPr>
          <w:rFonts w:ascii="Arial" w:hAnsi="Arial" w:cs="Arial"/>
          <w:sz w:val="20"/>
          <w:szCs w:val="20"/>
        </w:rPr>
        <w:t xml:space="preserve">OPG has the ability to appoint and remove the Trustee (or Board of Trustees) and there are no veto rights by the Province. </w:t>
      </w:r>
      <w:r w:rsidR="00F13FA2">
        <w:rPr>
          <w:rFonts w:ascii="Arial" w:hAnsi="Arial" w:cs="Arial"/>
          <w:sz w:val="20"/>
          <w:szCs w:val="20"/>
        </w:rPr>
        <w:t xml:space="preserve"> </w:t>
      </w:r>
      <w:r w:rsidRPr="00EC3D2D">
        <w:rPr>
          <w:rFonts w:ascii="Arial" w:hAnsi="Arial" w:cs="Arial"/>
          <w:sz w:val="20"/>
          <w:szCs w:val="20"/>
        </w:rPr>
        <w:t xml:space="preserve">No party has the ability to remove OPG from its role and authority in the Trust. </w:t>
      </w:r>
      <w:r w:rsidRPr="00EC3D2D">
        <w:rPr>
          <w:rFonts w:ascii="Arial" w:hAnsi="Arial"/>
          <w:b/>
          <w:sz w:val="20"/>
        </w:rPr>
        <w:t xml:space="preserve"> </w:t>
      </w:r>
    </w:p>
    <w:p w:rsidR="00F269BE" w:rsidRDefault="00D34EAF" w:rsidP="00F269BE">
      <w:pPr>
        <w:pStyle w:val="ListParagraph"/>
        <w:numPr>
          <w:ilvl w:val="0"/>
          <w:numId w:val="45"/>
        </w:numPr>
        <w:rPr>
          <w:rFonts w:ascii="Arial" w:hAnsi="Arial" w:cs="Arial"/>
          <w:sz w:val="20"/>
          <w:szCs w:val="20"/>
        </w:rPr>
      </w:pPr>
      <w:r>
        <w:rPr>
          <w:rFonts w:ascii="Arial" w:hAnsi="Arial" w:cs="Arial"/>
          <w:sz w:val="20"/>
          <w:szCs w:val="20"/>
        </w:rPr>
        <w:t>Neither the</w:t>
      </w:r>
      <w:r w:rsidR="00F269BE">
        <w:rPr>
          <w:rFonts w:ascii="Arial" w:hAnsi="Arial" w:cs="Arial"/>
          <w:sz w:val="20"/>
          <w:szCs w:val="20"/>
        </w:rPr>
        <w:t xml:space="preserve"> OEB</w:t>
      </w:r>
      <w:r>
        <w:rPr>
          <w:rFonts w:ascii="Arial" w:hAnsi="Arial" w:cs="Arial"/>
          <w:sz w:val="20"/>
          <w:szCs w:val="20"/>
        </w:rPr>
        <w:t xml:space="preserve"> nor any othe</w:t>
      </w:r>
      <w:r w:rsidR="000D5714">
        <w:rPr>
          <w:rFonts w:ascii="Arial" w:hAnsi="Arial" w:cs="Arial"/>
          <w:sz w:val="20"/>
          <w:szCs w:val="20"/>
        </w:rPr>
        <w:t>r party can</w:t>
      </w:r>
      <w:r w:rsidR="00F269BE">
        <w:rPr>
          <w:rFonts w:ascii="Arial" w:hAnsi="Arial" w:cs="Arial"/>
          <w:sz w:val="20"/>
          <w:szCs w:val="20"/>
        </w:rPr>
        <w:t xml:space="preserve"> discretionally reduce the management fee or performance fee </w:t>
      </w:r>
      <w:r>
        <w:rPr>
          <w:rFonts w:ascii="Arial" w:hAnsi="Arial" w:cs="Arial"/>
          <w:sz w:val="20"/>
          <w:szCs w:val="20"/>
        </w:rPr>
        <w:t xml:space="preserve">except </w:t>
      </w:r>
      <w:r w:rsidR="00F269BE">
        <w:rPr>
          <w:rFonts w:ascii="Arial" w:hAnsi="Arial" w:cs="Arial"/>
          <w:sz w:val="20"/>
          <w:szCs w:val="20"/>
        </w:rPr>
        <w:t xml:space="preserve">due to a calculation error.  </w:t>
      </w:r>
    </w:p>
    <w:p w:rsidR="000D5714" w:rsidRDefault="000D5714" w:rsidP="00F269BE">
      <w:pPr>
        <w:pStyle w:val="ListParagraph"/>
        <w:numPr>
          <w:ilvl w:val="0"/>
          <w:numId w:val="45"/>
        </w:numPr>
        <w:rPr>
          <w:rFonts w:ascii="Arial" w:hAnsi="Arial" w:cs="Arial"/>
          <w:sz w:val="20"/>
          <w:szCs w:val="20"/>
        </w:rPr>
      </w:pPr>
      <w:r>
        <w:rPr>
          <w:rFonts w:ascii="Arial" w:hAnsi="Arial" w:cs="Arial"/>
          <w:sz w:val="20"/>
          <w:szCs w:val="20"/>
        </w:rPr>
        <w:t xml:space="preserve">The margin on </w:t>
      </w:r>
      <w:r w:rsidR="00EC3D2D">
        <w:rPr>
          <w:rFonts w:ascii="Arial" w:hAnsi="Arial" w:cs="Arial"/>
          <w:sz w:val="20"/>
          <w:szCs w:val="20"/>
        </w:rPr>
        <w:t xml:space="preserve">the interest rates associated with </w:t>
      </w:r>
      <w:r>
        <w:rPr>
          <w:rFonts w:ascii="Arial" w:hAnsi="Arial" w:cs="Arial"/>
          <w:sz w:val="20"/>
          <w:szCs w:val="20"/>
        </w:rPr>
        <w:t>Tranche B and Tranche C</w:t>
      </w:r>
      <w:r w:rsidR="00EC3D2D">
        <w:rPr>
          <w:rFonts w:ascii="Arial" w:hAnsi="Arial" w:cs="Arial"/>
          <w:sz w:val="20"/>
          <w:szCs w:val="20"/>
        </w:rPr>
        <w:t xml:space="preserve"> which will be recovered from the ratepayers </w:t>
      </w:r>
      <w:r>
        <w:rPr>
          <w:rFonts w:ascii="Arial" w:hAnsi="Arial" w:cs="Arial"/>
          <w:sz w:val="20"/>
          <w:szCs w:val="20"/>
        </w:rPr>
        <w:t xml:space="preserve">will be reflective of the risk profile of the debt and the associated market terms.  </w:t>
      </w:r>
    </w:p>
    <w:p w:rsidR="009751CA" w:rsidRDefault="009751CA" w:rsidP="00F269BE">
      <w:pPr>
        <w:pStyle w:val="ListParagraph"/>
        <w:numPr>
          <w:ilvl w:val="0"/>
          <w:numId w:val="45"/>
        </w:numPr>
        <w:rPr>
          <w:rFonts w:ascii="Arial" w:hAnsi="Arial" w:cs="Arial"/>
          <w:sz w:val="20"/>
          <w:szCs w:val="20"/>
        </w:rPr>
      </w:pPr>
      <w:r>
        <w:rPr>
          <w:rFonts w:ascii="Arial" w:hAnsi="Arial" w:cs="Arial"/>
          <w:sz w:val="20"/>
          <w:szCs w:val="20"/>
        </w:rPr>
        <w:t xml:space="preserve">The indemnification provided to the Trust by the Minister of Finance on behalf of the Province as described in </w:t>
      </w:r>
      <w:r w:rsidRPr="009751CA">
        <w:rPr>
          <w:rFonts w:ascii="Arial" w:hAnsi="Arial" w:cs="Arial"/>
          <w:i/>
          <w:sz w:val="20"/>
          <w:szCs w:val="20"/>
        </w:rPr>
        <w:t>Part I – General - Section 5.3</w:t>
      </w:r>
      <w:r>
        <w:rPr>
          <w:rFonts w:ascii="Arial" w:hAnsi="Arial" w:cs="Arial"/>
          <w:i/>
          <w:sz w:val="20"/>
          <w:szCs w:val="20"/>
        </w:rPr>
        <w:t xml:space="preserve"> </w:t>
      </w:r>
      <w:r w:rsidRPr="009751CA">
        <w:rPr>
          <w:rFonts w:ascii="Arial" w:hAnsi="Arial" w:cs="Arial"/>
          <w:i/>
          <w:sz w:val="20"/>
          <w:szCs w:val="20"/>
        </w:rPr>
        <w:t>Guarantee, indemnification</w:t>
      </w:r>
      <w:r>
        <w:rPr>
          <w:rFonts w:ascii="Arial" w:hAnsi="Arial" w:cs="Arial"/>
          <w:sz w:val="20"/>
          <w:szCs w:val="20"/>
        </w:rPr>
        <w:t xml:space="preserve"> </w:t>
      </w:r>
      <w:r w:rsidRPr="009751CA">
        <w:rPr>
          <w:rFonts w:ascii="Arial" w:hAnsi="Arial" w:cs="Arial"/>
          <w:i/>
          <w:sz w:val="20"/>
          <w:szCs w:val="20"/>
        </w:rPr>
        <w:t>Protection and assurances</w:t>
      </w:r>
      <w:r>
        <w:rPr>
          <w:rFonts w:ascii="Arial" w:hAnsi="Arial" w:cs="Arial"/>
          <w:i/>
          <w:sz w:val="20"/>
          <w:szCs w:val="20"/>
        </w:rPr>
        <w:t xml:space="preserve"> </w:t>
      </w:r>
      <w:r>
        <w:rPr>
          <w:rFonts w:ascii="Arial" w:hAnsi="Arial" w:cs="Arial"/>
          <w:sz w:val="20"/>
          <w:szCs w:val="20"/>
        </w:rPr>
        <w:t>will be subject to terms and conditions in a separate Provincial support agreement.  The guarantee is expected to be in place only in the event of a Payment Guarantee Event, such as if the Legislative Assembly of Ontario repeals the Fair Hydro Act or amends the Act in a way that adversely impacts the ability of the Trust to fully recover an intangible asset in order to pay the obligations of the Trust.</w:t>
      </w:r>
    </w:p>
    <w:p w:rsidR="009751CA" w:rsidRDefault="009751CA" w:rsidP="00F269BE">
      <w:pPr>
        <w:pStyle w:val="ListParagraph"/>
        <w:numPr>
          <w:ilvl w:val="0"/>
          <w:numId w:val="45"/>
        </w:numPr>
        <w:rPr>
          <w:rFonts w:ascii="Arial" w:hAnsi="Arial" w:cs="Arial"/>
          <w:sz w:val="20"/>
          <w:szCs w:val="20"/>
        </w:rPr>
      </w:pPr>
      <w:r w:rsidRPr="009751CA">
        <w:rPr>
          <w:rFonts w:ascii="Arial" w:hAnsi="Arial" w:cs="Arial"/>
          <w:sz w:val="20"/>
          <w:szCs w:val="20"/>
        </w:rPr>
        <w:t xml:space="preserve">The approval by the Ontario Energy Board of the Financial Services Manager (i.e. OPG’s) fees as described in </w:t>
      </w:r>
      <w:r w:rsidRPr="009751CA">
        <w:rPr>
          <w:rFonts w:ascii="Arial" w:hAnsi="Arial" w:cs="Arial"/>
          <w:i/>
          <w:sz w:val="20"/>
          <w:szCs w:val="20"/>
        </w:rPr>
        <w:t xml:space="preserve">Part IV – Implementation - Section 14.4 Same, Board Approval </w:t>
      </w:r>
      <w:r>
        <w:rPr>
          <w:rFonts w:ascii="Arial" w:hAnsi="Arial" w:cs="Arial"/>
          <w:sz w:val="20"/>
          <w:szCs w:val="20"/>
        </w:rPr>
        <w:t xml:space="preserve">will not allow them to change or limit the management fee structure, but only ensure that it is </w:t>
      </w:r>
      <w:r w:rsidR="00E057B3">
        <w:rPr>
          <w:rFonts w:ascii="Arial" w:hAnsi="Arial" w:cs="Arial"/>
          <w:sz w:val="20"/>
          <w:szCs w:val="20"/>
        </w:rPr>
        <w:t xml:space="preserve">prudent by ensuring it is </w:t>
      </w:r>
      <w:r>
        <w:rPr>
          <w:rFonts w:ascii="Arial" w:hAnsi="Arial" w:cs="Arial"/>
          <w:sz w:val="20"/>
          <w:szCs w:val="20"/>
        </w:rPr>
        <w:t>calculated</w:t>
      </w:r>
      <w:r w:rsidR="00E057B3">
        <w:rPr>
          <w:rFonts w:ascii="Arial" w:hAnsi="Arial" w:cs="Arial"/>
          <w:sz w:val="20"/>
          <w:szCs w:val="20"/>
        </w:rPr>
        <w:t xml:space="preserve"> </w:t>
      </w:r>
      <w:r>
        <w:rPr>
          <w:rFonts w:ascii="Arial" w:hAnsi="Arial" w:cs="Arial"/>
          <w:sz w:val="20"/>
          <w:szCs w:val="20"/>
        </w:rPr>
        <w:t>in accordance with the Regulations.</w:t>
      </w:r>
    </w:p>
    <w:p w:rsidR="009751CA" w:rsidRDefault="00E057B3" w:rsidP="00E057B3">
      <w:pPr>
        <w:pStyle w:val="ListParagraph"/>
        <w:numPr>
          <w:ilvl w:val="0"/>
          <w:numId w:val="45"/>
        </w:numPr>
        <w:spacing w:after="0"/>
        <w:rPr>
          <w:rFonts w:ascii="Arial" w:hAnsi="Arial" w:cs="Arial"/>
          <w:sz w:val="20"/>
          <w:szCs w:val="20"/>
        </w:rPr>
      </w:pPr>
      <w:r>
        <w:rPr>
          <w:rFonts w:ascii="Arial" w:hAnsi="Arial" w:cs="Arial"/>
          <w:sz w:val="20"/>
          <w:szCs w:val="20"/>
        </w:rPr>
        <w:t>In the event that a different Financial Services Manager is appointed by the Minister of Energy, the IESO is required to continue to make cash payments for interest to the Trust for the existing debt.</w:t>
      </w:r>
      <w:r w:rsidR="00CA1692">
        <w:rPr>
          <w:rFonts w:ascii="Arial" w:hAnsi="Arial" w:cs="Arial"/>
          <w:sz w:val="20"/>
          <w:szCs w:val="20"/>
        </w:rPr>
        <w:t xml:space="preserve">  Principal repayments on existing debt will continue to be repaid by ratepayers to the </w:t>
      </w:r>
      <w:r w:rsidR="00791DB1">
        <w:rPr>
          <w:rFonts w:ascii="Arial" w:hAnsi="Arial" w:cs="Arial"/>
          <w:sz w:val="20"/>
          <w:szCs w:val="20"/>
        </w:rPr>
        <w:t>Trust</w:t>
      </w:r>
      <w:r w:rsidR="00CA1692">
        <w:rPr>
          <w:rFonts w:ascii="Arial" w:hAnsi="Arial" w:cs="Arial"/>
          <w:sz w:val="20"/>
          <w:szCs w:val="20"/>
        </w:rPr>
        <w:t xml:space="preserve"> in accordance with the terms of the issued debt. </w:t>
      </w:r>
    </w:p>
    <w:p w:rsidR="007C31CA" w:rsidRPr="00A361E3" w:rsidRDefault="007C31CA" w:rsidP="00F269BE">
      <w:pPr>
        <w:pStyle w:val="ListParagraph"/>
        <w:numPr>
          <w:ilvl w:val="0"/>
          <w:numId w:val="45"/>
        </w:numPr>
        <w:rPr>
          <w:rFonts w:ascii="Arial" w:hAnsi="Arial" w:cs="Arial"/>
          <w:sz w:val="20"/>
          <w:szCs w:val="20"/>
        </w:rPr>
      </w:pPr>
      <w:r>
        <w:rPr>
          <w:rFonts w:ascii="Arial" w:hAnsi="Arial" w:cs="Arial"/>
          <w:sz w:val="20"/>
          <w:szCs w:val="20"/>
        </w:rPr>
        <w:t xml:space="preserve">All other items as indicated in </w:t>
      </w:r>
      <w:r w:rsidRPr="007C31CA">
        <w:rPr>
          <w:rFonts w:ascii="Arial" w:hAnsi="Arial" w:cs="Arial"/>
          <w:i/>
          <w:sz w:val="20"/>
          <w:szCs w:val="20"/>
        </w:rPr>
        <w:t>Appendix A.</w:t>
      </w:r>
    </w:p>
    <w:p w:rsidR="00490D16" w:rsidRPr="00DF63F5" w:rsidRDefault="00490D16" w:rsidP="0002785E">
      <w:pPr>
        <w:pStyle w:val="Header"/>
        <w:tabs>
          <w:tab w:val="clear" w:pos="4536"/>
          <w:tab w:val="clear" w:pos="9072"/>
        </w:tabs>
        <w:spacing w:before="160" w:after="160"/>
        <w:rPr>
          <w:rFonts w:ascii="Arial" w:hAnsi="Arial" w:cs="Arial"/>
          <w:b/>
          <w:i/>
          <w:sz w:val="20"/>
          <w:szCs w:val="20"/>
        </w:rPr>
      </w:pPr>
      <w:r>
        <w:rPr>
          <w:rFonts w:ascii="Arial" w:hAnsi="Arial" w:cs="Arial"/>
          <w:b/>
          <w:i/>
          <w:sz w:val="20"/>
          <w:szCs w:val="20"/>
        </w:rPr>
        <w:t>Accounting Analysis:</w:t>
      </w:r>
    </w:p>
    <w:p w:rsidR="00490D16" w:rsidRDefault="00443D4D" w:rsidP="00BE3413">
      <w:pPr>
        <w:rPr>
          <w:rFonts w:ascii="Arial" w:hAnsi="Arial" w:cs="Arial"/>
          <w:sz w:val="20"/>
          <w:szCs w:val="20"/>
        </w:rPr>
      </w:pPr>
      <w:r w:rsidRPr="00443D4D">
        <w:rPr>
          <w:rFonts w:ascii="Arial" w:hAnsi="Arial" w:cs="Arial"/>
          <w:sz w:val="20"/>
          <w:szCs w:val="20"/>
        </w:rPr>
        <w:t>In order to meet the accounting definition of ‘control’, accounting guidance must be considered. There are no bright lines to determine whether OPG has exposure, or rights, to variable returns f</w:t>
      </w:r>
      <w:r>
        <w:rPr>
          <w:rFonts w:ascii="Arial" w:hAnsi="Arial" w:cs="Arial"/>
          <w:sz w:val="20"/>
          <w:szCs w:val="20"/>
        </w:rPr>
        <w:t>rom its involvement with the Trust</w:t>
      </w:r>
      <w:r w:rsidRPr="00443D4D">
        <w:rPr>
          <w:rFonts w:ascii="Arial" w:hAnsi="Arial" w:cs="Arial"/>
          <w:sz w:val="20"/>
          <w:szCs w:val="20"/>
        </w:rPr>
        <w:t xml:space="preserve">, or whether it has the ability to affect the returns of the </w:t>
      </w:r>
      <w:r>
        <w:rPr>
          <w:rFonts w:ascii="Arial" w:hAnsi="Arial" w:cs="Arial"/>
          <w:sz w:val="20"/>
          <w:szCs w:val="20"/>
        </w:rPr>
        <w:t>Trust</w:t>
      </w:r>
      <w:r w:rsidRPr="00443D4D">
        <w:rPr>
          <w:rFonts w:ascii="Arial" w:hAnsi="Arial" w:cs="Arial"/>
          <w:sz w:val="20"/>
          <w:szCs w:val="20"/>
        </w:rPr>
        <w:t xml:space="preserve"> through its power over the </w:t>
      </w:r>
      <w:r>
        <w:rPr>
          <w:rFonts w:ascii="Arial" w:hAnsi="Arial" w:cs="Arial"/>
          <w:sz w:val="20"/>
          <w:szCs w:val="20"/>
        </w:rPr>
        <w:t>Trust</w:t>
      </w:r>
      <w:r w:rsidRPr="00443D4D">
        <w:rPr>
          <w:rFonts w:ascii="Arial" w:hAnsi="Arial" w:cs="Arial"/>
          <w:sz w:val="20"/>
          <w:szCs w:val="20"/>
        </w:rPr>
        <w:t xml:space="preserve">. Rather, all facts and circumstances are considered when assessing whether an entity has control over another entity. </w:t>
      </w:r>
    </w:p>
    <w:p w:rsidR="00E11B88" w:rsidRDefault="00E11B88" w:rsidP="00BE3413">
      <w:pPr>
        <w:rPr>
          <w:rFonts w:ascii="Arial" w:hAnsi="Arial" w:cs="Arial"/>
          <w:sz w:val="20"/>
          <w:szCs w:val="20"/>
        </w:rPr>
      </w:pPr>
    </w:p>
    <w:p w:rsidR="00E11B88" w:rsidRDefault="006D6F42" w:rsidP="0074100B">
      <w:pPr>
        <w:spacing w:after="160"/>
        <w:rPr>
          <w:rFonts w:ascii="Arial" w:hAnsi="Arial" w:cs="Arial"/>
          <w:sz w:val="20"/>
          <w:szCs w:val="20"/>
        </w:rPr>
      </w:pPr>
      <w:r>
        <w:rPr>
          <w:rFonts w:ascii="Arial" w:hAnsi="Arial" w:cs="Arial"/>
          <w:sz w:val="20"/>
          <w:szCs w:val="20"/>
        </w:rPr>
        <w:t xml:space="preserve">In order to consolidate the Trust, OPG must be able to demonstrate that it controls the Trust. </w:t>
      </w:r>
    </w:p>
    <w:p w:rsidR="000F3C50" w:rsidRPr="007A4047" w:rsidRDefault="000F3C50" w:rsidP="0074100B">
      <w:pPr>
        <w:spacing w:after="160" w:line="260" w:lineRule="exact"/>
        <w:jc w:val="both"/>
        <w:rPr>
          <w:rFonts w:ascii="Arial" w:eastAsia="Calibri" w:hAnsi="Arial" w:cs="Arial"/>
          <w:b/>
          <w:i/>
          <w:sz w:val="20"/>
          <w:szCs w:val="20"/>
          <w:lang w:val="en-CA"/>
        </w:rPr>
      </w:pPr>
      <w:r w:rsidRPr="007A4047">
        <w:rPr>
          <w:rFonts w:ascii="Arial" w:eastAsia="Calibri" w:hAnsi="Arial" w:cs="Arial"/>
          <w:b/>
          <w:i/>
          <w:sz w:val="20"/>
          <w:szCs w:val="20"/>
          <w:lang w:val="en-CA"/>
        </w:rPr>
        <w:t>Control</w:t>
      </w:r>
    </w:p>
    <w:p w:rsidR="000F3C50" w:rsidRPr="007A4047" w:rsidRDefault="000F3C50" w:rsidP="0074100B">
      <w:pPr>
        <w:spacing w:after="160" w:line="260" w:lineRule="exact"/>
        <w:textAlignment w:val="baseline"/>
        <w:rPr>
          <w:rFonts w:ascii="Arial" w:hAnsi="Arial" w:cs="Arial"/>
          <w:i/>
          <w:color w:val="000000"/>
          <w:sz w:val="20"/>
          <w:szCs w:val="20"/>
          <w:lang w:val="en-CA" w:eastAsia="en-CA"/>
        </w:rPr>
      </w:pPr>
      <w:r w:rsidRPr="007A4047">
        <w:rPr>
          <w:rFonts w:ascii="Arial" w:hAnsi="Arial" w:cs="Arial"/>
          <w:i/>
          <w:color w:val="000000"/>
          <w:sz w:val="20"/>
          <w:szCs w:val="20"/>
          <w:lang w:val="en-CA" w:eastAsia="en-CA"/>
        </w:rPr>
        <w:t>An investor controls an investee if and only if the investor has all the following:</w:t>
      </w:r>
    </w:p>
    <w:p w:rsidR="000F3C50" w:rsidRPr="007A4047" w:rsidRDefault="000F3C50" w:rsidP="0074100B">
      <w:pPr>
        <w:pStyle w:val="ListParagraph"/>
        <w:numPr>
          <w:ilvl w:val="0"/>
          <w:numId w:val="1"/>
        </w:numPr>
        <w:spacing w:after="0" w:line="260" w:lineRule="exact"/>
        <w:textAlignment w:val="baseline"/>
        <w:rPr>
          <w:rFonts w:ascii="Arial" w:hAnsi="Arial" w:cs="Arial"/>
          <w:i/>
          <w:color w:val="000000"/>
          <w:sz w:val="20"/>
          <w:szCs w:val="20"/>
          <w:lang w:eastAsia="en-CA"/>
        </w:rPr>
      </w:pPr>
      <w:r w:rsidRPr="007A4047">
        <w:rPr>
          <w:rFonts w:ascii="Arial" w:hAnsi="Arial" w:cs="Arial"/>
          <w:bCs/>
          <w:i/>
          <w:color w:val="000000"/>
          <w:sz w:val="20"/>
          <w:szCs w:val="20"/>
          <w:lang w:eastAsia="en-CA"/>
        </w:rPr>
        <w:t xml:space="preserve">power over the investee; </w:t>
      </w:r>
    </w:p>
    <w:p w:rsidR="000F3C50" w:rsidRPr="007A4047" w:rsidRDefault="000F3C50" w:rsidP="0074100B">
      <w:pPr>
        <w:pStyle w:val="ListParagraph"/>
        <w:numPr>
          <w:ilvl w:val="0"/>
          <w:numId w:val="1"/>
        </w:numPr>
        <w:spacing w:after="0" w:line="260" w:lineRule="exact"/>
        <w:textAlignment w:val="baseline"/>
        <w:rPr>
          <w:rFonts w:ascii="Arial" w:hAnsi="Arial" w:cs="Arial"/>
          <w:i/>
          <w:color w:val="000000"/>
          <w:sz w:val="20"/>
          <w:szCs w:val="20"/>
          <w:lang w:eastAsia="en-CA"/>
        </w:rPr>
      </w:pPr>
      <w:r w:rsidRPr="007A4047">
        <w:rPr>
          <w:rFonts w:ascii="Arial" w:hAnsi="Arial" w:cs="Arial"/>
          <w:bCs/>
          <w:i/>
          <w:color w:val="000000"/>
          <w:sz w:val="20"/>
          <w:szCs w:val="20"/>
          <w:lang w:eastAsia="en-CA"/>
        </w:rPr>
        <w:t xml:space="preserve">exposure, or rights, to variable returns from its involvement with the investee; and </w:t>
      </w:r>
    </w:p>
    <w:p w:rsidR="00E11B88" w:rsidRPr="00022E50" w:rsidRDefault="000F3C50" w:rsidP="00022E50">
      <w:pPr>
        <w:pStyle w:val="ListParagraph"/>
        <w:numPr>
          <w:ilvl w:val="0"/>
          <w:numId w:val="1"/>
        </w:numPr>
        <w:shd w:val="clear" w:color="auto" w:fill="FFFFFF"/>
        <w:spacing w:after="0" w:line="260" w:lineRule="exact"/>
        <w:textAlignment w:val="baseline"/>
        <w:rPr>
          <w:rFonts w:ascii="Arial" w:hAnsi="Arial" w:cs="Arial"/>
          <w:color w:val="000000"/>
          <w:sz w:val="20"/>
          <w:szCs w:val="20"/>
          <w:lang w:eastAsia="en-CA"/>
        </w:rPr>
      </w:pPr>
      <w:proofErr w:type="gramStart"/>
      <w:r w:rsidRPr="007A4047">
        <w:rPr>
          <w:rFonts w:ascii="Arial" w:hAnsi="Arial" w:cs="Arial"/>
          <w:bCs/>
          <w:i/>
          <w:color w:val="000000"/>
          <w:sz w:val="20"/>
          <w:szCs w:val="20"/>
          <w:lang w:eastAsia="en-CA"/>
        </w:rPr>
        <w:t>the</w:t>
      </w:r>
      <w:proofErr w:type="gramEnd"/>
      <w:r w:rsidRPr="007A4047">
        <w:rPr>
          <w:rFonts w:ascii="Arial" w:hAnsi="Arial" w:cs="Arial"/>
          <w:bCs/>
          <w:i/>
          <w:color w:val="000000"/>
          <w:sz w:val="20"/>
          <w:szCs w:val="20"/>
          <w:lang w:eastAsia="en-CA"/>
        </w:rPr>
        <w:t xml:space="preserve"> ability to use its power over the investee to affect the amount of the investor’s returns.</w:t>
      </w:r>
      <w:r w:rsidRPr="007A4047">
        <w:rPr>
          <w:rFonts w:ascii="Arial" w:hAnsi="Arial" w:cs="Arial"/>
          <w:bCs/>
          <w:sz w:val="20"/>
          <w:szCs w:val="20"/>
        </w:rPr>
        <w:t xml:space="preserve">  [IFRS 10, paragraph 7]</w:t>
      </w:r>
    </w:p>
    <w:p w:rsidR="00B62C65" w:rsidRPr="007A4047" w:rsidRDefault="00B62C65" w:rsidP="00B62C65">
      <w:pPr>
        <w:rPr>
          <w:rFonts w:ascii="Arial" w:hAnsi="Arial" w:cs="Arial"/>
          <w:b/>
          <w:sz w:val="20"/>
          <w:szCs w:val="20"/>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8"/>
        <w:gridCol w:w="6384"/>
      </w:tblGrid>
      <w:tr w:rsidR="00EA2E39" w:rsidRPr="007A4047" w:rsidTr="00EA2E39">
        <w:trPr>
          <w:tblHeader/>
        </w:trPr>
        <w:tc>
          <w:tcPr>
            <w:tcW w:w="9812" w:type="dxa"/>
            <w:gridSpan w:val="2"/>
            <w:tcBorders>
              <w:bottom w:val="single" w:sz="4" w:space="0" w:color="auto"/>
            </w:tcBorders>
            <w:shd w:val="clear" w:color="auto" w:fill="5B9BD5"/>
            <w:vAlign w:val="center"/>
          </w:tcPr>
          <w:p w:rsidR="00B62C65" w:rsidRPr="007A4047" w:rsidRDefault="00B62C65" w:rsidP="00EA2E39">
            <w:pPr>
              <w:rPr>
                <w:rFonts w:ascii="Arial" w:eastAsia="Calibri" w:hAnsi="Arial" w:cs="Arial"/>
                <w:b/>
                <w:bCs/>
                <w:color w:val="FFFFFF"/>
                <w:sz w:val="20"/>
                <w:szCs w:val="20"/>
              </w:rPr>
            </w:pPr>
            <w:r w:rsidRPr="007A4047">
              <w:rPr>
                <w:rFonts w:ascii="Arial" w:eastAsia="Calibri" w:hAnsi="Arial" w:cs="Arial"/>
                <w:b/>
                <w:bCs/>
                <w:color w:val="FFFFFF"/>
                <w:sz w:val="20"/>
                <w:szCs w:val="20"/>
              </w:rPr>
              <w:t>Purpose and design  of the investee</w:t>
            </w:r>
          </w:p>
          <w:p w:rsidR="00B62C65" w:rsidRPr="007A4047" w:rsidRDefault="00B62C65" w:rsidP="00EA2E39">
            <w:pPr>
              <w:rPr>
                <w:rFonts w:ascii="Arial" w:eastAsia="Calibri" w:hAnsi="Arial" w:cs="Arial"/>
                <w:b/>
                <w:bCs/>
                <w:color w:val="FFFFFF"/>
                <w:sz w:val="20"/>
                <w:szCs w:val="20"/>
              </w:rPr>
            </w:pPr>
            <w:r w:rsidRPr="007A4047">
              <w:rPr>
                <w:rFonts w:ascii="Arial" w:eastAsia="Calibri" w:hAnsi="Arial" w:cs="Arial"/>
                <w:bCs/>
                <w:i/>
                <w:color w:val="FFFFFF"/>
                <w:sz w:val="20"/>
                <w:szCs w:val="20"/>
              </w:rPr>
              <w:t>When assessing control of an investee, an investor shall consider the purpose and design of the investee in order to identify the relevant activities, how decisions about the relevant activities are made, who has the current ability to direct those activities and who receives returns from those activities.</w:t>
            </w:r>
            <w:r w:rsidRPr="007A4047">
              <w:rPr>
                <w:rFonts w:ascii="Arial" w:hAnsi="Arial" w:cs="Arial"/>
                <w:color w:val="FFFFFF"/>
                <w:sz w:val="20"/>
                <w:szCs w:val="20"/>
                <w:lang w:eastAsia="en-CA"/>
              </w:rPr>
              <w:t xml:space="preserve"> [IFRS 10, paragraph B5]</w:t>
            </w:r>
          </w:p>
        </w:tc>
      </w:tr>
      <w:tr w:rsidR="00B62C65" w:rsidRPr="007A4047" w:rsidTr="00EA2E39">
        <w:tc>
          <w:tcPr>
            <w:tcW w:w="3428" w:type="dxa"/>
            <w:tcBorders>
              <w:bottom w:val="single" w:sz="4" w:space="0" w:color="auto"/>
            </w:tcBorders>
            <w:shd w:val="clear" w:color="auto" w:fill="000000"/>
          </w:tcPr>
          <w:p w:rsidR="00B62C65" w:rsidRPr="007A4047" w:rsidRDefault="00B62C65" w:rsidP="00EA2E39">
            <w:pPr>
              <w:autoSpaceDE w:val="0"/>
              <w:autoSpaceDN w:val="0"/>
              <w:adjustRightInd w:val="0"/>
              <w:jc w:val="center"/>
              <w:rPr>
                <w:rFonts w:ascii="Arial" w:eastAsia="Calibri" w:hAnsi="Arial" w:cs="Arial"/>
                <w:b/>
                <w:color w:val="FFFFFF"/>
                <w:sz w:val="20"/>
                <w:szCs w:val="20"/>
              </w:rPr>
            </w:pPr>
            <w:r w:rsidRPr="007A4047">
              <w:rPr>
                <w:rFonts w:ascii="Arial" w:eastAsia="Calibri" w:hAnsi="Arial" w:cs="Arial"/>
                <w:b/>
                <w:color w:val="FFFFFF"/>
                <w:sz w:val="20"/>
                <w:szCs w:val="20"/>
              </w:rPr>
              <w:t>Criteria</w:t>
            </w:r>
          </w:p>
        </w:tc>
        <w:tc>
          <w:tcPr>
            <w:tcW w:w="6384" w:type="dxa"/>
            <w:tcBorders>
              <w:bottom w:val="single" w:sz="4" w:space="0" w:color="auto"/>
            </w:tcBorders>
            <w:shd w:val="clear" w:color="auto" w:fill="000000"/>
          </w:tcPr>
          <w:p w:rsidR="00B62C65" w:rsidRPr="007A4047" w:rsidRDefault="00B62C65" w:rsidP="00EA2E39">
            <w:pPr>
              <w:rPr>
                <w:rFonts w:ascii="Arial" w:eastAsia="Calibri" w:hAnsi="Arial" w:cs="Arial"/>
                <w:b/>
                <w:bCs/>
                <w:color w:val="FFFFFF"/>
                <w:sz w:val="20"/>
                <w:szCs w:val="20"/>
              </w:rPr>
            </w:pPr>
            <w:r w:rsidRPr="007A4047">
              <w:rPr>
                <w:rFonts w:ascii="Arial" w:eastAsia="Calibri" w:hAnsi="Arial" w:cs="Arial"/>
                <w:b/>
                <w:bCs/>
                <w:color w:val="FFFFFF"/>
                <w:sz w:val="20"/>
                <w:szCs w:val="20"/>
              </w:rPr>
              <w:t>Analysis</w:t>
            </w:r>
          </w:p>
        </w:tc>
      </w:tr>
      <w:tr w:rsidR="00B62C65" w:rsidRPr="007A4047" w:rsidTr="0069016A">
        <w:tc>
          <w:tcPr>
            <w:tcW w:w="3428" w:type="dxa"/>
            <w:tcBorders>
              <w:bottom w:val="single" w:sz="4" w:space="0" w:color="auto"/>
            </w:tcBorders>
            <w:shd w:val="clear" w:color="auto" w:fill="auto"/>
          </w:tcPr>
          <w:p w:rsidR="00B62C65" w:rsidRPr="007A4047" w:rsidRDefault="00B62C65" w:rsidP="00EA2E39">
            <w:pPr>
              <w:pStyle w:val="Default"/>
              <w:rPr>
                <w:rFonts w:ascii="Arial" w:hAnsi="Arial" w:cs="Arial"/>
                <w:b/>
                <w:sz w:val="20"/>
                <w:szCs w:val="20"/>
                <w:highlight w:val="yellow"/>
              </w:rPr>
            </w:pPr>
            <w:r w:rsidRPr="007A4047">
              <w:rPr>
                <w:rFonts w:ascii="Arial" w:hAnsi="Arial" w:cs="Arial"/>
                <w:sz w:val="20"/>
                <w:szCs w:val="20"/>
              </w:rPr>
              <w:t xml:space="preserve">Purpose and design of the </w:t>
            </w:r>
            <w:r w:rsidR="00345DA6" w:rsidRPr="007A4047">
              <w:rPr>
                <w:rFonts w:ascii="Arial" w:hAnsi="Arial" w:cs="Arial"/>
                <w:sz w:val="20"/>
                <w:szCs w:val="20"/>
              </w:rPr>
              <w:t>Trust</w:t>
            </w:r>
          </w:p>
        </w:tc>
        <w:tc>
          <w:tcPr>
            <w:tcW w:w="6384" w:type="dxa"/>
            <w:tcBorders>
              <w:bottom w:val="single" w:sz="4" w:space="0" w:color="auto"/>
            </w:tcBorders>
            <w:shd w:val="clear" w:color="auto" w:fill="auto"/>
          </w:tcPr>
          <w:p w:rsidR="00B62C65" w:rsidRDefault="00FA6570" w:rsidP="00EA2E39">
            <w:pPr>
              <w:rPr>
                <w:rFonts w:ascii="Arial" w:eastAsia="Calibri" w:hAnsi="Arial" w:cs="Arial"/>
                <w:sz w:val="20"/>
                <w:szCs w:val="20"/>
              </w:rPr>
            </w:pPr>
            <w:r w:rsidRPr="007A4047">
              <w:rPr>
                <w:rFonts w:ascii="Arial" w:eastAsia="Calibri" w:hAnsi="Arial" w:cs="Arial"/>
                <w:sz w:val="20"/>
                <w:szCs w:val="20"/>
              </w:rPr>
              <w:t>The purpose of the Trust is to allow OPG to earn a return on the Intangible Asset from the IESO by effectively managing financing to earn a spread, earn management fees, and earn interest fees.</w:t>
            </w:r>
          </w:p>
          <w:p w:rsidR="00DC10DC" w:rsidRPr="007A4047" w:rsidRDefault="00DC10DC" w:rsidP="00EA2E39">
            <w:pPr>
              <w:rPr>
                <w:rFonts w:ascii="Arial" w:eastAsia="Calibri" w:hAnsi="Arial" w:cs="Arial"/>
                <w:sz w:val="20"/>
                <w:szCs w:val="20"/>
                <w:highlight w:val="yellow"/>
              </w:rPr>
            </w:pPr>
          </w:p>
        </w:tc>
      </w:tr>
      <w:tr w:rsidR="00B62C65" w:rsidRPr="007A4047" w:rsidTr="0069016A">
        <w:trPr>
          <w:trHeight w:val="782"/>
        </w:trPr>
        <w:tc>
          <w:tcPr>
            <w:tcW w:w="3428" w:type="dxa"/>
            <w:tcBorders>
              <w:bottom w:val="single" w:sz="4" w:space="0" w:color="auto"/>
            </w:tcBorders>
            <w:shd w:val="clear" w:color="auto" w:fill="auto"/>
          </w:tcPr>
          <w:p w:rsidR="00B62C65" w:rsidRPr="007A4047" w:rsidRDefault="00B62C65" w:rsidP="00EA2E39">
            <w:pPr>
              <w:pStyle w:val="Default"/>
              <w:rPr>
                <w:rFonts w:ascii="Arial" w:hAnsi="Arial" w:cs="Arial"/>
                <w:sz w:val="20"/>
                <w:szCs w:val="20"/>
                <w:highlight w:val="yellow"/>
              </w:rPr>
            </w:pPr>
            <w:r w:rsidRPr="007A4047">
              <w:rPr>
                <w:rFonts w:ascii="Arial" w:hAnsi="Arial" w:cs="Arial"/>
                <w:sz w:val="20"/>
                <w:szCs w:val="20"/>
              </w:rPr>
              <w:lastRenderedPageBreak/>
              <w:t xml:space="preserve">Relevant activities of the </w:t>
            </w:r>
            <w:r w:rsidR="00345DA6" w:rsidRPr="007A4047">
              <w:rPr>
                <w:rFonts w:ascii="Arial" w:hAnsi="Arial" w:cs="Arial"/>
                <w:sz w:val="20"/>
                <w:szCs w:val="20"/>
              </w:rPr>
              <w:t>Trust</w:t>
            </w:r>
            <w:r w:rsidRPr="007A4047">
              <w:rPr>
                <w:rFonts w:ascii="Arial" w:hAnsi="Arial" w:cs="Arial"/>
                <w:sz w:val="20"/>
                <w:szCs w:val="20"/>
              </w:rPr>
              <w:t xml:space="preserve"> and how decisions are made about those activities</w:t>
            </w:r>
          </w:p>
        </w:tc>
        <w:tc>
          <w:tcPr>
            <w:tcW w:w="6384" w:type="dxa"/>
            <w:tcBorders>
              <w:bottom w:val="single" w:sz="4" w:space="0" w:color="auto"/>
            </w:tcBorders>
            <w:shd w:val="clear" w:color="auto" w:fill="auto"/>
          </w:tcPr>
          <w:p w:rsidR="00B62C65" w:rsidRPr="007A4047" w:rsidRDefault="00B62C65" w:rsidP="00EA2E39">
            <w:pPr>
              <w:rPr>
                <w:rFonts w:ascii="Arial" w:eastAsia="Calibri" w:hAnsi="Arial" w:cs="Arial"/>
                <w:sz w:val="20"/>
                <w:szCs w:val="20"/>
                <w:u w:val="single"/>
              </w:rPr>
            </w:pPr>
            <w:r w:rsidRPr="007A4047">
              <w:rPr>
                <w:rFonts w:ascii="Arial" w:eastAsia="Calibri" w:hAnsi="Arial" w:cs="Arial"/>
                <w:sz w:val="20"/>
                <w:szCs w:val="20"/>
                <w:u w:val="single"/>
              </w:rPr>
              <w:t>Relevant activities:</w:t>
            </w:r>
          </w:p>
          <w:p w:rsidR="00B62C65" w:rsidRPr="007A4047" w:rsidRDefault="00B62C65" w:rsidP="00EA2E39">
            <w:pPr>
              <w:rPr>
                <w:rFonts w:ascii="Arial" w:eastAsia="Calibri" w:hAnsi="Arial" w:cs="Arial"/>
                <w:sz w:val="20"/>
                <w:szCs w:val="20"/>
              </w:rPr>
            </w:pPr>
          </w:p>
          <w:p w:rsidR="00B62C65" w:rsidRPr="007A4047" w:rsidRDefault="00B62C65" w:rsidP="007E7231">
            <w:pPr>
              <w:spacing w:after="160"/>
              <w:rPr>
                <w:rFonts w:ascii="Arial" w:eastAsia="Calibri" w:hAnsi="Arial" w:cs="Arial"/>
                <w:sz w:val="20"/>
                <w:szCs w:val="20"/>
              </w:rPr>
            </w:pPr>
            <w:r w:rsidRPr="007A4047">
              <w:rPr>
                <w:rFonts w:ascii="Arial" w:eastAsia="Calibri" w:hAnsi="Arial" w:cs="Arial"/>
                <w:sz w:val="20"/>
                <w:szCs w:val="20"/>
              </w:rPr>
              <w:t xml:space="preserve">The relevant activities of the </w:t>
            </w:r>
            <w:r w:rsidR="00345DA6" w:rsidRPr="007A4047">
              <w:rPr>
                <w:rFonts w:ascii="Arial" w:eastAsia="Calibri" w:hAnsi="Arial" w:cs="Arial"/>
                <w:sz w:val="20"/>
                <w:szCs w:val="20"/>
              </w:rPr>
              <w:t>Trust</w:t>
            </w:r>
            <w:r w:rsidR="0012536E" w:rsidRPr="007A4047">
              <w:rPr>
                <w:rFonts w:ascii="Arial" w:eastAsia="Calibri" w:hAnsi="Arial" w:cs="Arial"/>
                <w:sz w:val="20"/>
                <w:szCs w:val="20"/>
              </w:rPr>
              <w:t xml:space="preserve"> </w:t>
            </w:r>
            <w:r w:rsidRPr="007A4047">
              <w:rPr>
                <w:rFonts w:ascii="Arial" w:eastAsia="Calibri" w:hAnsi="Arial" w:cs="Arial"/>
                <w:sz w:val="20"/>
                <w:szCs w:val="20"/>
              </w:rPr>
              <w:t>are:</w:t>
            </w:r>
          </w:p>
          <w:p w:rsidR="005768F2" w:rsidRPr="007A4047" w:rsidRDefault="00242FD4" w:rsidP="00424170">
            <w:pPr>
              <w:pStyle w:val="ListParagraph"/>
              <w:numPr>
                <w:ilvl w:val="0"/>
                <w:numId w:val="3"/>
              </w:numPr>
              <w:spacing w:after="0" w:line="276" w:lineRule="auto"/>
              <w:rPr>
                <w:rFonts w:ascii="Arial" w:hAnsi="Arial" w:cs="Arial"/>
                <w:sz w:val="20"/>
                <w:szCs w:val="20"/>
              </w:rPr>
            </w:pPr>
            <w:r>
              <w:rPr>
                <w:rFonts w:ascii="Arial" w:hAnsi="Arial" w:cs="Arial"/>
                <w:sz w:val="20"/>
                <w:szCs w:val="20"/>
              </w:rPr>
              <w:t>To evaluate and make decisions</w:t>
            </w:r>
            <w:r w:rsidR="005768F2" w:rsidRPr="007A4047">
              <w:rPr>
                <w:rFonts w:ascii="Arial" w:hAnsi="Arial" w:cs="Arial"/>
                <w:sz w:val="20"/>
                <w:szCs w:val="20"/>
              </w:rPr>
              <w:t xml:space="preserve"> on financing alternatives, duration, and the strategy to minimize financing costs.</w:t>
            </w:r>
          </w:p>
          <w:p w:rsidR="005768F2" w:rsidRPr="007A4047" w:rsidRDefault="00242FD4" w:rsidP="00424170">
            <w:pPr>
              <w:pStyle w:val="ListParagraph"/>
              <w:numPr>
                <w:ilvl w:val="0"/>
                <w:numId w:val="3"/>
              </w:numPr>
              <w:spacing w:after="0" w:line="276" w:lineRule="auto"/>
              <w:rPr>
                <w:rFonts w:ascii="Arial" w:hAnsi="Arial" w:cs="Arial"/>
                <w:sz w:val="20"/>
                <w:szCs w:val="20"/>
              </w:rPr>
            </w:pPr>
            <w:r>
              <w:rPr>
                <w:rFonts w:ascii="Arial" w:hAnsi="Arial" w:cs="Arial"/>
                <w:sz w:val="20"/>
                <w:szCs w:val="20"/>
              </w:rPr>
              <w:t xml:space="preserve">To </w:t>
            </w:r>
            <w:r w:rsidR="00A3771A">
              <w:rPr>
                <w:rFonts w:ascii="Arial" w:hAnsi="Arial" w:cs="Arial"/>
                <w:sz w:val="20"/>
                <w:szCs w:val="20"/>
              </w:rPr>
              <w:t>e</w:t>
            </w:r>
            <w:r w:rsidR="005768F2" w:rsidRPr="007A4047">
              <w:rPr>
                <w:rFonts w:ascii="Arial" w:hAnsi="Arial" w:cs="Arial"/>
                <w:sz w:val="20"/>
                <w:szCs w:val="20"/>
              </w:rPr>
              <w:t>ffectively manage funding obtained through the capital markets and be able to make or lo</w:t>
            </w:r>
            <w:r w:rsidR="002550CA">
              <w:rPr>
                <w:rFonts w:ascii="Arial" w:hAnsi="Arial" w:cs="Arial"/>
                <w:sz w:val="20"/>
                <w:szCs w:val="20"/>
              </w:rPr>
              <w:t>se any spread from financing</w:t>
            </w:r>
          </w:p>
          <w:p w:rsidR="00B62C65" w:rsidRPr="007A4047" w:rsidRDefault="00242FD4" w:rsidP="00424170">
            <w:pPr>
              <w:pStyle w:val="ListParagraph"/>
              <w:numPr>
                <w:ilvl w:val="0"/>
                <w:numId w:val="3"/>
              </w:numPr>
              <w:spacing w:after="0" w:line="276" w:lineRule="auto"/>
              <w:rPr>
                <w:rFonts w:ascii="Arial" w:hAnsi="Arial" w:cs="Arial"/>
                <w:sz w:val="20"/>
                <w:szCs w:val="20"/>
              </w:rPr>
            </w:pPr>
            <w:r>
              <w:rPr>
                <w:rFonts w:ascii="Arial" w:hAnsi="Arial" w:cs="Arial"/>
                <w:sz w:val="20"/>
                <w:szCs w:val="20"/>
              </w:rPr>
              <w:t>T</w:t>
            </w:r>
            <w:r w:rsidR="00BB3F2B" w:rsidRPr="007A4047">
              <w:rPr>
                <w:rFonts w:ascii="Arial" w:hAnsi="Arial" w:cs="Arial"/>
                <w:sz w:val="20"/>
                <w:szCs w:val="20"/>
              </w:rPr>
              <w:t>o provide funding to the IESO in return for an intere</w:t>
            </w:r>
            <w:r w:rsidR="002550CA">
              <w:rPr>
                <w:rFonts w:ascii="Arial" w:hAnsi="Arial" w:cs="Arial"/>
                <w:sz w:val="20"/>
                <w:szCs w:val="20"/>
              </w:rPr>
              <w:t>st in a future cash flow stream</w:t>
            </w:r>
          </w:p>
          <w:p w:rsidR="00BB3F2B" w:rsidRDefault="00242FD4" w:rsidP="00424170">
            <w:pPr>
              <w:pStyle w:val="ListParagraph"/>
              <w:numPr>
                <w:ilvl w:val="0"/>
                <w:numId w:val="3"/>
              </w:numPr>
              <w:spacing w:after="0" w:line="276" w:lineRule="auto"/>
              <w:rPr>
                <w:rFonts w:ascii="Arial" w:hAnsi="Arial" w:cs="Arial"/>
                <w:sz w:val="20"/>
                <w:szCs w:val="20"/>
              </w:rPr>
            </w:pPr>
            <w:r>
              <w:rPr>
                <w:rFonts w:ascii="Arial" w:hAnsi="Arial" w:cs="Arial"/>
                <w:sz w:val="20"/>
                <w:szCs w:val="20"/>
              </w:rPr>
              <w:t xml:space="preserve">To </w:t>
            </w:r>
            <w:r w:rsidR="00A3771A">
              <w:rPr>
                <w:rFonts w:ascii="Arial" w:hAnsi="Arial" w:cs="Arial"/>
                <w:sz w:val="20"/>
                <w:szCs w:val="20"/>
              </w:rPr>
              <w:t>o</w:t>
            </w:r>
            <w:r w:rsidR="00BB3F2B" w:rsidRPr="007A4047">
              <w:rPr>
                <w:rFonts w:ascii="Arial" w:hAnsi="Arial" w:cs="Arial"/>
                <w:sz w:val="20"/>
                <w:szCs w:val="20"/>
              </w:rPr>
              <w:t>btain funding through the capital markets and other vehicles available to OPG to be able to provide the IESO funding.</w:t>
            </w:r>
          </w:p>
          <w:p w:rsidR="002550CA" w:rsidRDefault="00242FD4" w:rsidP="0026370A">
            <w:pPr>
              <w:pStyle w:val="ListParagraph"/>
              <w:numPr>
                <w:ilvl w:val="0"/>
                <w:numId w:val="17"/>
              </w:numPr>
              <w:spacing w:after="200" w:line="276" w:lineRule="auto"/>
              <w:rPr>
                <w:rFonts w:ascii="Arial" w:hAnsi="Arial" w:cs="Arial"/>
                <w:sz w:val="20"/>
                <w:szCs w:val="20"/>
              </w:rPr>
            </w:pPr>
            <w:r>
              <w:rPr>
                <w:rFonts w:ascii="Arial" w:hAnsi="Arial" w:cs="Arial"/>
                <w:sz w:val="20"/>
                <w:szCs w:val="20"/>
              </w:rPr>
              <w:t xml:space="preserve">To </w:t>
            </w:r>
            <w:r w:rsidR="002550CA">
              <w:rPr>
                <w:rFonts w:ascii="Arial" w:hAnsi="Arial" w:cs="Arial"/>
                <w:sz w:val="20"/>
                <w:szCs w:val="20"/>
              </w:rPr>
              <w:t>make capital and funding decisions required to meet the Fair Allocation Plan objectives as set out in Legislation</w:t>
            </w:r>
          </w:p>
          <w:p w:rsidR="002550CA" w:rsidRDefault="00242FD4" w:rsidP="0026370A">
            <w:pPr>
              <w:pStyle w:val="ListParagraph"/>
              <w:numPr>
                <w:ilvl w:val="0"/>
                <w:numId w:val="17"/>
              </w:numPr>
              <w:spacing w:after="200" w:line="276" w:lineRule="auto"/>
              <w:rPr>
                <w:rFonts w:ascii="Arial" w:hAnsi="Arial" w:cs="Arial"/>
                <w:sz w:val="20"/>
                <w:szCs w:val="20"/>
              </w:rPr>
            </w:pPr>
            <w:r>
              <w:rPr>
                <w:rFonts w:ascii="Arial" w:hAnsi="Arial" w:cs="Arial"/>
                <w:sz w:val="20"/>
                <w:szCs w:val="20"/>
              </w:rPr>
              <w:t xml:space="preserve">To </w:t>
            </w:r>
            <w:r w:rsidR="002550CA">
              <w:rPr>
                <w:rFonts w:ascii="Arial" w:hAnsi="Arial" w:cs="Arial"/>
                <w:sz w:val="20"/>
                <w:szCs w:val="20"/>
              </w:rPr>
              <w:t>finance the requirements associated with the short-fall amount</w:t>
            </w:r>
          </w:p>
          <w:p w:rsidR="00B62C65" w:rsidRDefault="00242FD4" w:rsidP="0026370A">
            <w:pPr>
              <w:pStyle w:val="ListParagraph"/>
              <w:numPr>
                <w:ilvl w:val="0"/>
                <w:numId w:val="17"/>
              </w:numPr>
              <w:spacing w:after="200" w:line="276" w:lineRule="auto"/>
              <w:rPr>
                <w:rFonts w:ascii="Arial" w:hAnsi="Arial" w:cs="Arial"/>
                <w:sz w:val="20"/>
                <w:szCs w:val="20"/>
              </w:rPr>
            </w:pPr>
            <w:r>
              <w:rPr>
                <w:rFonts w:ascii="Arial" w:hAnsi="Arial" w:cs="Arial"/>
                <w:sz w:val="20"/>
                <w:szCs w:val="20"/>
              </w:rPr>
              <w:t xml:space="preserve">To </w:t>
            </w:r>
            <w:r w:rsidR="002550CA">
              <w:rPr>
                <w:rFonts w:ascii="Arial" w:hAnsi="Arial" w:cs="Arial"/>
                <w:sz w:val="20"/>
                <w:szCs w:val="20"/>
              </w:rPr>
              <w:t>raise debt, pay bond debt holders, and determine capacity for the Trust to raise additional financing</w:t>
            </w:r>
          </w:p>
          <w:p w:rsidR="007E7231" w:rsidRPr="003F4118" w:rsidRDefault="007E7231" w:rsidP="007E7231">
            <w:pPr>
              <w:spacing w:after="200" w:line="276" w:lineRule="auto"/>
              <w:rPr>
                <w:rFonts w:ascii="Arial" w:hAnsi="Arial" w:cs="Arial"/>
                <w:sz w:val="20"/>
                <w:szCs w:val="20"/>
                <w:u w:val="single"/>
              </w:rPr>
            </w:pPr>
            <w:r w:rsidRPr="003F4118">
              <w:rPr>
                <w:rFonts w:ascii="Arial" w:hAnsi="Arial" w:cs="Arial"/>
                <w:sz w:val="20"/>
                <w:szCs w:val="20"/>
                <w:u w:val="single"/>
              </w:rPr>
              <w:t>Financing Plan (Legislation: Part IV – Implementation)</w:t>
            </w:r>
          </w:p>
          <w:p w:rsidR="003F4118" w:rsidRPr="003F4118" w:rsidRDefault="003F4118" w:rsidP="003F4118">
            <w:pPr>
              <w:pStyle w:val="ListParagraph"/>
              <w:numPr>
                <w:ilvl w:val="0"/>
                <w:numId w:val="16"/>
              </w:numPr>
              <w:spacing w:after="200" w:line="276" w:lineRule="auto"/>
              <w:rPr>
                <w:rFonts w:ascii="Arial" w:hAnsi="Arial" w:cs="Arial"/>
                <w:b/>
                <w:sz w:val="20"/>
                <w:szCs w:val="20"/>
              </w:rPr>
            </w:pPr>
            <w:r>
              <w:rPr>
                <w:rFonts w:ascii="Arial" w:hAnsi="Arial" w:cs="Arial"/>
                <w:sz w:val="20"/>
                <w:szCs w:val="20"/>
              </w:rPr>
              <w:t>OPG’s plan for managing the assets of the Trust will be dictated through a ‘Financing Plan’.</w:t>
            </w:r>
          </w:p>
          <w:p w:rsidR="007E7231" w:rsidRPr="00DA77C2" w:rsidRDefault="007E7231" w:rsidP="007E7231">
            <w:pPr>
              <w:pStyle w:val="ListParagraph"/>
              <w:numPr>
                <w:ilvl w:val="0"/>
                <w:numId w:val="16"/>
              </w:numPr>
              <w:spacing w:after="200" w:line="276" w:lineRule="auto"/>
              <w:rPr>
                <w:rFonts w:ascii="Arial" w:hAnsi="Arial" w:cs="Arial"/>
                <w:b/>
                <w:sz w:val="20"/>
                <w:szCs w:val="20"/>
              </w:rPr>
            </w:pPr>
            <w:r>
              <w:rPr>
                <w:rFonts w:ascii="Arial" w:hAnsi="Arial" w:cs="Arial"/>
                <w:sz w:val="20"/>
                <w:szCs w:val="20"/>
              </w:rPr>
              <w:t xml:space="preserve">The Financial Services Manager (i.e. the Trust) shall provide the Financing Plan to the Minister.  The Financing Plan is expected to follow Principles as stipulated in the Legislation which indicate that the assumptions must be reasonable and that the Trust has the power to determine what is reasonable and cost-effective. </w:t>
            </w:r>
            <w:r w:rsidR="003F4118">
              <w:rPr>
                <w:rFonts w:ascii="Arial" w:hAnsi="Arial" w:cs="Arial"/>
                <w:sz w:val="20"/>
                <w:szCs w:val="20"/>
              </w:rPr>
              <w:t xml:space="preserve"> The Trust makes all the decisions in determining the relevant activities as listed above.</w:t>
            </w:r>
          </w:p>
          <w:p w:rsidR="007E7231" w:rsidRPr="00BE31B5" w:rsidRDefault="007E7231" w:rsidP="007E7231">
            <w:pPr>
              <w:pStyle w:val="ListParagraph"/>
              <w:numPr>
                <w:ilvl w:val="0"/>
                <w:numId w:val="16"/>
              </w:numPr>
              <w:spacing w:after="200" w:line="276" w:lineRule="auto"/>
              <w:rPr>
                <w:rFonts w:ascii="Arial" w:hAnsi="Arial" w:cs="Arial"/>
                <w:b/>
                <w:sz w:val="20"/>
                <w:szCs w:val="20"/>
              </w:rPr>
            </w:pPr>
            <w:r>
              <w:rPr>
                <w:rFonts w:ascii="Arial" w:hAnsi="Arial" w:cs="Arial"/>
                <w:sz w:val="20"/>
                <w:szCs w:val="20"/>
              </w:rPr>
              <w:t xml:space="preserve">OPG can amend the Financing Plan at any time without the approval of the Minister.  </w:t>
            </w:r>
          </w:p>
          <w:p w:rsidR="00BE31B5" w:rsidRPr="003F4118" w:rsidRDefault="00BE31B5" w:rsidP="00BE31B5">
            <w:pPr>
              <w:spacing w:after="200" w:line="276" w:lineRule="auto"/>
              <w:rPr>
                <w:rFonts w:ascii="Arial" w:hAnsi="Arial" w:cs="Arial"/>
                <w:sz w:val="20"/>
                <w:szCs w:val="20"/>
                <w:u w:val="single"/>
              </w:rPr>
            </w:pPr>
            <w:r>
              <w:rPr>
                <w:rFonts w:ascii="Arial" w:hAnsi="Arial" w:cs="Arial"/>
                <w:sz w:val="20"/>
                <w:szCs w:val="20"/>
                <w:u w:val="single"/>
              </w:rPr>
              <w:t>Fair Allocation Amount</w:t>
            </w:r>
            <w:r w:rsidRPr="003F4118">
              <w:rPr>
                <w:rFonts w:ascii="Arial" w:hAnsi="Arial" w:cs="Arial"/>
                <w:sz w:val="20"/>
                <w:szCs w:val="20"/>
                <w:u w:val="single"/>
              </w:rPr>
              <w:t xml:space="preserve"> (Legislation: Part IV – Implementation)</w:t>
            </w:r>
          </w:p>
          <w:p w:rsidR="00BE31B5" w:rsidRPr="009B2A87" w:rsidRDefault="00BE31B5" w:rsidP="00BE31B5">
            <w:pPr>
              <w:pStyle w:val="ListParagraph"/>
              <w:numPr>
                <w:ilvl w:val="0"/>
                <w:numId w:val="16"/>
              </w:numPr>
              <w:spacing w:after="200" w:line="276" w:lineRule="auto"/>
              <w:rPr>
                <w:rFonts w:ascii="Arial" w:hAnsi="Arial" w:cs="Arial"/>
                <w:b/>
                <w:sz w:val="20"/>
                <w:szCs w:val="20"/>
              </w:rPr>
            </w:pPr>
            <w:r>
              <w:rPr>
                <w:rFonts w:ascii="Arial" w:hAnsi="Arial" w:cs="Arial"/>
                <w:sz w:val="20"/>
                <w:szCs w:val="20"/>
              </w:rPr>
              <w:t>The ‘Fair Allocation Amount’</w:t>
            </w:r>
            <w:r w:rsidR="00F80A3E">
              <w:rPr>
                <w:rFonts w:ascii="Arial" w:hAnsi="Arial" w:cs="Arial"/>
                <w:sz w:val="20"/>
                <w:szCs w:val="20"/>
              </w:rPr>
              <w:t xml:space="preserve"> (“FAA”)</w:t>
            </w:r>
            <w:r>
              <w:rPr>
                <w:rFonts w:ascii="Arial" w:hAnsi="Arial" w:cs="Arial"/>
                <w:sz w:val="20"/>
                <w:szCs w:val="20"/>
              </w:rPr>
              <w:t xml:space="preserve"> is the amount of the deferral</w:t>
            </w:r>
            <w:r w:rsidR="005572B0">
              <w:rPr>
                <w:rFonts w:ascii="Arial" w:hAnsi="Arial" w:cs="Arial"/>
                <w:sz w:val="20"/>
                <w:szCs w:val="20"/>
              </w:rPr>
              <w:t xml:space="preserve"> for the reference period and includes finance amounts</w:t>
            </w:r>
            <w:r>
              <w:rPr>
                <w:rFonts w:ascii="Arial" w:hAnsi="Arial" w:cs="Arial"/>
                <w:sz w:val="20"/>
                <w:szCs w:val="20"/>
              </w:rPr>
              <w:t xml:space="preserve">.  The current Legislation dictates that </w:t>
            </w:r>
            <w:r w:rsidR="00EC3D2D">
              <w:rPr>
                <w:rFonts w:ascii="Arial" w:hAnsi="Arial" w:cs="Arial"/>
                <w:sz w:val="20"/>
                <w:szCs w:val="20"/>
              </w:rPr>
              <w:t>the Minister</w:t>
            </w:r>
            <w:r w:rsidR="005572B0">
              <w:rPr>
                <w:rFonts w:ascii="Arial" w:hAnsi="Arial" w:cs="Arial"/>
                <w:sz w:val="20"/>
                <w:szCs w:val="20"/>
              </w:rPr>
              <w:t xml:space="preserve"> of Energy</w:t>
            </w:r>
            <w:r>
              <w:rPr>
                <w:rFonts w:ascii="Arial" w:hAnsi="Arial" w:cs="Arial"/>
                <w:sz w:val="20"/>
                <w:szCs w:val="20"/>
              </w:rPr>
              <w:t xml:space="preserve"> is to calculate the FAA</w:t>
            </w:r>
            <w:r w:rsidR="00EC3D2D">
              <w:rPr>
                <w:rFonts w:ascii="Arial" w:hAnsi="Arial" w:cs="Arial"/>
                <w:sz w:val="20"/>
                <w:szCs w:val="20"/>
              </w:rPr>
              <w:t xml:space="preserve">.  </w:t>
            </w:r>
          </w:p>
          <w:p w:rsidR="00BE31B5" w:rsidRPr="00BE4B9B" w:rsidRDefault="005572B0" w:rsidP="00BE4B9B">
            <w:pPr>
              <w:pStyle w:val="ListParagraph"/>
              <w:numPr>
                <w:ilvl w:val="0"/>
                <w:numId w:val="45"/>
              </w:numPr>
              <w:rPr>
                <w:rFonts w:ascii="Arial" w:hAnsi="Arial" w:cs="Arial"/>
                <w:sz w:val="20"/>
                <w:szCs w:val="20"/>
              </w:rPr>
            </w:pPr>
            <w:r>
              <w:rPr>
                <w:rFonts w:ascii="Arial" w:hAnsi="Arial" w:cs="Arial"/>
                <w:sz w:val="20"/>
                <w:szCs w:val="20"/>
              </w:rPr>
              <w:t>This does not</w:t>
            </w:r>
            <w:r w:rsidRPr="00EC3D2D">
              <w:rPr>
                <w:rFonts w:ascii="Arial" w:hAnsi="Arial" w:cs="Arial"/>
                <w:sz w:val="20"/>
                <w:szCs w:val="20"/>
              </w:rPr>
              <w:t xml:space="preserve"> impact OPG’s relevant activities in the Trust as OPG’s variable returns are based on financing decisi</w:t>
            </w:r>
            <w:r w:rsidR="00442C5A">
              <w:rPr>
                <w:rFonts w:ascii="Arial" w:hAnsi="Arial" w:cs="Arial"/>
                <w:sz w:val="20"/>
                <w:szCs w:val="20"/>
              </w:rPr>
              <w:t>ons which are not dictated by the FAA</w:t>
            </w:r>
            <w:r w:rsidRPr="00EC3D2D">
              <w:rPr>
                <w:rFonts w:ascii="Arial" w:hAnsi="Arial" w:cs="Arial"/>
                <w:sz w:val="20"/>
                <w:szCs w:val="20"/>
              </w:rPr>
              <w:t xml:space="preserve">.  </w:t>
            </w:r>
            <w:r w:rsidR="00F008CF">
              <w:rPr>
                <w:rFonts w:ascii="Arial" w:hAnsi="Arial" w:cs="Arial"/>
                <w:sz w:val="20"/>
                <w:szCs w:val="20"/>
              </w:rPr>
              <w:t xml:space="preserve">OPG can choose to accept or reject the purchase of the intangible asset which is based on the Fair Allocation Amount.  </w:t>
            </w:r>
          </w:p>
          <w:p w:rsidR="00DE0997" w:rsidRDefault="00DE0997" w:rsidP="00EA2E39">
            <w:pPr>
              <w:rPr>
                <w:rFonts w:ascii="Arial" w:eastAsia="Calibri" w:hAnsi="Arial" w:cs="Arial"/>
                <w:sz w:val="20"/>
                <w:szCs w:val="20"/>
                <w:u w:val="single"/>
              </w:rPr>
            </w:pPr>
          </w:p>
          <w:p w:rsidR="00DE0997" w:rsidRDefault="00DE0997" w:rsidP="00EA2E39">
            <w:pPr>
              <w:rPr>
                <w:rFonts w:ascii="Arial" w:eastAsia="Calibri" w:hAnsi="Arial" w:cs="Arial"/>
                <w:sz w:val="20"/>
                <w:szCs w:val="20"/>
                <w:u w:val="single"/>
              </w:rPr>
            </w:pPr>
          </w:p>
          <w:p w:rsidR="00B62C65" w:rsidRPr="007A4047" w:rsidRDefault="00B62C65" w:rsidP="00EA2E39">
            <w:pPr>
              <w:rPr>
                <w:rFonts w:ascii="Arial" w:eastAsia="Calibri" w:hAnsi="Arial" w:cs="Arial"/>
                <w:sz w:val="20"/>
                <w:szCs w:val="20"/>
                <w:u w:val="single"/>
              </w:rPr>
            </w:pPr>
            <w:r w:rsidRPr="007A4047">
              <w:rPr>
                <w:rFonts w:ascii="Arial" w:eastAsia="Calibri" w:hAnsi="Arial" w:cs="Arial"/>
                <w:sz w:val="20"/>
                <w:szCs w:val="20"/>
                <w:u w:val="single"/>
              </w:rPr>
              <w:t xml:space="preserve">Decisions made </w:t>
            </w:r>
            <w:r w:rsidR="00D57790" w:rsidRPr="007A4047">
              <w:rPr>
                <w:rFonts w:ascii="Arial" w:eastAsia="Calibri" w:hAnsi="Arial" w:cs="Arial"/>
                <w:sz w:val="20"/>
                <w:szCs w:val="20"/>
                <w:u w:val="single"/>
              </w:rPr>
              <w:t>and voting rights</w:t>
            </w:r>
            <w:r w:rsidR="003F4118">
              <w:rPr>
                <w:rFonts w:ascii="Arial" w:eastAsia="Calibri" w:hAnsi="Arial" w:cs="Arial"/>
                <w:sz w:val="20"/>
                <w:szCs w:val="20"/>
                <w:u w:val="single"/>
              </w:rPr>
              <w:t xml:space="preserve"> of the Trust</w:t>
            </w:r>
            <w:r w:rsidRPr="007A4047">
              <w:rPr>
                <w:rFonts w:ascii="Arial" w:eastAsia="Calibri" w:hAnsi="Arial" w:cs="Arial"/>
                <w:sz w:val="20"/>
                <w:szCs w:val="20"/>
                <w:u w:val="single"/>
              </w:rPr>
              <w:t>:</w:t>
            </w:r>
          </w:p>
          <w:p w:rsidR="0089336D" w:rsidRPr="007A4047" w:rsidRDefault="0089336D" w:rsidP="00EA2E39">
            <w:pPr>
              <w:rPr>
                <w:rFonts w:ascii="Arial" w:eastAsia="Calibri" w:hAnsi="Arial" w:cs="Arial"/>
                <w:sz w:val="20"/>
                <w:szCs w:val="20"/>
                <w:u w:val="single"/>
              </w:rPr>
            </w:pPr>
          </w:p>
          <w:p w:rsidR="0089336D" w:rsidRPr="00AB13FB" w:rsidRDefault="0089336D" w:rsidP="00EA2E39">
            <w:pPr>
              <w:rPr>
                <w:rFonts w:ascii="Arial" w:eastAsia="Calibri" w:hAnsi="Arial" w:cs="Arial"/>
                <w:b/>
                <w:sz w:val="20"/>
                <w:szCs w:val="20"/>
              </w:rPr>
            </w:pPr>
            <w:r w:rsidRPr="007A4047">
              <w:rPr>
                <w:rFonts w:ascii="Arial" w:eastAsia="Calibri" w:hAnsi="Arial" w:cs="Arial"/>
                <w:sz w:val="20"/>
                <w:szCs w:val="20"/>
              </w:rPr>
              <w:t xml:space="preserve">OPG has the ability to appoint and remove the </w:t>
            </w:r>
            <w:r w:rsidR="00345DA6" w:rsidRPr="007A4047">
              <w:rPr>
                <w:rFonts w:ascii="Arial" w:eastAsia="Calibri" w:hAnsi="Arial" w:cs="Arial"/>
                <w:sz w:val="20"/>
                <w:szCs w:val="20"/>
              </w:rPr>
              <w:t>Trust</w:t>
            </w:r>
            <w:r w:rsidRPr="007A4047">
              <w:rPr>
                <w:rFonts w:ascii="Arial" w:eastAsia="Calibri" w:hAnsi="Arial" w:cs="Arial"/>
                <w:sz w:val="20"/>
                <w:szCs w:val="20"/>
              </w:rPr>
              <w:t>ee (</w:t>
            </w:r>
            <w:r w:rsidR="00876CCB">
              <w:rPr>
                <w:rFonts w:ascii="Arial" w:eastAsia="Calibri" w:hAnsi="Arial" w:cs="Arial"/>
                <w:sz w:val="20"/>
                <w:szCs w:val="20"/>
              </w:rPr>
              <w:t xml:space="preserve">and if applicable </w:t>
            </w:r>
            <w:r w:rsidRPr="007A4047">
              <w:rPr>
                <w:rFonts w:ascii="Arial" w:eastAsia="Calibri" w:hAnsi="Arial" w:cs="Arial"/>
                <w:sz w:val="20"/>
                <w:szCs w:val="20"/>
              </w:rPr>
              <w:t xml:space="preserve">Board of </w:t>
            </w:r>
            <w:r w:rsidR="00345DA6" w:rsidRPr="007A4047">
              <w:rPr>
                <w:rFonts w:ascii="Arial" w:eastAsia="Calibri" w:hAnsi="Arial" w:cs="Arial"/>
                <w:sz w:val="20"/>
                <w:szCs w:val="20"/>
              </w:rPr>
              <w:t>Trust</w:t>
            </w:r>
            <w:r w:rsidRPr="007A4047">
              <w:rPr>
                <w:rFonts w:ascii="Arial" w:eastAsia="Calibri" w:hAnsi="Arial" w:cs="Arial"/>
                <w:sz w:val="20"/>
                <w:szCs w:val="20"/>
              </w:rPr>
              <w:t xml:space="preserve">ees) and there are no veto rights by the Province. No party has the ability to remove OPG from its role and authority in the </w:t>
            </w:r>
            <w:r w:rsidR="00345DA6" w:rsidRPr="007A4047">
              <w:rPr>
                <w:rFonts w:ascii="Arial" w:eastAsia="Calibri" w:hAnsi="Arial" w:cs="Arial"/>
                <w:sz w:val="20"/>
                <w:szCs w:val="20"/>
              </w:rPr>
              <w:t>Trust</w:t>
            </w:r>
            <w:r w:rsidRPr="007A4047">
              <w:rPr>
                <w:rFonts w:ascii="Arial" w:eastAsia="Calibri" w:hAnsi="Arial" w:cs="Arial"/>
                <w:sz w:val="20"/>
                <w:szCs w:val="20"/>
              </w:rPr>
              <w:t>.</w:t>
            </w:r>
            <w:r w:rsidR="00AB13FB">
              <w:rPr>
                <w:rFonts w:ascii="Arial" w:eastAsia="Calibri" w:hAnsi="Arial" w:cs="Arial"/>
                <w:sz w:val="20"/>
                <w:szCs w:val="20"/>
              </w:rPr>
              <w:t xml:space="preserve">  </w:t>
            </w:r>
            <w:r w:rsidR="003D041B" w:rsidRPr="003D041B">
              <w:rPr>
                <w:rFonts w:ascii="Arial" w:eastAsia="Calibri" w:hAnsi="Arial" w:cs="Arial"/>
                <w:b/>
                <w:sz w:val="20"/>
                <w:szCs w:val="20"/>
              </w:rPr>
              <w:t>[NOT YET ADDRESSED IN CURRENT LEGISLATION]</w:t>
            </w:r>
          </w:p>
          <w:p w:rsidR="0089336D" w:rsidRPr="007A4047" w:rsidRDefault="0089336D" w:rsidP="0089336D">
            <w:pPr>
              <w:pStyle w:val="ListParagraph"/>
              <w:spacing w:after="200" w:line="276" w:lineRule="auto"/>
              <w:ind w:left="0"/>
              <w:rPr>
                <w:rFonts w:ascii="Arial" w:hAnsi="Arial" w:cs="Arial"/>
                <w:sz w:val="20"/>
                <w:szCs w:val="20"/>
                <w:lang w:val="en-GB"/>
              </w:rPr>
            </w:pPr>
          </w:p>
          <w:p w:rsidR="00B62C65" w:rsidRPr="007A4047" w:rsidRDefault="00B62C65" w:rsidP="0089336D">
            <w:pPr>
              <w:pStyle w:val="ListParagraph"/>
              <w:spacing w:after="200" w:line="276" w:lineRule="auto"/>
              <w:ind w:left="0"/>
              <w:rPr>
                <w:rFonts w:ascii="Arial" w:hAnsi="Arial" w:cs="Arial"/>
                <w:sz w:val="20"/>
                <w:szCs w:val="20"/>
              </w:rPr>
            </w:pPr>
            <w:r w:rsidRPr="007A4047">
              <w:rPr>
                <w:rFonts w:ascii="Arial" w:hAnsi="Arial" w:cs="Arial"/>
                <w:i/>
                <w:sz w:val="20"/>
                <w:szCs w:val="20"/>
              </w:rPr>
              <w:t>Voting of members:</w:t>
            </w:r>
          </w:p>
          <w:p w:rsidR="00B62C65" w:rsidRDefault="00B62C65" w:rsidP="00393AB8">
            <w:pPr>
              <w:rPr>
                <w:rFonts w:ascii="Arial" w:eastAsia="Calibri" w:hAnsi="Arial" w:cs="Arial"/>
                <w:b/>
                <w:sz w:val="20"/>
                <w:szCs w:val="20"/>
              </w:rPr>
            </w:pPr>
            <w:r w:rsidRPr="007A4047">
              <w:rPr>
                <w:rFonts w:ascii="Arial" w:eastAsia="Calibri" w:hAnsi="Arial" w:cs="Arial"/>
                <w:sz w:val="20"/>
                <w:szCs w:val="20"/>
              </w:rPr>
              <w:t xml:space="preserve">Except as otherwise stated, all decisions of the members </w:t>
            </w:r>
            <w:r w:rsidR="00F9458B">
              <w:rPr>
                <w:rFonts w:ascii="Arial" w:eastAsia="Calibri" w:hAnsi="Arial" w:cs="Arial"/>
                <w:sz w:val="20"/>
                <w:szCs w:val="20"/>
              </w:rPr>
              <w:t xml:space="preserve">(if applicable) </w:t>
            </w:r>
            <w:r w:rsidRPr="007A4047">
              <w:rPr>
                <w:rFonts w:ascii="Arial" w:eastAsia="Calibri" w:hAnsi="Arial" w:cs="Arial"/>
                <w:sz w:val="20"/>
                <w:szCs w:val="20"/>
              </w:rPr>
              <w:t>shall be</w:t>
            </w:r>
            <w:r w:rsidR="00393AB8">
              <w:rPr>
                <w:rFonts w:ascii="Arial" w:eastAsia="Calibri" w:hAnsi="Arial" w:cs="Arial"/>
                <w:sz w:val="20"/>
                <w:szCs w:val="20"/>
              </w:rPr>
              <w:t xml:space="preserve"> made by the Trustee who will be appointed by OPG.  </w:t>
            </w:r>
          </w:p>
          <w:p w:rsidR="0082285F" w:rsidRDefault="0082285F" w:rsidP="0089336D">
            <w:pPr>
              <w:rPr>
                <w:rFonts w:ascii="Arial" w:eastAsia="Calibri" w:hAnsi="Arial" w:cs="Arial"/>
                <w:b/>
                <w:sz w:val="20"/>
                <w:szCs w:val="20"/>
              </w:rPr>
            </w:pPr>
          </w:p>
          <w:p w:rsidR="002550CA" w:rsidRDefault="002550CA" w:rsidP="0089336D">
            <w:pPr>
              <w:rPr>
                <w:rFonts w:ascii="Arial" w:eastAsia="Calibri" w:hAnsi="Arial" w:cs="Arial"/>
                <w:sz w:val="20"/>
                <w:szCs w:val="20"/>
                <w:u w:val="single"/>
              </w:rPr>
            </w:pPr>
            <w:r w:rsidRPr="002550CA">
              <w:rPr>
                <w:rFonts w:ascii="Arial" w:eastAsia="Calibri" w:hAnsi="Arial" w:cs="Arial"/>
                <w:sz w:val="20"/>
                <w:szCs w:val="20"/>
                <w:u w:val="single"/>
              </w:rPr>
              <w:t>Termination Rights</w:t>
            </w:r>
          </w:p>
          <w:p w:rsidR="002550CA" w:rsidRDefault="002550CA" w:rsidP="0089336D">
            <w:pPr>
              <w:rPr>
                <w:rFonts w:ascii="Arial" w:eastAsia="Calibri" w:hAnsi="Arial" w:cs="Arial"/>
                <w:sz w:val="20"/>
                <w:szCs w:val="20"/>
                <w:u w:val="single"/>
              </w:rPr>
            </w:pPr>
          </w:p>
          <w:p w:rsidR="002550CA" w:rsidRDefault="002550CA">
            <w:pPr>
              <w:rPr>
                <w:rFonts w:ascii="Arial" w:eastAsia="Calibri" w:hAnsi="Arial" w:cs="Arial"/>
                <w:sz w:val="20"/>
                <w:szCs w:val="20"/>
              </w:rPr>
            </w:pPr>
            <w:r>
              <w:rPr>
                <w:rFonts w:ascii="Arial" w:eastAsia="Calibri" w:hAnsi="Arial" w:cs="Arial"/>
                <w:sz w:val="20"/>
                <w:szCs w:val="20"/>
              </w:rPr>
              <w:t>OPG cannot be removed from its role in the Trust</w:t>
            </w:r>
            <w:r w:rsidR="00243C17">
              <w:rPr>
                <w:rFonts w:ascii="Arial" w:eastAsia="Calibri" w:hAnsi="Arial" w:cs="Arial"/>
                <w:sz w:val="20"/>
                <w:szCs w:val="20"/>
              </w:rPr>
              <w:t>.  The</w:t>
            </w:r>
            <w:r>
              <w:rPr>
                <w:rFonts w:ascii="Arial" w:eastAsia="Calibri" w:hAnsi="Arial" w:cs="Arial"/>
                <w:sz w:val="20"/>
                <w:szCs w:val="20"/>
              </w:rPr>
              <w:t xml:space="preserve"> Province has the right to remove OPG as the ‘Financial Services Manager’ for failure to perform.  This will not impact debt that has already been issued for which OPG is already managing through the Trust or the recoverability of existing </w:t>
            </w:r>
            <w:r w:rsidR="00F9458B">
              <w:rPr>
                <w:rFonts w:ascii="Arial" w:eastAsia="Calibri" w:hAnsi="Arial" w:cs="Arial"/>
                <w:sz w:val="20"/>
                <w:szCs w:val="20"/>
              </w:rPr>
              <w:t>intangible assets</w:t>
            </w:r>
            <w:r>
              <w:rPr>
                <w:rFonts w:ascii="Arial" w:eastAsia="Calibri" w:hAnsi="Arial" w:cs="Arial"/>
                <w:sz w:val="20"/>
                <w:szCs w:val="20"/>
              </w:rPr>
              <w:t xml:space="preserve">. It the right is exercised, it </w:t>
            </w:r>
            <w:r w:rsidR="00243C17">
              <w:rPr>
                <w:rFonts w:ascii="Arial" w:eastAsia="Calibri" w:hAnsi="Arial" w:cs="Arial"/>
                <w:sz w:val="20"/>
                <w:szCs w:val="20"/>
              </w:rPr>
              <w:t>serves to reduce or eliminate the scope of new business activities of the Trust but it does not affect OPG’s ability to control the Trust</w:t>
            </w:r>
            <w:r>
              <w:rPr>
                <w:rFonts w:ascii="Arial" w:eastAsia="Calibri" w:hAnsi="Arial" w:cs="Arial"/>
                <w:sz w:val="20"/>
                <w:szCs w:val="20"/>
              </w:rPr>
              <w:t xml:space="preserve">.  </w:t>
            </w:r>
            <w:r w:rsidR="00243C17">
              <w:rPr>
                <w:rFonts w:ascii="Arial" w:eastAsia="Calibri" w:hAnsi="Arial" w:cs="Arial"/>
                <w:sz w:val="20"/>
                <w:szCs w:val="20"/>
              </w:rPr>
              <w:t xml:space="preserve">Should a new Financial Services Manager be appointed, a separate assessment would be made as to which party if any would control </w:t>
            </w:r>
            <w:proofErr w:type="gramStart"/>
            <w:r w:rsidR="00243C17">
              <w:rPr>
                <w:rFonts w:ascii="Arial" w:eastAsia="Calibri" w:hAnsi="Arial" w:cs="Arial"/>
                <w:sz w:val="20"/>
                <w:szCs w:val="20"/>
              </w:rPr>
              <w:t>it.</w:t>
            </w:r>
            <w:proofErr w:type="gramEnd"/>
            <w:r w:rsidR="002E2CE4">
              <w:rPr>
                <w:rFonts w:ascii="Arial" w:eastAsia="Calibri" w:hAnsi="Arial" w:cs="Arial"/>
                <w:sz w:val="20"/>
                <w:szCs w:val="20"/>
              </w:rPr>
              <w:t xml:space="preserve"> </w:t>
            </w:r>
            <w:r w:rsidR="00B56655">
              <w:rPr>
                <w:rFonts w:ascii="Arial" w:eastAsia="Calibri" w:hAnsi="Arial" w:cs="Arial"/>
                <w:sz w:val="20"/>
                <w:szCs w:val="20"/>
              </w:rPr>
              <w:t xml:space="preserve"> </w:t>
            </w:r>
            <w:r w:rsidR="00243C17">
              <w:rPr>
                <w:rFonts w:ascii="Arial" w:eastAsia="Calibri" w:hAnsi="Arial" w:cs="Arial"/>
                <w:sz w:val="20"/>
                <w:szCs w:val="20"/>
              </w:rPr>
              <w:t xml:space="preserve">  </w:t>
            </w:r>
            <w:r w:rsidR="00393AB8">
              <w:rPr>
                <w:rFonts w:ascii="Arial" w:eastAsia="Calibri" w:hAnsi="Arial" w:cs="Arial"/>
                <w:sz w:val="20"/>
                <w:szCs w:val="20"/>
              </w:rPr>
              <w:t xml:space="preserve"> </w:t>
            </w:r>
          </w:p>
          <w:p w:rsidR="00B62C65" w:rsidRPr="007A4047" w:rsidRDefault="00B62C65">
            <w:pPr>
              <w:rPr>
                <w:rFonts w:ascii="Arial" w:eastAsia="Calibri" w:hAnsi="Arial" w:cs="Arial"/>
                <w:sz w:val="20"/>
                <w:szCs w:val="20"/>
                <w:highlight w:val="yellow"/>
              </w:rPr>
            </w:pPr>
          </w:p>
        </w:tc>
      </w:tr>
      <w:tr w:rsidR="00B62C65" w:rsidRPr="007A4047" w:rsidTr="0069016A">
        <w:trPr>
          <w:trHeight w:val="692"/>
        </w:trPr>
        <w:tc>
          <w:tcPr>
            <w:tcW w:w="3428" w:type="dxa"/>
            <w:tcBorders>
              <w:bottom w:val="single" w:sz="4" w:space="0" w:color="auto"/>
            </w:tcBorders>
            <w:shd w:val="clear" w:color="auto" w:fill="auto"/>
            <w:vAlign w:val="center"/>
          </w:tcPr>
          <w:p w:rsidR="00B62C65" w:rsidRPr="007A4047" w:rsidRDefault="00B62C65" w:rsidP="00EA2E39">
            <w:pPr>
              <w:rPr>
                <w:rFonts w:ascii="Arial" w:eastAsia="Calibri" w:hAnsi="Arial" w:cs="Arial"/>
                <w:b/>
                <w:bCs/>
                <w:sz w:val="20"/>
                <w:szCs w:val="20"/>
              </w:rPr>
            </w:pPr>
            <w:r w:rsidRPr="007A4047">
              <w:rPr>
                <w:rFonts w:ascii="Arial" w:eastAsia="Calibri" w:hAnsi="Arial" w:cs="Arial"/>
                <w:b/>
                <w:bCs/>
                <w:sz w:val="20"/>
                <w:szCs w:val="20"/>
              </w:rPr>
              <w:lastRenderedPageBreak/>
              <w:t>Assessment</w:t>
            </w:r>
          </w:p>
        </w:tc>
        <w:tc>
          <w:tcPr>
            <w:tcW w:w="6384" w:type="dxa"/>
            <w:tcBorders>
              <w:bottom w:val="single" w:sz="4" w:space="0" w:color="auto"/>
            </w:tcBorders>
            <w:shd w:val="clear" w:color="auto" w:fill="auto"/>
            <w:vAlign w:val="center"/>
          </w:tcPr>
          <w:p w:rsidR="00B62C65" w:rsidRPr="007A4047" w:rsidRDefault="00D93E80" w:rsidP="00EA2E39">
            <w:pPr>
              <w:rPr>
                <w:rFonts w:ascii="Arial" w:eastAsia="Calibri" w:hAnsi="Arial" w:cs="Arial"/>
                <w:sz w:val="20"/>
                <w:szCs w:val="20"/>
              </w:rPr>
            </w:pPr>
            <w:r w:rsidRPr="007A4047">
              <w:rPr>
                <w:rFonts w:ascii="Arial" w:eastAsia="Calibri" w:hAnsi="Arial" w:cs="Arial"/>
                <w:sz w:val="20"/>
                <w:szCs w:val="20"/>
              </w:rPr>
              <w:t xml:space="preserve">The </w:t>
            </w:r>
            <w:r w:rsidR="007A313F" w:rsidRPr="007A4047">
              <w:rPr>
                <w:rFonts w:ascii="Arial" w:eastAsia="Calibri" w:hAnsi="Arial" w:cs="Arial"/>
                <w:sz w:val="20"/>
                <w:szCs w:val="20"/>
              </w:rPr>
              <w:t xml:space="preserve">purpose of the </w:t>
            </w:r>
            <w:r w:rsidR="00345DA6" w:rsidRPr="007A4047">
              <w:rPr>
                <w:rFonts w:ascii="Arial" w:eastAsia="Calibri" w:hAnsi="Arial" w:cs="Arial"/>
                <w:sz w:val="20"/>
                <w:szCs w:val="20"/>
              </w:rPr>
              <w:t>Trust</w:t>
            </w:r>
            <w:r w:rsidR="007A313F" w:rsidRPr="007A4047">
              <w:rPr>
                <w:rFonts w:ascii="Arial" w:eastAsia="Calibri" w:hAnsi="Arial" w:cs="Arial"/>
                <w:sz w:val="20"/>
                <w:szCs w:val="20"/>
              </w:rPr>
              <w:t xml:space="preserve"> is to allow OPG to earn a return on the Intangible Asset from the IESO by effectively managing financing to earn a spread, earn management fees, and earn interest fees.  </w:t>
            </w:r>
            <w:r w:rsidR="00243C17">
              <w:rPr>
                <w:rFonts w:ascii="Arial" w:eastAsia="Calibri" w:hAnsi="Arial" w:cs="Arial"/>
                <w:sz w:val="20"/>
                <w:szCs w:val="20"/>
              </w:rPr>
              <w:t xml:space="preserve">For the reasons noted above, </w:t>
            </w:r>
            <w:r w:rsidR="007A313F" w:rsidRPr="007A4047">
              <w:rPr>
                <w:rFonts w:ascii="Arial" w:eastAsia="Calibri" w:hAnsi="Arial" w:cs="Arial"/>
                <w:sz w:val="20"/>
                <w:szCs w:val="20"/>
              </w:rPr>
              <w:t xml:space="preserve">OPG has control over the decisions to be made </w:t>
            </w:r>
            <w:r w:rsidR="00151827">
              <w:rPr>
                <w:rFonts w:ascii="Arial" w:eastAsia="Calibri" w:hAnsi="Arial" w:cs="Arial"/>
                <w:sz w:val="20"/>
                <w:szCs w:val="20"/>
              </w:rPr>
              <w:t xml:space="preserve">about the relevant activities.  </w:t>
            </w:r>
          </w:p>
        </w:tc>
      </w:tr>
    </w:tbl>
    <w:p w:rsidR="00B62C65" w:rsidRPr="007A4047" w:rsidRDefault="00B62C65" w:rsidP="00B62C65">
      <w:pPr>
        <w:rPr>
          <w:rFonts w:ascii="Arial" w:hAnsi="Arial" w:cs="Arial"/>
          <w:b/>
          <w:sz w:val="20"/>
          <w:szCs w:val="20"/>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8"/>
        <w:gridCol w:w="6384"/>
      </w:tblGrid>
      <w:tr w:rsidR="00EA2E39" w:rsidRPr="007A4047" w:rsidTr="00EA2E39">
        <w:trPr>
          <w:tblHeader/>
        </w:trPr>
        <w:tc>
          <w:tcPr>
            <w:tcW w:w="9812" w:type="dxa"/>
            <w:gridSpan w:val="2"/>
            <w:tcBorders>
              <w:bottom w:val="single" w:sz="4" w:space="0" w:color="auto"/>
            </w:tcBorders>
            <w:shd w:val="clear" w:color="auto" w:fill="5B9BD5"/>
            <w:vAlign w:val="center"/>
          </w:tcPr>
          <w:p w:rsidR="00B62C65" w:rsidRPr="007A4047" w:rsidRDefault="00B62C65" w:rsidP="00EA2E39">
            <w:pPr>
              <w:rPr>
                <w:rFonts w:ascii="Arial" w:eastAsia="Calibri" w:hAnsi="Arial" w:cs="Arial"/>
                <w:b/>
                <w:bCs/>
                <w:color w:val="FFFFFF"/>
                <w:sz w:val="20"/>
                <w:szCs w:val="20"/>
              </w:rPr>
            </w:pPr>
            <w:r w:rsidRPr="007A4047">
              <w:rPr>
                <w:rFonts w:ascii="Arial" w:eastAsia="Calibri" w:hAnsi="Arial" w:cs="Arial"/>
                <w:b/>
                <w:bCs/>
                <w:color w:val="FFFFFF"/>
                <w:sz w:val="20"/>
                <w:szCs w:val="20"/>
              </w:rPr>
              <w:t>Power over the investee</w:t>
            </w:r>
          </w:p>
          <w:p w:rsidR="00B62C65" w:rsidRPr="007A4047" w:rsidRDefault="00B62C65" w:rsidP="00EA2E39">
            <w:pPr>
              <w:rPr>
                <w:rFonts w:ascii="Arial" w:eastAsia="Calibri" w:hAnsi="Arial" w:cs="Arial"/>
                <w:b/>
                <w:bCs/>
                <w:color w:val="FFFFFF"/>
                <w:sz w:val="20"/>
                <w:szCs w:val="20"/>
              </w:rPr>
            </w:pPr>
          </w:p>
        </w:tc>
      </w:tr>
      <w:tr w:rsidR="00B62C65" w:rsidRPr="007A4047" w:rsidTr="00EA2E39">
        <w:tc>
          <w:tcPr>
            <w:tcW w:w="3428" w:type="dxa"/>
            <w:tcBorders>
              <w:bottom w:val="single" w:sz="4" w:space="0" w:color="auto"/>
            </w:tcBorders>
            <w:shd w:val="clear" w:color="auto" w:fill="000000"/>
          </w:tcPr>
          <w:p w:rsidR="00B62C65" w:rsidRPr="007A4047" w:rsidRDefault="00B62C65" w:rsidP="00EA2E39">
            <w:pPr>
              <w:autoSpaceDE w:val="0"/>
              <w:autoSpaceDN w:val="0"/>
              <w:adjustRightInd w:val="0"/>
              <w:jc w:val="center"/>
              <w:rPr>
                <w:rFonts w:ascii="Arial" w:eastAsia="Calibri" w:hAnsi="Arial" w:cs="Arial"/>
                <w:b/>
                <w:color w:val="FFFFFF"/>
                <w:sz w:val="20"/>
                <w:szCs w:val="20"/>
              </w:rPr>
            </w:pPr>
            <w:r w:rsidRPr="007A4047">
              <w:rPr>
                <w:rFonts w:ascii="Arial" w:eastAsia="Calibri" w:hAnsi="Arial" w:cs="Arial"/>
                <w:b/>
                <w:color w:val="FFFFFF"/>
                <w:sz w:val="20"/>
                <w:szCs w:val="20"/>
              </w:rPr>
              <w:t>Criteria</w:t>
            </w:r>
          </w:p>
        </w:tc>
        <w:tc>
          <w:tcPr>
            <w:tcW w:w="6384" w:type="dxa"/>
            <w:tcBorders>
              <w:bottom w:val="single" w:sz="4" w:space="0" w:color="auto"/>
            </w:tcBorders>
            <w:shd w:val="clear" w:color="auto" w:fill="000000"/>
          </w:tcPr>
          <w:p w:rsidR="00B62C65" w:rsidRPr="007A4047" w:rsidRDefault="00B62C65" w:rsidP="00EA2E39">
            <w:pPr>
              <w:rPr>
                <w:rFonts w:ascii="Arial" w:eastAsia="Calibri" w:hAnsi="Arial" w:cs="Arial"/>
                <w:b/>
                <w:bCs/>
                <w:color w:val="FFFFFF"/>
                <w:sz w:val="20"/>
                <w:szCs w:val="20"/>
              </w:rPr>
            </w:pPr>
            <w:r w:rsidRPr="007A4047">
              <w:rPr>
                <w:rFonts w:ascii="Arial" w:eastAsia="Calibri" w:hAnsi="Arial" w:cs="Arial"/>
                <w:b/>
                <w:bCs/>
                <w:color w:val="FFFFFF"/>
                <w:sz w:val="20"/>
                <w:szCs w:val="20"/>
              </w:rPr>
              <w:t>Analysis</w:t>
            </w:r>
          </w:p>
        </w:tc>
      </w:tr>
      <w:tr w:rsidR="00B62C65" w:rsidRPr="007A4047" w:rsidTr="0069016A">
        <w:tc>
          <w:tcPr>
            <w:tcW w:w="3428" w:type="dxa"/>
            <w:tcBorders>
              <w:bottom w:val="single" w:sz="4" w:space="0" w:color="auto"/>
            </w:tcBorders>
            <w:shd w:val="clear" w:color="auto" w:fill="auto"/>
          </w:tcPr>
          <w:p w:rsidR="00B62C65" w:rsidRPr="007A4047" w:rsidRDefault="00B62C65" w:rsidP="00EA2E39">
            <w:pPr>
              <w:pStyle w:val="Default"/>
              <w:rPr>
                <w:rFonts w:ascii="Arial" w:hAnsi="Arial" w:cs="Arial"/>
                <w:sz w:val="20"/>
                <w:szCs w:val="20"/>
              </w:rPr>
            </w:pPr>
            <w:r w:rsidRPr="007A4047">
              <w:rPr>
                <w:rFonts w:ascii="Arial" w:hAnsi="Arial" w:cs="Arial"/>
                <w:sz w:val="20"/>
                <w:szCs w:val="20"/>
              </w:rPr>
              <w:t xml:space="preserve">Identify whether  OPG’s rights give it the current ability to direct the relevant activities of the </w:t>
            </w:r>
            <w:r w:rsidR="00345DA6" w:rsidRPr="007A4047">
              <w:rPr>
                <w:rFonts w:ascii="Arial" w:hAnsi="Arial" w:cs="Arial"/>
                <w:sz w:val="20"/>
                <w:szCs w:val="20"/>
              </w:rPr>
              <w:t>Trust</w:t>
            </w:r>
            <w:r w:rsidRPr="007A4047">
              <w:rPr>
                <w:rFonts w:ascii="Arial" w:hAnsi="Arial" w:cs="Arial"/>
                <w:sz w:val="20"/>
                <w:szCs w:val="20"/>
              </w:rPr>
              <w:t xml:space="preserve"> (Substantive rights)</w:t>
            </w:r>
          </w:p>
        </w:tc>
        <w:tc>
          <w:tcPr>
            <w:tcW w:w="6384" w:type="dxa"/>
            <w:tcBorders>
              <w:bottom w:val="single" w:sz="4" w:space="0" w:color="auto"/>
            </w:tcBorders>
            <w:shd w:val="clear" w:color="auto" w:fill="auto"/>
          </w:tcPr>
          <w:p w:rsidR="00B62C65" w:rsidRPr="00151827" w:rsidRDefault="00151827" w:rsidP="00151827">
            <w:pPr>
              <w:spacing w:after="200" w:line="276" w:lineRule="auto"/>
              <w:rPr>
                <w:rFonts w:ascii="Arial" w:hAnsi="Arial" w:cs="Arial"/>
                <w:sz w:val="20"/>
                <w:szCs w:val="20"/>
              </w:rPr>
            </w:pPr>
            <w:r>
              <w:rPr>
                <w:rFonts w:ascii="Arial" w:hAnsi="Arial" w:cs="Arial"/>
                <w:sz w:val="20"/>
                <w:szCs w:val="20"/>
              </w:rPr>
              <w:t>See above for relevant activities of the Trust.</w:t>
            </w:r>
          </w:p>
        </w:tc>
      </w:tr>
      <w:tr w:rsidR="00B62C65" w:rsidRPr="007A4047" w:rsidTr="0069016A">
        <w:tc>
          <w:tcPr>
            <w:tcW w:w="3428" w:type="dxa"/>
            <w:tcBorders>
              <w:bottom w:val="single" w:sz="4" w:space="0" w:color="auto"/>
            </w:tcBorders>
            <w:shd w:val="clear" w:color="auto" w:fill="auto"/>
            <w:vAlign w:val="center"/>
          </w:tcPr>
          <w:p w:rsidR="00B62C65" w:rsidRPr="007A4047" w:rsidRDefault="00B62C65" w:rsidP="00EA2E39">
            <w:pPr>
              <w:pStyle w:val="Default"/>
              <w:rPr>
                <w:rFonts w:ascii="Arial" w:hAnsi="Arial" w:cs="Arial"/>
                <w:b/>
                <w:sz w:val="20"/>
                <w:szCs w:val="20"/>
              </w:rPr>
            </w:pPr>
            <w:r w:rsidRPr="007A4047">
              <w:rPr>
                <w:rFonts w:ascii="Arial" w:hAnsi="Arial" w:cs="Arial"/>
                <w:b/>
                <w:sz w:val="20"/>
                <w:szCs w:val="20"/>
              </w:rPr>
              <w:t>Assessment</w:t>
            </w:r>
          </w:p>
        </w:tc>
        <w:tc>
          <w:tcPr>
            <w:tcW w:w="6384" w:type="dxa"/>
            <w:tcBorders>
              <w:bottom w:val="single" w:sz="4" w:space="0" w:color="auto"/>
            </w:tcBorders>
            <w:shd w:val="clear" w:color="auto" w:fill="auto"/>
          </w:tcPr>
          <w:p w:rsidR="006D678F" w:rsidRPr="00EC142C" w:rsidRDefault="00EC142C" w:rsidP="005C27B1">
            <w:pPr>
              <w:rPr>
                <w:rFonts w:ascii="Arial" w:eastAsia="Calibri" w:hAnsi="Arial" w:cs="Arial"/>
                <w:sz w:val="20"/>
                <w:szCs w:val="20"/>
              </w:rPr>
            </w:pPr>
            <w:r>
              <w:rPr>
                <w:rFonts w:ascii="Arial" w:eastAsia="Calibri" w:hAnsi="Arial" w:cs="Arial"/>
                <w:sz w:val="20"/>
                <w:szCs w:val="20"/>
              </w:rPr>
              <w:t>OPG has</w:t>
            </w:r>
            <w:r w:rsidR="00A247CA" w:rsidRPr="007A4047">
              <w:rPr>
                <w:rFonts w:ascii="Arial" w:eastAsia="Calibri" w:hAnsi="Arial" w:cs="Arial"/>
                <w:sz w:val="20"/>
                <w:szCs w:val="20"/>
              </w:rPr>
              <w:t xml:space="preserve"> the ability to direct the relevant activities of the </w:t>
            </w:r>
            <w:r w:rsidR="00345DA6" w:rsidRPr="007A4047">
              <w:rPr>
                <w:rFonts w:ascii="Arial" w:eastAsia="Calibri" w:hAnsi="Arial" w:cs="Arial"/>
                <w:sz w:val="20"/>
                <w:szCs w:val="20"/>
              </w:rPr>
              <w:t>Trust</w:t>
            </w:r>
            <w:r w:rsidR="00A247CA" w:rsidRPr="007A4047">
              <w:rPr>
                <w:rFonts w:ascii="Arial" w:eastAsia="Calibri" w:hAnsi="Arial" w:cs="Arial"/>
                <w:sz w:val="20"/>
                <w:szCs w:val="20"/>
              </w:rPr>
              <w:t xml:space="preserve">. </w:t>
            </w:r>
            <w:r>
              <w:rPr>
                <w:rFonts w:ascii="Arial" w:eastAsia="Calibri" w:hAnsi="Arial" w:cs="Arial"/>
                <w:sz w:val="20"/>
                <w:szCs w:val="20"/>
              </w:rPr>
              <w:t>OPG can amend the Financing Plan at any time, without approval from the Minister</w:t>
            </w:r>
            <w:r w:rsidR="00393AB8">
              <w:rPr>
                <w:rFonts w:ascii="Arial" w:eastAsia="Calibri" w:hAnsi="Arial" w:cs="Arial"/>
                <w:sz w:val="20"/>
                <w:szCs w:val="20"/>
              </w:rPr>
              <w:t>.  Further, if the Minister of Energy chooses not to continue with OPG’s current Financing Plan, OPG can withdraw its Financing Plan, without impacting the existing debt</w:t>
            </w:r>
            <w:r w:rsidR="00FD5475">
              <w:rPr>
                <w:rFonts w:ascii="Arial" w:eastAsia="Calibri" w:hAnsi="Arial" w:cs="Arial"/>
                <w:sz w:val="20"/>
                <w:szCs w:val="20"/>
              </w:rPr>
              <w:t xml:space="preserve"> and related intangible assets</w:t>
            </w:r>
            <w:r w:rsidR="00393AB8">
              <w:rPr>
                <w:rFonts w:ascii="Arial" w:eastAsia="Calibri" w:hAnsi="Arial" w:cs="Arial"/>
                <w:sz w:val="20"/>
                <w:szCs w:val="20"/>
              </w:rPr>
              <w:t xml:space="preserve"> that is already in the Trust.  The Province would just appoint a new party to participate in future securitizations and OPG would continue to manage the debt that </w:t>
            </w:r>
            <w:r w:rsidR="00BE55A9">
              <w:rPr>
                <w:rFonts w:ascii="Arial" w:eastAsia="Calibri" w:hAnsi="Arial" w:cs="Arial"/>
                <w:sz w:val="20"/>
                <w:szCs w:val="20"/>
              </w:rPr>
              <w:t>already exists</w:t>
            </w:r>
            <w:r w:rsidR="00393AB8">
              <w:rPr>
                <w:rFonts w:ascii="Arial" w:eastAsia="Calibri" w:hAnsi="Arial" w:cs="Arial"/>
                <w:sz w:val="20"/>
                <w:szCs w:val="20"/>
              </w:rPr>
              <w:t xml:space="preserve"> in the Trust. </w:t>
            </w:r>
            <w:r w:rsidR="00876CCB">
              <w:rPr>
                <w:rFonts w:ascii="Arial" w:eastAsia="Calibri" w:hAnsi="Arial" w:cs="Arial"/>
                <w:sz w:val="20"/>
                <w:szCs w:val="20"/>
              </w:rPr>
              <w:t xml:space="preserve"> If future financing transactions are with a different SPV, a separate consolidation analysis would be prepared at that time as to which party if any would consolidate the SPV.</w:t>
            </w:r>
          </w:p>
          <w:p w:rsidR="006D678F" w:rsidRPr="007A4047" w:rsidRDefault="006D678F" w:rsidP="00EA2E39">
            <w:pPr>
              <w:rPr>
                <w:rFonts w:ascii="Arial" w:eastAsia="Calibri" w:hAnsi="Arial" w:cs="Arial"/>
                <w:sz w:val="20"/>
                <w:szCs w:val="20"/>
              </w:rPr>
            </w:pPr>
          </w:p>
        </w:tc>
      </w:tr>
    </w:tbl>
    <w:p w:rsidR="00B62C65" w:rsidRDefault="00B62C65" w:rsidP="00B62C65">
      <w:pPr>
        <w:rPr>
          <w:rFonts w:ascii="Arial" w:hAnsi="Arial" w:cs="Arial"/>
          <w:b/>
          <w:sz w:val="20"/>
          <w:szCs w:val="20"/>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8"/>
        <w:gridCol w:w="6374"/>
      </w:tblGrid>
      <w:tr w:rsidR="00EA2E39" w:rsidRPr="007A4047" w:rsidTr="00EA2E39">
        <w:trPr>
          <w:tblHeader/>
        </w:trPr>
        <w:tc>
          <w:tcPr>
            <w:tcW w:w="9812" w:type="dxa"/>
            <w:gridSpan w:val="2"/>
            <w:tcBorders>
              <w:bottom w:val="single" w:sz="4" w:space="0" w:color="auto"/>
            </w:tcBorders>
            <w:shd w:val="clear" w:color="auto" w:fill="5B9BD5"/>
            <w:vAlign w:val="center"/>
          </w:tcPr>
          <w:p w:rsidR="00B62C65" w:rsidRPr="007A4047" w:rsidRDefault="00B62C65" w:rsidP="00EA2E39">
            <w:pPr>
              <w:rPr>
                <w:rFonts w:ascii="Arial" w:eastAsia="Calibri" w:hAnsi="Arial" w:cs="Arial"/>
                <w:b/>
                <w:bCs/>
                <w:color w:val="FFFFFF"/>
                <w:sz w:val="20"/>
                <w:szCs w:val="20"/>
              </w:rPr>
            </w:pPr>
            <w:r w:rsidRPr="007A4047">
              <w:rPr>
                <w:rFonts w:ascii="Arial" w:eastAsia="Calibri" w:hAnsi="Arial" w:cs="Arial"/>
                <w:b/>
                <w:bCs/>
                <w:color w:val="FFFFFF"/>
                <w:sz w:val="20"/>
                <w:szCs w:val="20"/>
              </w:rPr>
              <w:lastRenderedPageBreak/>
              <w:t>Exposure or rights to variable returns</w:t>
            </w:r>
          </w:p>
          <w:p w:rsidR="00B62C65" w:rsidRPr="007A4047" w:rsidRDefault="00B62C65" w:rsidP="00EA2E39">
            <w:pPr>
              <w:rPr>
                <w:rFonts w:ascii="Arial" w:eastAsia="Calibri" w:hAnsi="Arial" w:cs="Arial"/>
                <w:b/>
                <w:bCs/>
                <w:color w:val="FFFFFF"/>
                <w:sz w:val="20"/>
                <w:szCs w:val="20"/>
              </w:rPr>
            </w:pPr>
          </w:p>
        </w:tc>
      </w:tr>
      <w:tr w:rsidR="00B62C65" w:rsidRPr="007A4047" w:rsidTr="00552C80">
        <w:tc>
          <w:tcPr>
            <w:tcW w:w="3438" w:type="dxa"/>
            <w:tcBorders>
              <w:bottom w:val="single" w:sz="4" w:space="0" w:color="auto"/>
            </w:tcBorders>
            <w:shd w:val="clear" w:color="auto" w:fill="000000"/>
          </w:tcPr>
          <w:p w:rsidR="00B62C65" w:rsidRPr="007A4047" w:rsidRDefault="00B62C65" w:rsidP="00EA2E39">
            <w:pPr>
              <w:autoSpaceDE w:val="0"/>
              <w:autoSpaceDN w:val="0"/>
              <w:adjustRightInd w:val="0"/>
              <w:jc w:val="center"/>
              <w:rPr>
                <w:rFonts w:ascii="Arial" w:eastAsia="Calibri" w:hAnsi="Arial" w:cs="Arial"/>
                <w:b/>
                <w:color w:val="FFFFFF"/>
                <w:sz w:val="20"/>
                <w:szCs w:val="20"/>
              </w:rPr>
            </w:pPr>
            <w:r w:rsidRPr="007A4047">
              <w:rPr>
                <w:rFonts w:ascii="Arial" w:eastAsia="Calibri" w:hAnsi="Arial" w:cs="Arial"/>
                <w:b/>
                <w:color w:val="FFFFFF"/>
                <w:sz w:val="20"/>
                <w:szCs w:val="20"/>
              </w:rPr>
              <w:t>Criteria</w:t>
            </w:r>
          </w:p>
        </w:tc>
        <w:tc>
          <w:tcPr>
            <w:tcW w:w="6374" w:type="dxa"/>
            <w:tcBorders>
              <w:bottom w:val="single" w:sz="4" w:space="0" w:color="auto"/>
            </w:tcBorders>
            <w:shd w:val="clear" w:color="auto" w:fill="000000"/>
          </w:tcPr>
          <w:p w:rsidR="00B62C65" w:rsidRPr="007A4047" w:rsidRDefault="00B62C65" w:rsidP="00EA2E39">
            <w:pPr>
              <w:rPr>
                <w:rFonts w:ascii="Arial" w:eastAsia="Calibri" w:hAnsi="Arial" w:cs="Arial"/>
                <w:b/>
                <w:bCs/>
                <w:color w:val="FFFFFF"/>
                <w:sz w:val="20"/>
                <w:szCs w:val="20"/>
              </w:rPr>
            </w:pPr>
            <w:r w:rsidRPr="007A4047">
              <w:rPr>
                <w:rFonts w:ascii="Arial" w:eastAsia="Calibri" w:hAnsi="Arial" w:cs="Arial"/>
                <w:b/>
                <w:bCs/>
                <w:color w:val="FFFFFF"/>
                <w:sz w:val="20"/>
                <w:szCs w:val="20"/>
              </w:rPr>
              <w:t>Analysis</w:t>
            </w:r>
          </w:p>
        </w:tc>
      </w:tr>
      <w:tr w:rsidR="00B62C65" w:rsidRPr="007A4047" w:rsidTr="0069016A">
        <w:tc>
          <w:tcPr>
            <w:tcW w:w="3438" w:type="dxa"/>
            <w:tcBorders>
              <w:bottom w:val="single" w:sz="4" w:space="0" w:color="auto"/>
            </w:tcBorders>
            <w:shd w:val="clear" w:color="auto" w:fill="auto"/>
          </w:tcPr>
          <w:p w:rsidR="00B62C65" w:rsidRPr="007A4047" w:rsidRDefault="00B62C65" w:rsidP="00EA2E39">
            <w:pPr>
              <w:pStyle w:val="Default"/>
              <w:rPr>
                <w:rFonts w:ascii="Arial" w:hAnsi="Arial" w:cs="Arial"/>
                <w:i/>
                <w:sz w:val="20"/>
                <w:szCs w:val="20"/>
              </w:rPr>
            </w:pPr>
            <w:r w:rsidRPr="007A4047">
              <w:rPr>
                <w:rFonts w:ascii="Arial" w:hAnsi="Arial" w:cs="Arial"/>
                <w:i/>
                <w:sz w:val="20"/>
                <w:szCs w:val="20"/>
              </w:rPr>
              <w:t xml:space="preserve">Dividends, other distributions of economic benefits from an investee and changes in the value of the investor’s investment in that investee </w:t>
            </w:r>
          </w:p>
          <w:p w:rsidR="00B62C65" w:rsidRDefault="00B62C65" w:rsidP="00EA2E39">
            <w:pPr>
              <w:pStyle w:val="Default"/>
              <w:rPr>
                <w:rFonts w:ascii="Arial" w:eastAsia="Times New Roman" w:hAnsi="Arial" w:cs="Arial"/>
                <w:color w:val="auto"/>
                <w:sz w:val="20"/>
                <w:szCs w:val="20"/>
                <w:lang w:eastAsia="en-CA"/>
              </w:rPr>
            </w:pPr>
            <w:r w:rsidRPr="007A4047">
              <w:rPr>
                <w:rFonts w:ascii="Arial" w:eastAsia="Times New Roman" w:hAnsi="Arial" w:cs="Arial"/>
                <w:color w:val="auto"/>
                <w:sz w:val="20"/>
                <w:szCs w:val="20"/>
                <w:lang w:eastAsia="en-CA"/>
              </w:rPr>
              <w:t>[IFRS 10, paragraph B57(a)]</w:t>
            </w:r>
          </w:p>
          <w:p w:rsidR="00754342" w:rsidRPr="007A4047" w:rsidRDefault="00754342" w:rsidP="00EA2E39">
            <w:pPr>
              <w:pStyle w:val="Default"/>
              <w:rPr>
                <w:rFonts w:ascii="Arial" w:hAnsi="Arial" w:cs="Arial"/>
                <w:b/>
                <w:sz w:val="20"/>
                <w:szCs w:val="20"/>
              </w:rPr>
            </w:pPr>
          </w:p>
        </w:tc>
        <w:tc>
          <w:tcPr>
            <w:tcW w:w="6374" w:type="dxa"/>
            <w:tcBorders>
              <w:bottom w:val="single" w:sz="4" w:space="0" w:color="auto"/>
            </w:tcBorders>
            <w:shd w:val="clear" w:color="auto" w:fill="auto"/>
          </w:tcPr>
          <w:p w:rsidR="00B62C65" w:rsidRPr="00131DD7" w:rsidRDefault="00392EDF" w:rsidP="00FD5475">
            <w:pPr>
              <w:spacing w:after="200" w:line="276" w:lineRule="auto"/>
              <w:rPr>
                <w:rFonts w:ascii="Arial" w:hAnsi="Arial" w:cs="Arial"/>
                <w:sz w:val="20"/>
                <w:szCs w:val="20"/>
                <w:lang w:val="en-CA"/>
              </w:rPr>
            </w:pPr>
            <w:r>
              <w:rPr>
                <w:rFonts w:ascii="Arial" w:hAnsi="Arial" w:cs="Arial"/>
                <w:sz w:val="20"/>
                <w:szCs w:val="20"/>
              </w:rPr>
              <w:t xml:space="preserve">Revenue, which includes fixed and variable fees, </w:t>
            </w:r>
            <w:r w:rsidR="00131DD7">
              <w:rPr>
                <w:rFonts w:ascii="Arial" w:hAnsi="Arial" w:cs="Arial"/>
                <w:sz w:val="20"/>
                <w:szCs w:val="20"/>
              </w:rPr>
              <w:t xml:space="preserve">earned from the Trust will be distributed to OPG.  </w:t>
            </w:r>
          </w:p>
        </w:tc>
      </w:tr>
      <w:tr w:rsidR="00B62C65" w:rsidRPr="007A4047" w:rsidTr="0069016A">
        <w:trPr>
          <w:trHeight w:val="530"/>
        </w:trPr>
        <w:tc>
          <w:tcPr>
            <w:tcW w:w="3438" w:type="dxa"/>
            <w:tcBorders>
              <w:bottom w:val="single" w:sz="4" w:space="0" w:color="auto"/>
            </w:tcBorders>
            <w:shd w:val="clear" w:color="auto" w:fill="auto"/>
          </w:tcPr>
          <w:p w:rsidR="00754342" w:rsidRDefault="00754342" w:rsidP="00EA2E39">
            <w:pPr>
              <w:pStyle w:val="Default"/>
              <w:rPr>
                <w:rFonts w:ascii="Arial" w:hAnsi="Arial" w:cs="Arial"/>
                <w:i/>
                <w:sz w:val="20"/>
                <w:szCs w:val="20"/>
              </w:rPr>
            </w:pPr>
          </w:p>
          <w:p w:rsidR="00B62C65" w:rsidRPr="007A4047" w:rsidRDefault="00B62C65" w:rsidP="00EA2E39">
            <w:pPr>
              <w:pStyle w:val="Default"/>
              <w:rPr>
                <w:rFonts w:ascii="Arial" w:hAnsi="Arial" w:cs="Arial"/>
                <w:i/>
                <w:sz w:val="20"/>
                <w:szCs w:val="20"/>
              </w:rPr>
            </w:pPr>
            <w:r w:rsidRPr="007A4047">
              <w:rPr>
                <w:rFonts w:ascii="Arial" w:hAnsi="Arial" w:cs="Arial"/>
                <w:i/>
                <w:sz w:val="20"/>
                <w:szCs w:val="20"/>
              </w:rPr>
              <w:t xml:space="preserve">Remuneration for servicing an investee’s assets or liabilities, fees and exposure to loss from providing credit or liquidity support, residual interests in the investee’s assets and liabilities on liquidation of that investee, tax benefits, and access to future liquidity that an investor has from its involvement with an investee </w:t>
            </w:r>
          </w:p>
          <w:p w:rsidR="00B62C65" w:rsidRPr="007A4047" w:rsidRDefault="00B62C65" w:rsidP="00EA2E39">
            <w:pPr>
              <w:pStyle w:val="Default"/>
              <w:rPr>
                <w:rFonts w:ascii="Arial" w:hAnsi="Arial" w:cs="Arial"/>
                <w:sz w:val="20"/>
                <w:szCs w:val="20"/>
              </w:rPr>
            </w:pPr>
            <w:r w:rsidRPr="007A4047">
              <w:rPr>
                <w:rFonts w:ascii="Arial" w:eastAsia="Times New Roman" w:hAnsi="Arial" w:cs="Arial"/>
                <w:color w:val="auto"/>
                <w:sz w:val="20"/>
                <w:szCs w:val="20"/>
                <w:lang w:eastAsia="en-CA"/>
              </w:rPr>
              <w:t>[IFRS 10, paragraph B57(b)]</w:t>
            </w:r>
          </w:p>
          <w:p w:rsidR="00B62C65" w:rsidRPr="007A4047" w:rsidRDefault="00B62C65" w:rsidP="00EA2E39">
            <w:pPr>
              <w:pStyle w:val="Default"/>
              <w:rPr>
                <w:rFonts w:ascii="Arial" w:hAnsi="Arial" w:cs="Arial"/>
                <w:sz w:val="20"/>
                <w:szCs w:val="20"/>
                <w:highlight w:val="yellow"/>
              </w:rPr>
            </w:pPr>
          </w:p>
        </w:tc>
        <w:tc>
          <w:tcPr>
            <w:tcW w:w="6374" w:type="dxa"/>
            <w:tcBorders>
              <w:bottom w:val="single" w:sz="4" w:space="0" w:color="auto"/>
            </w:tcBorders>
            <w:shd w:val="clear" w:color="auto" w:fill="auto"/>
          </w:tcPr>
          <w:p w:rsidR="003D041B" w:rsidRDefault="003D041B" w:rsidP="008C6102">
            <w:pPr>
              <w:spacing w:before="160" w:line="260" w:lineRule="exact"/>
              <w:rPr>
                <w:rFonts w:ascii="Arial" w:hAnsi="Arial" w:cs="Arial"/>
                <w:b/>
                <w:sz w:val="20"/>
                <w:szCs w:val="20"/>
                <w:lang w:val="en-CA"/>
              </w:rPr>
            </w:pPr>
            <w:r w:rsidRPr="003D041B">
              <w:rPr>
                <w:rFonts w:ascii="Arial" w:hAnsi="Arial" w:cs="Arial"/>
                <w:b/>
                <w:sz w:val="20"/>
                <w:szCs w:val="20"/>
                <w:lang w:val="en-CA"/>
              </w:rPr>
              <w:t>[NOT YET ADDRESSED IN CURRENT LEGISLATION]</w:t>
            </w:r>
          </w:p>
          <w:p w:rsidR="008C6102" w:rsidRPr="003D041B" w:rsidRDefault="008C6102" w:rsidP="008C6102">
            <w:pPr>
              <w:spacing w:line="260" w:lineRule="exact"/>
              <w:rPr>
                <w:rFonts w:ascii="Arial" w:hAnsi="Arial" w:cs="Arial"/>
                <w:b/>
                <w:sz w:val="20"/>
                <w:szCs w:val="20"/>
                <w:lang w:val="en-CA"/>
              </w:rPr>
            </w:pPr>
          </w:p>
          <w:p w:rsidR="00131DD7" w:rsidRPr="00C81E0F" w:rsidRDefault="00131DD7" w:rsidP="00131DD7">
            <w:pPr>
              <w:spacing w:after="200" w:line="276" w:lineRule="auto"/>
              <w:rPr>
                <w:rFonts w:ascii="Arial" w:hAnsi="Arial" w:cs="Arial"/>
                <w:sz w:val="20"/>
                <w:szCs w:val="20"/>
                <w:lang w:val="en-CA"/>
              </w:rPr>
            </w:pPr>
            <w:r w:rsidRPr="00C81E0F">
              <w:rPr>
                <w:rFonts w:ascii="Arial" w:hAnsi="Arial" w:cs="Arial"/>
                <w:sz w:val="20"/>
                <w:szCs w:val="20"/>
                <w:lang w:val="en-CA"/>
              </w:rPr>
              <w:t xml:space="preserve">OPG has exposure and rights to </w:t>
            </w:r>
            <w:r w:rsidRPr="00C81E0F">
              <w:rPr>
                <w:rFonts w:ascii="Arial" w:hAnsi="Arial"/>
                <w:sz w:val="20"/>
                <w:lang w:val="en-CA"/>
              </w:rPr>
              <w:t xml:space="preserve">variable </w:t>
            </w:r>
            <w:r w:rsidRPr="00C81E0F">
              <w:rPr>
                <w:rFonts w:ascii="Arial" w:hAnsi="Arial" w:cs="Arial"/>
                <w:sz w:val="20"/>
                <w:szCs w:val="20"/>
                <w:lang w:val="en-CA"/>
              </w:rPr>
              <w:t>returns from the Trust in the form of the following:</w:t>
            </w:r>
          </w:p>
          <w:p w:rsidR="00F13FA2" w:rsidRDefault="00F13FA2" w:rsidP="00F13FA2">
            <w:pPr>
              <w:pStyle w:val="ListParagraph"/>
              <w:numPr>
                <w:ilvl w:val="0"/>
                <w:numId w:val="47"/>
              </w:numPr>
              <w:spacing w:after="200" w:line="276" w:lineRule="auto"/>
              <w:ind w:left="262" w:hanging="180"/>
              <w:rPr>
                <w:rFonts w:ascii="Arial" w:hAnsi="Arial" w:cs="Arial"/>
                <w:sz w:val="20"/>
                <w:szCs w:val="20"/>
                <w:lang w:val="en-CA"/>
              </w:rPr>
            </w:pPr>
            <w:r w:rsidRPr="00F13FA2">
              <w:rPr>
                <w:rFonts w:ascii="Arial" w:hAnsi="Arial" w:cs="Arial"/>
                <w:sz w:val="20"/>
                <w:szCs w:val="20"/>
                <w:lang w:val="en-CA"/>
              </w:rPr>
              <w:t xml:space="preserve">The Regulations, Trust documents and various agreements will provide that OPG will have significant variability and exposure from the activities of the Trust relative to the rate of return that OPG would recognize from its role as the Financial Services Manager of the Trust.  The performance fee will be meaningful and allow OPG to make decisions that will significantly impact its returns.  </w:t>
            </w:r>
          </w:p>
          <w:p w:rsidR="00F13FA2" w:rsidRPr="00791DB1" w:rsidRDefault="00131DD7" w:rsidP="00F13FA2">
            <w:pPr>
              <w:pStyle w:val="ListParagraph"/>
              <w:numPr>
                <w:ilvl w:val="0"/>
                <w:numId w:val="47"/>
              </w:numPr>
              <w:spacing w:after="200" w:line="276" w:lineRule="auto"/>
              <w:ind w:left="262" w:hanging="180"/>
              <w:rPr>
                <w:rFonts w:ascii="Arial" w:hAnsi="Arial" w:cs="Arial"/>
                <w:sz w:val="20"/>
                <w:szCs w:val="20"/>
                <w:lang w:val="en-CA"/>
              </w:rPr>
            </w:pPr>
            <w:r w:rsidRPr="00083594">
              <w:rPr>
                <w:rFonts w:ascii="Arial" w:hAnsi="Arial" w:cs="Arial"/>
                <w:sz w:val="20"/>
                <w:szCs w:val="20"/>
                <w:lang w:val="en-CA"/>
              </w:rPr>
              <w:t xml:space="preserve">OPG, through ownership of the most subordinated debt, is exposed to risk of non-collection. </w:t>
            </w:r>
            <w:r w:rsidR="000642DB">
              <w:rPr>
                <w:rFonts w:ascii="Arial" w:hAnsi="Arial" w:cs="Arial"/>
                <w:sz w:val="20"/>
                <w:szCs w:val="20"/>
                <w:lang w:val="en-CA"/>
              </w:rPr>
              <w:t xml:space="preserve"> </w:t>
            </w:r>
            <w:r w:rsidRPr="00083594">
              <w:rPr>
                <w:rFonts w:ascii="Arial" w:hAnsi="Arial" w:cs="Arial"/>
                <w:sz w:val="20"/>
                <w:szCs w:val="20"/>
                <w:lang w:val="en-CA"/>
              </w:rPr>
              <w:t>Given that the program is expected to run until 2047, this</w:t>
            </w:r>
            <w:r w:rsidR="00AF5F44">
              <w:rPr>
                <w:rFonts w:ascii="Arial" w:hAnsi="Arial" w:cs="Arial"/>
                <w:sz w:val="20"/>
                <w:szCs w:val="20"/>
                <w:lang w:val="en-CA"/>
              </w:rPr>
              <w:t xml:space="preserve"> 30 year time period results in </w:t>
            </w:r>
            <w:r w:rsidRPr="00083594">
              <w:rPr>
                <w:rFonts w:ascii="Arial" w:hAnsi="Arial" w:cs="Arial"/>
                <w:sz w:val="20"/>
                <w:szCs w:val="20"/>
                <w:lang w:val="en-CA"/>
              </w:rPr>
              <w:t xml:space="preserve">uncertainty about the future collection of OPG’s amount at risk.  OPG </w:t>
            </w:r>
            <w:r w:rsidR="00E50B15">
              <w:rPr>
                <w:rFonts w:ascii="Arial" w:hAnsi="Arial" w:cs="Arial"/>
                <w:sz w:val="20"/>
                <w:szCs w:val="20"/>
                <w:lang w:val="en-CA"/>
              </w:rPr>
              <w:t xml:space="preserve">and the OFA (5% out of 44% contribution) </w:t>
            </w:r>
            <w:r w:rsidRPr="00083594">
              <w:rPr>
                <w:rFonts w:ascii="Arial" w:hAnsi="Arial" w:cs="Arial"/>
                <w:sz w:val="20"/>
                <w:szCs w:val="20"/>
                <w:lang w:val="en-CA"/>
              </w:rPr>
              <w:t>would be the last part</w:t>
            </w:r>
            <w:r w:rsidR="00E50B15">
              <w:rPr>
                <w:rFonts w:ascii="Arial" w:hAnsi="Arial" w:cs="Arial"/>
                <w:sz w:val="20"/>
                <w:szCs w:val="20"/>
                <w:lang w:val="en-CA"/>
              </w:rPr>
              <w:t>ies</w:t>
            </w:r>
            <w:r w:rsidRPr="00083594">
              <w:rPr>
                <w:rFonts w:ascii="Arial" w:hAnsi="Arial" w:cs="Arial"/>
                <w:sz w:val="20"/>
                <w:szCs w:val="20"/>
                <w:lang w:val="en-CA"/>
              </w:rPr>
              <w:t xml:space="preserve"> to get paid in the event that the program stops running due to a change in Government, if electricity demand is not high enough to allow for collection from ratepayers in a timely manner, etc.  The end date of 2047 that is prescribed in the Legislation results in uncertainty toward whether this program will continue and whether OPG will have collected its amount at risk at that time</w:t>
            </w:r>
            <w:r w:rsidRPr="00083594">
              <w:rPr>
                <w:rFonts w:ascii="Arial" w:hAnsi="Arial"/>
                <w:sz w:val="20"/>
                <w:lang w:val="en-CA"/>
              </w:rPr>
              <w:t>.</w:t>
            </w:r>
          </w:p>
          <w:p w:rsidR="00791DB1" w:rsidRPr="00B658BA" w:rsidRDefault="00791DB1" w:rsidP="00791DB1">
            <w:pPr>
              <w:pStyle w:val="ListParagraph"/>
              <w:numPr>
                <w:ilvl w:val="2"/>
                <w:numId w:val="33"/>
              </w:numPr>
              <w:spacing w:after="200" w:line="276" w:lineRule="auto"/>
              <w:rPr>
                <w:rFonts w:ascii="Arial" w:hAnsi="Arial" w:cs="Arial"/>
                <w:sz w:val="20"/>
                <w:szCs w:val="20"/>
                <w:lang w:val="en-CA"/>
              </w:rPr>
            </w:pPr>
            <w:r w:rsidRPr="00083594">
              <w:rPr>
                <w:rFonts w:ascii="Arial" w:hAnsi="Arial" w:cs="Arial"/>
                <w:sz w:val="20"/>
                <w:szCs w:val="20"/>
              </w:rPr>
              <w:t>In the event that there is a market disruption whereby OPG is not able to obtain debt from the financial markets</w:t>
            </w:r>
            <w:r>
              <w:rPr>
                <w:rFonts w:ascii="Arial" w:hAnsi="Arial" w:cs="Arial"/>
                <w:sz w:val="20"/>
                <w:szCs w:val="20"/>
              </w:rPr>
              <w:t xml:space="preserve"> (e.g. due to a recession)</w:t>
            </w:r>
            <w:r w:rsidRPr="00083594">
              <w:rPr>
                <w:rFonts w:ascii="Arial" w:hAnsi="Arial" w:cs="Arial"/>
                <w:sz w:val="20"/>
                <w:szCs w:val="20"/>
              </w:rPr>
              <w:t>, the</w:t>
            </w:r>
            <w:r>
              <w:rPr>
                <w:rFonts w:ascii="Arial" w:hAnsi="Arial" w:cs="Arial"/>
                <w:sz w:val="20"/>
                <w:szCs w:val="20"/>
              </w:rPr>
              <w:t xml:space="preserve"> Province will provide funding in the event that OPG wishes to continue purchasing intangible assets from the IESO. </w:t>
            </w:r>
            <w:r w:rsidRPr="00083594">
              <w:rPr>
                <w:rFonts w:ascii="Arial" w:hAnsi="Arial" w:cs="Arial"/>
                <w:sz w:val="20"/>
                <w:szCs w:val="20"/>
              </w:rPr>
              <w:t xml:space="preserve"> This is considered to be a protective right as it does not impact the relevant activities of the Trust</w:t>
            </w:r>
            <w:r>
              <w:rPr>
                <w:rFonts w:ascii="Arial" w:hAnsi="Arial" w:cs="Arial"/>
                <w:sz w:val="20"/>
                <w:szCs w:val="20"/>
              </w:rPr>
              <w:t xml:space="preserve">, but is designed to protect both parties and does not give either party more or less power over the Trust.  It is designed to allow OPG to keep purchasing intangible assets if it wishes to.  </w:t>
            </w:r>
          </w:p>
          <w:p w:rsidR="00791DB1" w:rsidRPr="00F13FA2" w:rsidRDefault="00791DB1" w:rsidP="00791DB1">
            <w:pPr>
              <w:pStyle w:val="ListParagraph"/>
              <w:numPr>
                <w:ilvl w:val="0"/>
                <w:numId w:val="47"/>
              </w:numPr>
              <w:spacing w:after="200" w:line="276" w:lineRule="auto"/>
              <w:ind w:left="262" w:hanging="180"/>
              <w:rPr>
                <w:rFonts w:ascii="Arial" w:hAnsi="Arial" w:cs="Arial"/>
                <w:sz w:val="20"/>
                <w:szCs w:val="20"/>
                <w:lang w:val="en-CA"/>
              </w:rPr>
            </w:pPr>
            <w:r w:rsidRPr="00B658BA">
              <w:rPr>
                <w:rFonts w:ascii="Arial" w:hAnsi="Arial" w:cs="Arial"/>
                <w:sz w:val="20"/>
                <w:szCs w:val="20"/>
                <w:lang w:val="en-CA"/>
              </w:rPr>
              <w:t>Protective rights are typically held to prohibit fundamental changes in the activities of an investee that the holder does not agree with and usually apply only in exceptional circumstances (i.e., upon a contingent event).</w:t>
            </w:r>
            <w:r>
              <w:rPr>
                <w:rFonts w:ascii="Arial" w:hAnsi="Arial" w:cs="Arial"/>
                <w:sz w:val="20"/>
                <w:szCs w:val="20"/>
                <w:lang w:val="en-CA"/>
              </w:rPr>
              <w:t xml:space="preserve">  This is true for this right as it is only applicable i</w:t>
            </w:r>
            <w:r w:rsidRPr="00B658BA">
              <w:rPr>
                <w:rFonts w:ascii="Arial" w:hAnsi="Arial" w:cs="Arial"/>
                <w:sz w:val="20"/>
                <w:szCs w:val="20"/>
                <w:lang w:val="en-CA"/>
              </w:rPr>
              <w:t>f there is a market disruption and the Trust is not able to obtain financing from external markets</w:t>
            </w:r>
            <w:r>
              <w:rPr>
                <w:rFonts w:ascii="Arial" w:hAnsi="Arial" w:cs="Arial"/>
                <w:sz w:val="20"/>
                <w:szCs w:val="20"/>
                <w:lang w:val="en-CA"/>
              </w:rPr>
              <w:t xml:space="preserve">.  Further, </w:t>
            </w:r>
            <w:r w:rsidRPr="00B658BA">
              <w:rPr>
                <w:rFonts w:ascii="Arial" w:hAnsi="Arial" w:cs="Arial"/>
                <w:sz w:val="20"/>
                <w:szCs w:val="20"/>
                <w:lang w:val="en-CA"/>
              </w:rPr>
              <w:t>the fundamental activities of the Trust would change</w:t>
            </w:r>
            <w:r>
              <w:rPr>
                <w:rFonts w:ascii="Arial" w:hAnsi="Arial" w:cs="Arial"/>
                <w:sz w:val="20"/>
                <w:szCs w:val="20"/>
                <w:lang w:val="en-CA"/>
              </w:rPr>
              <w:t xml:space="preserve"> if it were not able to obtain financing from external markets. </w:t>
            </w:r>
            <w:r w:rsidRPr="00B658BA">
              <w:rPr>
                <w:rFonts w:ascii="Arial" w:hAnsi="Arial" w:cs="Arial"/>
                <w:sz w:val="20"/>
                <w:szCs w:val="20"/>
                <w:lang w:val="en-CA"/>
              </w:rPr>
              <w:t xml:space="preserve"> </w:t>
            </w:r>
          </w:p>
        </w:tc>
      </w:tr>
      <w:tr w:rsidR="00B62C65" w:rsidRPr="007A4047" w:rsidTr="0069016A">
        <w:tc>
          <w:tcPr>
            <w:tcW w:w="3438" w:type="dxa"/>
            <w:tcBorders>
              <w:bottom w:val="single" w:sz="4" w:space="0" w:color="auto"/>
            </w:tcBorders>
            <w:shd w:val="clear" w:color="auto" w:fill="auto"/>
          </w:tcPr>
          <w:p w:rsidR="00B62C65" w:rsidRPr="007A4047" w:rsidRDefault="00B62C65" w:rsidP="00EA2E39">
            <w:pPr>
              <w:pStyle w:val="Default"/>
              <w:rPr>
                <w:rFonts w:ascii="Arial" w:hAnsi="Arial" w:cs="Arial"/>
                <w:i/>
                <w:sz w:val="20"/>
                <w:szCs w:val="20"/>
              </w:rPr>
            </w:pPr>
            <w:r w:rsidRPr="007A4047">
              <w:rPr>
                <w:rFonts w:ascii="Arial" w:hAnsi="Arial" w:cs="Arial"/>
                <w:i/>
                <w:sz w:val="20"/>
                <w:szCs w:val="20"/>
              </w:rPr>
              <w:lastRenderedPageBreak/>
              <w:t xml:space="preserve">Returns that are not available to other interest holders. For example, an investor might use its assets in combination with the assets of the investee, such as combining operating functions to achieve economies of scale, cost savings, sourcing scarce products, gaining access to proprietary knowledge or limiting some operations or assets, to enhance the value of the investor’s other assets </w:t>
            </w:r>
          </w:p>
          <w:p w:rsidR="00B62C65" w:rsidRPr="007A4047" w:rsidRDefault="00B62C65" w:rsidP="00EA2E39">
            <w:pPr>
              <w:pStyle w:val="Default"/>
              <w:rPr>
                <w:rFonts w:ascii="Arial" w:hAnsi="Arial" w:cs="Arial"/>
                <w:sz w:val="20"/>
                <w:szCs w:val="20"/>
              </w:rPr>
            </w:pPr>
            <w:r w:rsidRPr="007A4047">
              <w:rPr>
                <w:rFonts w:ascii="Arial" w:eastAsia="Times New Roman" w:hAnsi="Arial" w:cs="Arial"/>
                <w:color w:val="auto"/>
                <w:sz w:val="20"/>
                <w:szCs w:val="20"/>
                <w:lang w:eastAsia="en-CA"/>
              </w:rPr>
              <w:t>[IFRS 10, paragraph B57 (c)]</w:t>
            </w:r>
          </w:p>
          <w:p w:rsidR="00B62C65" w:rsidRPr="007A4047" w:rsidRDefault="00B62C65" w:rsidP="00EA2E39">
            <w:pPr>
              <w:pStyle w:val="Default"/>
              <w:rPr>
                <w:rFonts w:ascii="Arial" w:hAnsi="Arial" w:cs="Arial"/>
                <w:sz w:val="20"/>
                <w:szCs w:val="20"/>
                <w:highlight w:val="yellow"/>
              </w:rPr>
            </w:pPr>
          </w:p>
        </w:tc>
        <w:tc>
          <w:tcPr>
            <w:tcW w:w="6374" w:type="dxa"/>
            <w:tcBorders>
              <w:bottom w:val="single" w:sz="4" w:space="0" w:color="auto"/>
            </w:tcBorders>
            <w:shd w:val="clear" w:color="auto" w:fill="auto"/>
          </w:tcPr>
          <w:p w:rsidR="007102BC" w:rsidRPr="00EC142C" w:rsidRDefault="007102BC" w:rsidP="0026370A">
            <w:pPr>
              <w:pStyle w:val="ListParagraph"/>
              <w:numPr>
                <w:ilvl w:val="2"/>
                <w:numId w:val="34"/>
              </w:numPr>
              <w:spacing w:after="200" w:line="276" w:lineRule="auto"/>
              <w:rPr>
                <w:rFonts w:ascii="Arial" w:hAnsi="Arial" w:cs="Arial"/>
                <w:sz w:val="20"/>
                <w:szCs w:val="20"/>
              </w:rPr>
            </w:pPr>
            <w:r w:rsidRPr="00EC142C">
              <w:rPr>
                <w:rFonts w:ascii="Arial" w:hAnsi="Arial" w:cs="Arial"/>
                <w:sz w:val="20"/>
                <w:szCs w:val="20"/>
              </w:rPr>
              <w:t xml:space="preserve">OPG </w:t>
            </w:r>
            <w:r w:rsidR="00E079C8">
              <w:rPr>
                <w:rFonts w:ascii="Arial" w:hAnsi="Arial" w:cs="Arial"/>
                <w:sz w:val="20"/>
                <w:szCs w:val="20"/>
              </w:rPr>
              <w:t>will</w:t>
            </w:r>
            <w:r w:rsidRPr="00EC142C">
              <w:rPr>
                <w:rFonts w:ascii="Arial" w:hAnsi="Arial" w:cs="Arial"/>
                <w:sz w:val="20"/>
                <w:szCs w:val="20"/>
              </w:rPr>
              <w:t xml:space="preserve"> have synergistic benefits from combining opera</w:t>
            </w:r>
            <w:r w:rsidR="00220005">
              <w:rPr>
                <w:rFonts w:ascii="Arial" w:hAnsi="Arial" w:cs="Arial"/>
                <w:sz w:val="20"/>
                <w:szCs w:val="20"/>
              </w:rPr>
              <w:t xml:space="preserve">ting functions with the Trust given its extensive knowledge on the market and current </w:t>
            </w:r>
            <w:r w:rsidR="00220005" w:rsidRPr="00495287">
              <w:rPr>
                <w:rFonts w:ascii="Arial" w:hAnsi="Arial" w:cs="Arial"/>
                <w:sz w:val="20"/>
                <w:szCs w:val="20"/>
              </w:rPr>
              <w:t>regulatory knowledge</w:t>
            </w:r>
            <w:r w:rsidR="00220005">
              <w:rPr>
                <w:rFonts w:ascii="Arial" w:hAnsi="Arial" w:cs="Arial"/>
                <w:sz w:val="20"/>
                <w:szCs w:val="20"/>
              </w:rPr>
              <w:t>.</w:t>
            </w:r>
          </w:p>
          <w:p w:rsidR="00B62C65" w:rsidRPr="00EC142C" w:rsidRDefault="00B62C65" w:rsidP="00EA2E39">
            <w:pPr>
              <w:rPr>
                <w:rFonts w:ascii="Arial" w:eastAsia="Calibri" w:hAnsi="Arial" w:cs="Arial"/>
                <w:sz w:val="20"/>
                <w:szCs w:val="20"/>
                <w:highlight w:val="yellow"/>
              </w:rPr>
            </w:pPr>
          </w:p>
        </w:tc>
      </w:tr>
      <w:tr w:rsidR="00EA2E39" w:rsidRPr="007A4047" w:rsidTr="0074100B">
        <w:tc>
          <w:tcPr>
            <w:tcW w:w="9812" w:type="dxa"/>
            <w:gridSpan w:val="2"/>
            <w:tcBorders>
              <w:bottom w:val="single" w:sz="4" w:space="0" w:color="auto"/>
            </w:tcBorders>
            <w:shd w:val="clear" w:color="auto" w:fill="auto"/>
            <w:vAlign w:val="center"/>
          </w:tcPr>
          <w:p w:rsidR="00B62C65" w:rsidRPr="007A4047" w:rsidRDefault="00B62C65" w:rsidP="00EA2E39">
            <w:pPr>
              <w:rPr>
                <w:rFonts w:ascii="Arial" w:eastAsia="Calibri" w:hAnsi="Arial" w:cs="Arial"/>
                <w:sz w:val="20"/>
                <w:szCs w:val="20"/>
                <w:highlight w:val="yellow"/>
              </w:rPr>
            </w:pPr>
          </w:p>
        </w:tc>
      </w:tr>
      <w:tr w:rsidR="00B62C65" w:rsidRPr="007A4047" w:rsidTr="0069016A">
        <w:tc>
          <w:tcPr>
            <w:tcW w:w="3438" w:type="dxa"/>
            <w:tcBorders>
              <w:bottom w:val="single" w:sz="4" w:space="0" w:color="auto"/>
            </w:tcBorders>
            <w:shd w:val="clear" w:color="auto" w:fill="auto"/>
            <w:vAlign w:val="center"/>
          </w:tcPr>
          <w:p w:rsidR="00B62C65" w:rsidRPr="007A4047" w:rsidRDefault="00B62C65" w:rsidP="00EA2E39">
            <w:pPr>
              <w:rPr>
                <w:rFonts w:ascii="Arial" w:eastAsia="Calibri" w:hAnsi="Arial" w:cs="Arial"/>
                <w:b/>
                <w:bCs/>
                <w:sz w:val="20"/>
                <w:szCs w:val="20"/>
              </w:rPr>
            </w:pPr>
            <w:r w:rsidRPr="007A4047">
              <w:rPr>
                <w:rFonts w:ascii="Arial" w:eastAsia="Calibri" w:hAnsi="Arial" w:cs="Arial"/>
                <w:b/>
                <w:bCs/>
                <w:sz w:val="20"/>
                <w:szCs w:val="20"/>
              </w:rPr>
              <w:t>Assessment</w:t>
            </w:r>
          </w:p>
        </w:tc>
        <w:tc>
          <w:tcPr>
            <w:tcW w:w="6374" w:type="dxa"/>
            <w:tcBorders>
              <w:bottom w:val="single" w:sz="4" w:space="0" w:color="auto"/>
            </w:tcBorders>
            <w:shd w:val="clear" w:color="auto" w:fill="auto"/>
            <w:vAlign w:val="center"/>
          </w:tcPr>
          <w:p w:rsidR="00CF117F" w:rsidRDefault="00CF117F" w:rsidP="00EA2E39">
            <w:pPr>
              <w:spacing w:after="200" w:line="276" w:lineRule="auto"/>
              <w:contextualSpacing/>
              <w:rPr>
                <w:rFonts w:ascii="Arial" w:eastAsia="Calibri" w:hAnsi="Arial" w:cs="Arial"/>
                <w:sz w:val="20"/>
                <w:szCs w:val="20"/>
                <w:lang w:val="en-CA"/>
              </w:rPr>
            </w:pPr>
            <w:r>
              <w:rPr>
                <w:rFonts w:ascii="Arial" w:eastAsia="Calibri" w:hAnsi="Arial" w:cs="Arial"/>
                <w:sz w:val="20"/>
                <w:szCs w:val="20"/>
                <w:lang w:val="en-CA"/>
              </w:rPr>
              <w:t xml:space="preserve">To determine which party is the most ‘at risk’ in the event that the loans default, expected loss rates were obtained from Moody’s and DBRS.  </w:t>
            </w:r>
          </w:p>
          <w:p w:rsidR="00CF117F" w:rsidRDefault="00CF117F" w:rsidP="00EA2E39">
            <w:pPr>
              <w:spacing w:after="200" w:line="276" w:lineRule="auto"/>
              <w:contextualSpacing/>
              <w:rPr>
                <w:rFonts w:ascii="Arial" w:eastAsia="Calibri" w:hAnsi="Arial" w:cs="Arial"/>
                <w:sz w:val="20"/>
                <w:szCs w:val="20"/>
                <w:lang w:val="en-CA"/>
              </w:rPr>
            </w:pPr>
          </w:p>
          <w:p w:rsidR="00C30F56" w:rsidRDefault="00DB3418" w:rsidP="00EA2E39">
            <w:pPr>
              <w:spacing w:after="200" w:line="276" w:lineRule="auto"/>
              <w:contextualSpacing/>
              <w:rPr>
                <w:rFonts w:ascii="Arial" w:eastAsia="Calibri" w:hAnsi="Arial" w:cs="Arial"/>
                <w:sz w:val="20"/>
                <w:szCs w:val="20"/>
                <w:lang w:val="en-CA"/>
              </w:rPr>
            </w:pPr>
            <w:r>
              <w:rPr>
                <w:rFonts w:ascii="Arial" w:eastAsia="Calibri" w:hAnsi="Arial" w:cs="Arial"/>
                <w:sz w:val="20"/>
                <w:szCs w:val="20"/>
                <w:lang w:val="en-CA"/>
              </w:rPr>
              <w:t xml:space="preserve">Using the </w:t>
            </w:r>
            <w:r w:rsidRPr="00DB3418">
              <w:rPr>
                <w:rFonts w:ascii="Arial" w:eastAsia="Calibri" w:hAnsi="Arial" w:cs="Arial"/>
                <w:i/>
                <w:sz w:val="20"/>
                <w:szCs w:val="20"/>
                <w:lang w:val="en-CA"/>
              </w:rPr>
              <w:t>Moody’s Investors Service – Loss Given Default for Speculative Grade Companies</w:t>
            </w:r>
            <w:r>
              <w:rPr>
                <w:rFonts w:ascii="Arial" w:eastAsia="Calibri" w:hAnsi="Arial" w:cs="Arial"/>
                <w:sz w:val="20"/>
                <w:szCs w:val="20"/>
                <w:lang w:val="en-CA"/>
              </w:rPr>
              <w:t xml:space="preserve"> dated December 4, 2015, the 4-year Idealized Expected Loss ranges from 0.00% for a triple A rated bond to </w:t>
            </w:r>
            <w:r w:rsidR="00C30F56">
              <w:rPr>
                <w:rFonts w:ascii="Arial" w:eastAsia="Calibri" w:hAnsi="Arial" w:cs="Arial"/>
                <w:sz w:val="20"/>
                <w:szCs w:val="20"/>
                <w:lang w:val="en-CA"/>
              </w:rPr>
              <w:t xml:space="preserve">0.30% for an A3 rated bond.  </w:t>
            </w:r>
          </w:p>
          <w:p w:rsidR="00DB3418" w:rsidRDefault="00C30F56" w:rsidP="00EA2E39">
            <w:pPr>
              <w:spacing w:after="200" w:line="276" w:lineRule="auto"/>
              <w:contextualSpacing/>
              <w:rPr>
                <w:rFonts w:ascii="Arial" w:eastAsia="Calibri" w:hAnsi="Arial" w:cs="Arial"/>
                <w:sz w:val="20"/>
                <w:szCs w:val="20"/>
                <w:lang w:val="en-CA"/>
              </w:rPr>
            </w:pPr>
            <w:r>
              <w:rPr>
                <w:rFonts w:ascii="Arial" w:eastAsia="Calibri" w:hAnsi="Arial" w:cs="Arial"/>
                <w:sz w:val="20"/>
                <w:szCs w:val="20"/>
                <w:lang w:val="en-CA"/>
              </w:rPr>
              <w:t xml:space="preserve"> </w:t>
            </w:r>
          </w:p>
          <w:p w:rsidR="00DB3418" w:rsidRPr="009434CC" w:rsidRDefault="00DB3418" w:rsidP="00EA2E39">
            <w:pPr>
              <w:spacing w:after="200" w:line="276" w:lineRule="auto"/>
              <w:contextualSpacing/>
              <w:rPr>
                <w:rFonts w:ascii="Arial" w:eastAsia="Calibri" w:hAnsi="Arial" w:cs="Arial"/>
                <w:sz w:val="20"/>
                <w:szCs w:val="20"/>
                <w:lang w:val="en-CA"/>
              </w:rPr>
            </w:pPr>
            <w:r w:rsidRPr="00DB3418">
              <w:rPr>
                <w:rFonts w:ascii="Arial" w:eastAsia="Calibri" w:hAnsi="Arial" w:cs="Arial"/>
                <w:sz w:val="20"/>
                <w:szCs w:val="20"/>
                <w:lang w:val="en-CA"/>
              </w:rPr>
              <w:t>DBRS Expected Loss Ratings give an indication of the expected loss of a loan portfolio</w:t>
            </w:r>
            <w:r w:rsidR="00CF117F">
              <w:rPr>
                <w:rFonts w:ascii="Arial" w:eastAsia="Calibri" w:hAnsi="Arial" w:cs="Arial"/>
                <w:sz w:val="20"/>
                <w:szCs w:val="20"/>
                <w:lang w:val="en-CA"/>
              </w:rPr>
              <w:t>.  As per a November 2016 publication, the 10-year expected loss rates range from</w:t>
            </w:r>
            <w:r w:rsidR="009434CC">
              <w:rPr>
                <w:rFonts w:ascii="Arial" w:eastAsia="Calibri" w:hAnsi="Arial" w:cs="Arial"/>
                <w:sz w:val="20"/>
                <w:szCs w:val="20"/>
                <w:lang w:val="en-CA"/>
              </w:rPr>
              <w:t xml:space="preserve"> 0.1% for a AAA rated bond to 1.7%</w:t>
            </w:r>
            <w:r w:rsidR="00CF117F">
              <w:rPr>
                <w:rFonts w:ascii="Arial" w:eastAsia="Calibri" w:hAnsi="Arial" w:cs="Arial"/>
                <w:sz w:val="20"/>
                <w:szCs w:val="20"/>
                <w:lang w:val="en-CA"/>
              </w:rPr>
              <w:t xml:space="preserve"> </w:t>
            </w:r>
            <w:r w:rsidR="009434CC">
              <w:rPr>
                <w:rFonts w:ascii="Arial" w:eastAsia="Calibri" w:hAnsi="Arial" w:cs="Arial"/>
                <w:sz w:val="20"/>
                <w:szCs w:val="20"/>
                <w:lang w:val="en-CA"/>
              </w:rPr>
              <w:t xml:space="preserve">for an A (low) rated bond.  </w:t>
            </w:r>
          </w:p>
          <w:p w:rsidR="00CF117F" w:rsidRDefault="00CF117F" w:rsidP="00EA2E39">
            <w:pPr>
              <w:spacing w:after="200" w:line="276" w:lineRule="auto"/>
              <w:contextualSpacing/>
              <w:rPr>
                <w:rFonts w:ascii="Arial" w:eastAsia="Calibri" w:hAnsi="Arial" w:cs="Arial"/>
                <w:sz w:val="20"/>
                <w:szCs w:val="20"/>
                <w:lang w:val="en-CA"/>
              </w:rPr>
            </w:pPr>
          </w:p>
          <w:p w:rsidR="007102BC" w:rsidRDefault="006D31E9" w:rsidP="00EA2E39">
            <w:pPr>
              <w:spacing w:after="200" w:line="276" w:lineRule="auto"/>
              <w:contextualSpacing/>
              <w:rPr>
                <w:rFonts w:ascii="Arial" w:eastAsia="Calibri" w:hAnsi="Arial" w:cs="Arial"/>
                <w:sz w:val="20"/>
                <w:szCs w:val="20"/>
                <w:lang w:val="en-CA"/>
              </w:rPr>
            </w:pPr>
            <w:r>
              <w:rPr>
                <w:rFonts w:ascii="Arial" w:eastAsia="Calibri" w:hAnsi="Arial" w:cs="Arial"/>
                <w:sz w:val="20"/>
                <w:szCs w:val="20"/>
                <w:lang w:val="en-CA"/>
              </w:rPr>
              <w:t>Given that OPG’s subordinated debt is equal to 5% of the total debt,</w:t>
            </w:r>
            <w:r w:rsidR="002C4AC6">
              <w:rPr>
                <w:rFonts w:ascii="Arial" w:eastAsia="Calibri" w:hAnsi="Arial" w:cs="Arial"/>
                <w:sz w:val="20"/>
                <w:szCs w:val="20"/>
                <w:lang w:val="en-CA"/>
              </w:rPr>
              <w:t xml:space="preserve"> which is higher than the default rates above,</w:t>
            </w:r>
            <w:r w:rsidR="004D76A5">
              <w:rPr>
                <w:rFonts w:ascii="Arial" w:eastAsia="Calibri" w:hAnsi="Arial" w:cs="Arial"/>
                <w:sz w:val="20"/>
                <w:szCs w:val="20"/>
                <w:lang w:val="en-CA"/>
              </w:rPr>
              <w:t xml:space="preserve"> </w:t>
            </w:r>
            <w:r w:rsidR="00944A5C">
              <w:rPr>
                <w:rFonts w:ascii="Arial" w:eastAsia="Calibri" w:hAnsi="Arial" w:cs="Arial"/>
                <w:sz w:val="20"/>
                <w:szCs w:val="20"/>
                <w:lang w:val="en-CA"/>
              </w:rPr>
              <w:t>10</w:t>
            </w:r>
            <w:r>
              <w:rPr>
                <w:rFonts w:ascii="Arial" w:eastAsia="Calibri" w:hAnsi="Arial" w:cs="Arial"/>
                <w:sz w:val="20"/>
                <w:szCs w:val="20"/>
                <w:lang w:val="en-CA"/>
              </w:rPr>
              <w:t xml:space="preserve">0% of the risk is with </w:t>
            </w:r>
            <w:r w:rsidR="00106F8E">
              <w:rPr>
                <w:rFonts w:ascii="Arial" w:eastAsia="Calibri" w:hAnsi="Arial" w:cs="Arial"/>
                <w:sz w:val="20"/>
                <w:szCs w:val="20"/>
                <w:lang w:val="en-CA"/>
              </w:rPr>
              <w:t xml:space="preserve">both </w:t>
            </w:r>
            <w:r>
              <w:rPr>
                <w:rFonts w:ascii="Arial" w:eastAsia="Calibri" w:hAnsi="Arial" w:cs="Arial"/>
                <w:sz w:val="20"/>
                <w:szCs w:val="20"/>
                <w:lang w:val="en-CA"/>
              </w:rPr>
              <w:t>OPG</w:t>
            </w:r>
            <w:r w:rsidR="00A1035F">
              <w:rPr>
                <w:rFonts w:ascii="Arial" w:eastAsia="Calibri" w:hAnsi="Arial" w:cs="Arial"/>
                <w:sz w:val="20"/>
                <w:szCs w:val="20"/>
                <w:lang w:val="en-CA"/>
              </w:rPr>
              <w:t xml:space="preserve"> and the OFA</w:t>
            </w:r>
            <w:r w:rsidR="00944A5C">
              <w:rPr>
                <w:rFonts w:ascii="Arial" w:eastAsia="Calibri" w:hAnsi="Arial" w:cs="Arial"/>
                <w:sz w:val="20"/>
                <w:szCs w:val="20"/>
                <w:lang w:val="en-CA"/>
              </w:rPr>
              <w:t xml:space="preserve"> since they are the last parties</w:t>
            </w:r>
            <w:r>
              <w:rPr>
                <w:rFonts w:ascii="Arial" w:eastAsia="Calibri" w:hAnsi="Arial" w:cs="Arial"/>
                <w:sz w:val="20"/>
                <w:szCs w:val="20"/>
                <w:lang w:val="en-CA"/>
              </w:rPr>
              <w:t xml:space="preserve"> to get paid should there be any default with the debt.</w:t>
            </w:r>
          </w:p>
          <w:p w:rsidR="006D31E9" w:rsidRDefault="006D31E9" w:rsidP="00EA2E39">
            <w:pPr>
              <w:spacing w:after="200" w:line="276" w:lineRule="auto"/>
              <w:contextualSpacing/>
              <w:rPr>
                <w:rFonts w:ascii="Arial" w:eastAsia="Calibri" w:hAnsi="Arial" w:cs="Arial"/>
                <w:sz w:val="20"/>
                <w:szCs w:val="20"/>
                <w:lang w:val="en-CA"/>
              </w:rPr>
            </w:pPr>
          </w:p>
          <w:p w:rsidR="00B62C65" w:rsidRDefault="006D31E9" w:rsidP="006D31E9">
            <w:pPr>
              <w:spacing w:after="200" w:line="276" w:lineRule="auto"/>
              <w:contextualSpacing/>
              <w:rPr>
                <w:rFonts w:ascii="Arial" w:hAnsi="Arial" w:cs="Arial"/>
                <w:sz w:val="20"/>
                <w:szCs w:val="20"/>
              </w:rPr>
            </w:pPr>
            <w:r>
              <w:rPr>
                <w:rFonts w:ascii="Arial" w:eastAsia="Calibri" w:hAnsi="Arial" w:cs="Arial"/>
                <w:sz w:val="20"/>
                <w:szCs w:val="20"/>
                <w:lang w:val="en-CA"/>
              </w:rPr>
              <w:t xml:space="preserve">OPG is also exposed to variable returns from the Trust from its performance on </w:t>
            </w:r>
            <w:r w:rsidRPr="007A4047">
              <w:rPr>
                <w:rFonts w:ascii="Arial" w:hAnsi="Arial" w:cs="Arial"/>
                <w:sz w:val="20"/>
                <w:szCs w:val="20"/>
              </w:rPr>
              <w:t>decisions</w:t>
            </w:r>
            <w:r>
              <w:rPr>
                <w:rFonts w:ascii="Arial" w:hAnsi="Arial" w:cs="Arial"/>
                <w:sz w:val="20"/>
                <w:szCs w:val="20"/>
              </w:rPr>
              <w:t xml:space="preserve"> made</w:t>
            </w:r>
            <w:r w:rsidRPr="007A4047">
              <w:rPr>
                <w:rFonts w:ascii="Arial" w:hAnsi="Arial" w:cs="Arial"/>
                <w:sz w:val="20"/>
                <w:szCs w:val="20"/>
              </w:rPr>
              <w:t xml:space="preserve"> on financing alternatives, duration, and the strategy to minimize financi</w:t>
            </w:r>
            <w:r>
              <w:rPr>
                <w:rFonts w:ascii="Arial" w:hAnsi="Arial" w:cs="Arial"/>
                <w:sz w:val="20"/>
                <w:szCs w:val="20"/>
              </w:rPr>
              <w:t>ng costs through the variable fee component of the management fee.</w:t>
            </w:r>
            <w:r w:rsidR="003D4105">
              <w:rPr>
                <w:rFonts w:ascii="Arial" w:hAnsi="Arial" w:cs="Arial"/>
                <w:sz w:val="20"/>
                <w:szCs w:val="20"/>
              </w:rPr>
              <w:t xml:space="preserve">  </w:t>
            </w:r>
          </w:p>
          <w:p w:rsidR="006D31E9" w:rsidRDefault="006D31E9" w:rsidP="006D31E9">
            <w:pPr>
              <w:spacing w:after="200" w:line="276" w:lineRule="auto"/>
              <w:contextualSpacing/>
              <w:rPr>
                <w:rFonts w:ascii="Arial" w:hAnsi="Arial" w:cs="Arial"/>
                <w:sz w:val="20"/>
                <w:szCs w:val="20"/>
              </w:rPr>
            </w:pPr>
          </w:p>
          <w:p w:rsidR="006D31E9" w:rsidRPr="006D31E9" w:rsidRDefault="006D31E9" w:rsidP="006D31E9">
            <w:pPr>
              <w:spacing w:after="200" w:line="276" w:lineRule="auto"/>
              <w:contextualSpacing/>
              <w:rPr>
                <w:rFonts w:ascii="Arial" w:eastAsia="Calibri" w:hAnsi="Arial" w:cs="Arial"/>
                <w:sz w:val="18"/>
                <w:szCs w:val="20"/>
                <w:lang w:val="en-CA"/>
              </w:rPr>
            </w:pPr>
            <w:r>
              <w:rPr>
                <w:rFonts w:ascii="Arial" w:hAnsi="Arial" w:cs="Arial"/>
                <w:sz w:val="20"/>
                <w:szCs w:val="20"/>
              </w:rPr>
              <w:t>Therefore, OPG has the exposure to variable returns from the Trust.</w:t>
            </w:r>
          </w:p>
        </w:tc>
      </w:tr>
    </w:tbl>
    <w:p w:rsidR="00B62C65" w:rsidRDefault="00B62C65" w:rsidP="00B62C65">
      <w:pPr>
        <w:rPr>
          <w:rFonts w:ascii="Arial" w:hAnsi="Arial" w:cs="Arial"/>
          <w:bCs/>
          <w:sz w:val="20"/>
          <w:szCs w:val="20"/>
          <w:highlight w:val="yellow"/>
        </w:rPr>
      </w:pPr>
    </w:p>
    <w:p w:rsidR="00754342" w:rsidRDefault="00754342" w:rsidP="00B62C65">
      <w:pPr>
        <w:rPr>
          <w:rFonts w:ascii="Arial" w:hAnsi="Arial" w:cs="Arial"/>
          <w:bCs/>
          <w:sz w:val="20"/>
          <w:szCs w:val="20"/>
          <w:highlight w:val="yellow"/>
        </w:rPr>
      </w:pPr>
    </w:p>
    <w:p w:rsidR="00754342" w:rsidRPr="007A4047" w:rsidRDefault="00754342" w:rsidP="00B62C65">
      <w:pPr>
        <w:rPr>
          <w:rFonts w:ascii="Arial" w:hAnsi="Arial" w:cs="Arial"/>
          <w:bCs/>
          <w:sz w:val="20"/>
          <w:szCs w:val="20"/>
          <w:highlight w:val="yellow"/>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8"/>
        <w:gridCol w:w="6384"/>
      </w:tblGrid>
      <w:tr w:rsidR="00EA2E39" w:rsidRPr="007A4047" w:rsidTr="00EA2E39">
        <w:trPr>
          <w:tblHeader/>
        </w:trPr>
        <w:tc>
          <w:tcPr>
            <w:tcW w:w="9812" w:type="dxa"/>
            <w:gridSpan w:val="2"/>
            <w:tcBorders>
              <w:bottom w:val="single" w:sz="4" w:space="0" w:color="auto"/>
            </w:tcBorders>
            <w:shd w:val="clear" w:color="auto" w:fill="5B9BD5"/>
            <w:vAlign w:val="center"/>
          </w:tcPr>
          <w:p w:rsidR="00B62C65" w:rsidRPr="007A4047" w:rsidRDefault="00B62C65" w:rsidP="00EA2E39">
            <w:pPr>
              <w:rPr>
                <w:rFonts w:ascii="Arial" w:eastAsia="Calibri" w:hAnsi="Arial" w:cs="Arial"/>
                <w:b/>
                <w:bCs/>
                <w:color w:val="FFFFFF"/>
                <w:sz w:val="20"/>
                <w:szCs w:val="20"/>
              </w:rPr>
            </w:pPr>
            <w:r w:rsidRPr="007A4047">
              <w:rPr>
                <w:rFonts w:ascii="Arial" w:eastAsia="Calibri" w:hAnsi="Arial" w:cs="Arial"/>
                <w:b/>
                <w:bCs/>
                <w:color w:val="FFFFFF"/>
                <w:sz w:val="20"/>
                <w:szCs w:val="20"/>
              </w:rPr>
              <w:t>Ability to use power to affect returns</w:t>
            </w:r>
          </w:p>
          <w:p w:rsidR="00B62C65" w:rsidRPr="007A4047" w:rsidRDefault="00B62C65" w:rsidP="00EA2E39">
            <w:pPr>
              <w:rPr>
                <w:rFonts w:ascii="Arial" w:eastAsia="Calibri" w:hAnsi="Arial" w:cs="Arial"/>
                <w:b/>
                <w:bCs/>
                <w:i/>
                <w:color w:val="FFFFFF"/>
                <w:sz w:val="20"/>
                <w:szCs w:val="20"/>
              </w:rPr>
            </w:pPr>
          </w:p>
        </w:tc>
      </w:tr>
      <w:tr w:rsidR="00B62C65" w:rsidRPr="007A4047" w:rsidTr="00EA2E39">
        <w:tc>
          <w:tcPr>
            <w:tcW w:w="3428" w:type="dxa"/>
            <w:tcBorders>
              <w:bottom w:val="single" w:sz="4" w:space="0" w:color="auto"/>
            </w:tcBorders>
            <w:shd w:val="clear" w:color="auto" w:fill="000000"/>
          </w:tcPr>
          <w:p w:rsidR="00B62C65" w:rsidRPr="007A4047" w:rsidRDefault="00B62C65" w:rsidP="00EA2E39">
            <w:pPr>
              <w:autoSpaceDE w:val="0"/>
              <w:autoSpaceDN w:val="0"/>
              <w:adjustRightInd w:val="0"/>
              <w:jc w:val="center"/>
              <w:rPr>
                <w:rFonts w:ascii="Arial" w:eastAsia="Calibri" w:hAnsi="Arial" w:cs="Arial"/>
                <w:b/>
                <w:color w:val="FFFFFF"/>
                <w:sz w:val="20"/>
                <w:szCs w:val="20"/>
              </w:rPr>
            </w:pPr>
            <w:r w:rsidRPr="007A4047">
              <w:rPr>
                <w:rFonts w:ascii="Arial" w:eastAsia="Calibri" w:hAnsi="Arial" w:cs="Arial"/>
                <w:b/>
                <w:color w:val="FFFFFF"/>
                <w:sz w:val="20"/>
                <w:szCs w:val="20"/>
              </w:rPr>
              <w:t>Criteria</w:t>
            </w:r>
          </w:p>
        </w:tc>
        <w:tc>
          <w:tcPr>
            <w:tcW w:w="6384" w:type="dxa"/>
            <w:tcBorders>
              <w:bottom w:val="single" w:sz="4" w:space="0" w:color="auto"/>
            </w:tcBorders>
            <w:shd w:val="clear" w:color="auto" w:fill="000000"/>
          </w:tcPr>
          <w:p w:rsidR="00B62C65" w:rsidRPr="007A4047" w:rsidRDefault="00B62C65" w:rsidP="00EA2E39">
            <w:pPr>
              <w:rPr>
                <w:rFonts w:ascii="Arial" w:eastAsia="Calibri" w:hAnsi="Arial" w:cs="Arial"/>
                <w:b/>
                <w:bCs/>
                <w:color w:val="FFFFFF"/>
                <w:sz w:val="20"/>
                <w:szCs w:val="20"/>
              </w:rPr>
            </w:pPr>
            <w:r w:rsidRPr="007A4047">
              <w:rPr>
                <w:rFonts w:ascii="Arial" w:eastAsia="Calibri" w:hAnsi="Arial" w:cs="Arial"/>
                <w:b/>
                <w:bCs/>
                <w:color w:val="FFFFFF"/>
                <w:sz w:val="20"/>
                <w:szCs w:val="20"/>
              </w:rPr>
              <w:t>Analysis</w:t>
            </w:r>
          </w:p>
        </w:tc>
      </w:tr>
      <w:tr w:rsidR="00B62C65" w:rsidRPr="007A4047" w:rsidTr="0069016A">
        <w:tc>
          <w:tcPr>
            <w:tcW w:w="3428" w:type="dxa"/>
            <w:tcBorders>
              <w:bottom w:val="single" w:sz="4" w:space="0" w:color="auto"/>
            </w:tcBorders>
            <w:shd w:val="clear" w:color="auto" w:fill="auto"/>
          </w:tcPr>
          <w:p w:rsidR="00B62C65" w:rsidRPr="007A4047" w:rsidRDefault="00B62C65" w:rsidP="00EA2E39">
            <w:pPr>
              <w:pStyle w:val="Default"/>
              <w:rPr>
                <w:rFonts w:ascii="Arial" w:hAnsi="Arial" w:cs="Arial"/>
                <w:b/>
                <w:sz w:val="20"/>
                <w:szCs w:val="20"/>
              </w:rPr>
            </w:pPr>
            <w:r w:rsidRPr="007A4047">
              <w:rPr>
                <w:rFonts w:ascii="Arial" w:hAnsi="Arial" w:cs="Arial"/>
                <w:sz w:val="20"/>
                <w:szCs w:val="20"/>
              </w:rPr>
              <w:t>Ability of investor to use its power to affect the investor’s returns from its involvement with the investee</w:t>
            </w:r>
          </w:p>
        </w:tc>
        <w:tc>
          <w:tcPr>
            <w:tcW w:w="6384" w:type="dxa"/>
            <w:tcBorders>
              <w:bottom w:val="single" w:sz="4" w:space="0" w:color="auto"/>
            </w:tcBorders>
            <w:shd w:val="clear" w:color="auto" w:fill="auto"/>
          </w:tcPr>
          <w:p w:rsidR="007102BC" w:rsidRDefault="007102BC" w:rsidP="00EA2E39">
            <w:pPr>
              <w:pStyle w:val="ListParagraph"/>
              <w:spacing w:after="200" w:line="276" w:lineRule="auto"/>
              <w:ind w:left="0"/>
              <w:rPr>
                <w:rFonts w:ascii="Arial" w:hAnsi="Arial" w:cs="Arial"/>
                <w:sz w:val="20"/>
                <w:szCs w:val="20"/>
              </w:rPr>
            </w:pPr>
            <w:r w:rsidRPr="00EA18AC">
              <w:rPr>
                <w:rFonts w:ascii="Arial" w:hAnsi="Arial" w:cs="Arial"/>
                <w:sz w:val="20"/>
                <w:szCs w:val="20"/>
              </w:rPr>
              <w:t xml:space="preserve">OPG needs to have both power over the </w:t>
            </w:r>
            <w:r w:rsidR="00345DA6" w:rsidRPr="00EA18AC">
              <w:rPr>
                <w:rFonts w:ascii="Arial" w:hAnsi="Arial" w:cs="Arial"/>
                <w:sz w:val="20"/>
                <w:szCs w:val="20"/>
              </w:rPr>
              <w:t>Trust</w:t>
            </w:r>
            <w:r w:rsidRPr="00EA18AC">
              <w:rPr>
                <w:rFonts w:ascii="Arial" w:hAnsi="Arial" w:cs="Arial"/>
                <w:sz w:val="20"/>
                <w:szCs w:val="20"/>
              </w:rPr>
              <w:t xml:space="preserve"> (i.e. as a Principal, not an agent), exposure or rights to the variable returns from the </w:t>
            </w:r>
            <w:r w:rsidR="00345DA6" w:rsidRPr="00EA18AC">
              <w:rPr>
                <w:rFonts w:ascii="Arial" w:hAnsi="Arial" w:cs="Arial"/>
                <w:sz w:val="20"/>
                <w:szCs w:val="20"/>
              </w:rPr>
              <w:t>Trust</w:t>
            </w:r>
            <w:r w:rsidRPr="00EA18AC">
              <w:rPr>
                <w:rFonts w:ascii="Arial" w:hAnsi="Arial" w:cs="Arial"/>
                <w:sz w:val="20"/>
                <w:szCs w:val="20"/>
              </w:rPr>
              <w:t xml:space="preserve">, and the ability to use its power to affect OPG’s returns from its involvement with the </w:t>
            </w:r>
            <w:r w:rsidR="00345DA6" w:rsidRPr="00EA18AC">
              <w:rPr>
                <w:rFonts w:ascii="Arial" w:hAnsi="Arial" w:cs="Arial"/>
                <w:sz w:val="20"/>
                <w:szCs w:val="20"/>
              </w:rPr>
              <w:t>Trust</w:t>
            </w:r>
          </w:p>
          <w:p w:rsidR="009E6554" w:rsidRDefault="009E6554" w:rsidP="00EA2E39">
            <w:pPr>
              <w:pStyle w:val="ListParagraph"/>
              <w:spacing w:after="200" w:line="276" w:lineRule="auto"/>
              <w:ind w:left="0"/>
              <w:rPr>
                <w:rFonts w:ascii="Arial" w:hAnsi="Arial" w:cs="Arial"/>
                <w:b/>
                <w:sz w:val="20"/>
                <w:szCs w:val="20"/>
                <w:lang w:val="en-CA"/>
              </w:rPr>
            </w:pPr>
          </w:p>
          <w:p w:rsidR="00B62C65" w:rsidRDefault="009E6554" w:rsidP="009E6554">
            <w:pPr>
              <w:pStyle w:val="ListParagraph"/>
              <w:spacing w:after="200" w:line="276" w:lineRule="auto"/>
              <w:ind w:left="0"/>
              <w:rPr>
                <w:rFonts w:ascii="Arial" w:hAnsi="Arial" w:cs="Arial"/>
                <w:sz w:val="20"/>
                <w:szCs w:val="20"/>
                <w:lang w:val="en-CA"/>
              </w:rPr>
            </w:pPr>
            <w:r w:rsidRPr="009E6554">
              <w:rPr>
                <w:rFonts w:ascii="Arial" w:hAnsi="Arial" w:cs="Arial"/>
                <w:sz w:val="20"/>
                <w:szCs w:val="20"/>
                <w:lang w:val="en-CA"/>
              </w:rPr>
              <w:t>OPG has the</w:t>
            </w:r>
            <w:r>
              <w:rPr>
                <w:rFonts w:ascii="Arial" w:hAnsi="Arial" w:cs="Arial"/>
                <w:sz w:val="20"/>
                <w:szCs w:val="20"/>
                <w:lang w:val="en-CA"/>
              </w:rPr>
              <w:t xml:space="preserve"> ability to use its power over the relevant activities of the </w:t>
            </w:r>
            <w:r>
              <w:rPr>
                <w:rFonts w:ascii="Arial" w:hAnsi="Arial" w:cs="Arial"/>
                <w:sz w:val="20"/>
                <w:szCs w:val="20"/>
                <w:lang w:val="en-CA"/>
              </w:rPr>
              <w:lastRenderedPageBreak/>
              <w:t>Trust to affect its returns from its involvement with the Trust through the variable fee component.</w:t>
            </w:r>
          </w:p>
          <w:p w:rsidR="006570EA" w:rsidRDefault="006570EA" w:rsidP="009E6554">
            <w:pPr>
              <w:pStyle w:val="ListParagraph"/>
              <w:spacing w:after="200" w:line="276" w:lineRule="auto"/>
              <w:ind w:left="0"/>
              <w:rPr>
                <w:rFonts w:ascii="Arial" w:hAnsi="Arial" w:cs="Arial"/>
                <w:sz w:val="20"/>
                <w:szCs w:val="20"/>
                <w:lang w:val="en-CA"/>
              </w:rPr>
            </w:pPr>
          </w:p>
          <w:p w:rsidR="006570EA" w:rsidRPr="009E6554" w:rsidRDefault="006570EA" w:rsidP="009E6554">
            <w:pPr>
              <w:pStyle w:val="ListParagraph"/>
              <w:spacing w:after="200" w:line="276" w:lineRule="auto"/>
              <w:ind w:left="0"/>
              <w:rPr>
                <w:rFonts w:ascii="Arial" w:hAnsi="Arial" w:cs="Arial"/>
                <w:sz w:val="20"/>
                <w:szCs w:val="20"/>
                <w:lang w:val="en-CA"/>
              </w:rPr>
            </w:pPr>
            <w:r>
              <w:rPr>
                <w:rFonts w:ascii="Arial" w:hAnsi="Arial" w:cs="Arial"/>
                <w:sz w:val="20"/>
                <w:szCs w:val="20"/>
                <w:lang w:val="en-CA"/>
              </w:rPr>
              <w:t xml:space="preserve">Further, the Trust’s ability to use its power to affect returns is in a manner that is consistent with being a principal.  See </w:t>
            </w:r>
            <w:r w:rsidRPr="006570EA">
              <w:rPr>
                <w:rFonts w:ascii="Arial" w:hAnsi="Arial" w:cs="Arial"/>
                <w:i/>
                <w:sz w:val="20"/>
                <w:szCs w:val="20"/>
                <w:lang w:val="en-CA"/>
              </w:rPr>
              <w:t xml:space="preserve">Appendix </w:t>
            </w:r>
            <w:r w:rsidR="00F13FA2">
              <w:rPr>
                <w:rFonts w:ascii="Arial" w:hAnsi="Arial" w:cs="Arial"/>
                <w:i/>
                <w:sz w:val="20"/>
                <w:szCs w:val="20"/>
                <w:lang w:val="en-CA"/>
              </w:rPr>
              <w:t>B</w:t>
            </w:r>
            <w:r>
              <w:rPr>
                <w:rFonts w:ascii="Arial" w:hAnsi="Arial" w:cs="Arial"/>
                <w:sz w:val="20"/>
                <w:szCs w:val="20"/>
                <w:lang w:val="en-CA"/>
              </w:rPr>
              <w:t xml:space="preserve"> for Principal-Agent analysis.</w:t>
            </w:r>
          </w:p>
        </w:tc>
      </w:tr>
      <w:tr w:rsidR="00EA2E39" w:rsidRPr="007A4047" w:rsidTr="0069016A">
        <w:tc>
          <w:tcPr>
            <w:tcW w:w="9812" w:type="dxa"/>
            <w:gridSpan w:val="2"/>
            <w:tcBorders>
              <w:bottom w:val="single" w:sz="4" w:space="0" w:color="auto"/>
            </w:tcBorders>
            <w:shd w:val="clear" w:color="auto" w:fill="auto"/>
            <w:vAlign w:val="center"/>
          </w:tcPr>
          <w:p w:rsidR="00B62C65" w:rsidRPr="00EA18AC" w:rsidRDefault="00B62C65" w:rsidP="00EA2E39">
            <w:pPr>
              <w:rPr>
                <w:rFonts w:ascii="Arial" w:eastAsia="Calibri" w:hAnsi="Arial" w:cs="Arial"/>
                <w:sz w:val="20"/>
                <w:szCs w:val="20"/>
                <w:highlight w:val="yellow"/>
              </w:rPr>
            </w:pPr>
          </w:p>
        </w:tc>
      </w:tr>
      <w:tr w:rsidR="00EA2E39" w:rsidRPr="007A4047" w:rsidTr="0069016A">
        <w:tc>
          <w:tcPr>
            <w:tcW w:w="3428" w:type="dxa"/>
            <w:shd w:val="clear" w:color="auto" w:fill="FFFFFF"/>
            <w:vAlign w:val="center"/>
          </w:tcPr>
          <w:p w:rsidR="00B62C65" w:rsidRPr="007A4047" w:rsidRDefault="00B62C65" w:rsidP="00EA2E39">
            <w:pPr>
              <w:rPr>
                <w:rFonts w:ascii="Arial" w:eastAsia="Calibri" w:hAnsi="Arial" w:cs="Arial"/>
                <w:b/>
                <w:bCs/>
                <w:sz w:val="20"/>
                <w:szCs w:val="20"/>
              </w:rPr>
            </w:pPr>
            <w:r w:rsidRPr="007A4047">
              <w:rPr>
                <w:rFonts w:ascii="Arial" w:eastAsia="Calibri" w:hAnsi="Arial" w:cs="Arial"/>
                <w:b/>
                <w:bCs/>
                <w:sz w:val="20"/>
                <w:szCs w:val="20"/>
              </w:rPr>
              <w:t>Assessment</w:t>
            </w:r>
          </w:p>
        </w:tc>
        <w:tc>
          <w:tcPr>
            <w:tcW w:w="6384" w:type="dxa"/>
            <w:shd w:val="clear" w:color="auto" w:fill="auto"/>
            <w:vAlign w:val="center"/>
          </w:tcPr>
          <w:p w:rsidR="00B62C65" w:rsidRPr="00EA18AC" w:rsidRDefault="00617B7C" w:rsidP="009E6554">
            <w:pPr>
              <w:rPr>
                <w:rFonts w:ascii="Arial" w:eastAsia="Calibri" w:hAnsi="Arial" w:cs="Arial"/>
                <w:sz w:val="20"/>
                <w:szCs w:val="20"/>
              </w:rPr>
            </w:pPr>
            <w:r w:rsidRPr="00EA18AC">
              <w:rPr>
                <w:rFonts w:ascii="Arial" w:eastAsia="Calibri" w:hAnsi="Arial" w:cs="Arial"/>
                <w:sz w:val="20"/>
                <w:szCs w:val="20"/>
              </w:rPr>
              <w:t xml:space="preserve">OPG </w:t>
            </w:r>
            <w:r w:rsidR="009E6554">
              <w:rPr>
                <w:rFonts w:ascii="Arial" w:eastAsia="Calibri" w:hAnsi="Arial" w:cs="Arial"/>
                <w:sz w:val="20"/>
                <w:szCs w:val="20"/>
              </w:rPr>
              <w:t>has</w:t>
            </w:r>
            <w:r w:rsidRPr="00EA18AC">
              <w:rPr>
                <w:rFonts w:ascii="Arial" w:eastAsia="Calibri" w:hAnsi="Arial" w:cs="Arial"/>
                <w:sz w:val="20"/>
                <w:szCs w:val="20"/>
              </w:rPr>
              <w:t xml:space="preserve"> the ability to use its power to affect returns of the </w:t>
            </w:r>
            <w:r w:rsidR="00345DA6" w:rsidRPr="00EA18AC">
              <w:rPr>
                <w:rFonts w:ascii="Arial" w:eastAsia="Calibri" w:hAnsi="Arial" w:cs="Arial"/>
                <w:sz w:val="20"/>
                <w:szCs w:val="20"/>
              </w:rPr>
              <w:t>Trust</w:t>
            </w:r>
            <w:r w:rsidRPr="00EA18AC">
              <w:rPr>
                <w:rFonts w:ascii="Arial" w:eastAsia="Calibri" w:hAnsi="Arial" w:cs="Arial"/>
                <w:sz w:val="20"/>
                <w:szCs w:val="20"/>
              </w:rPr>
              <w:t xml:space="preserve">. </w:t>
            </w:r>
          </w:p>
        </w:tc>
      </w:tr>
    </w:tbl>
    <w:p w:rsidR="00DE1E3F" w:rsidRDefault="00DE1E3F" w:rsidP="00480F22">
      <w:pPr>
        <w:jc w:val="both"/>
        <w:rPr>
          <w:rFonts w:ascii="Calibri" w:hAnsi="Calibri"/>
          <w:b/>
          <w:color w:val="000000"/>
          <w:lang w:val="en-US"/>
        </w:rPr>
      </w:pPr>
    </w:p>
    <w:p w:rsidR="00EF1A21" w:rsidRPr="00754342" w:rsidRDefault="00EF1A21" w:rsidP="00EF1A21">
      <w:pPr>
        <w:rPr>
          <w:rFonts w:ascii="Arial" w:hAnsi="Arial" w:cs="Arial"/>
          <w:b/>
          <w:color w:val="000000"/>
          <w:sz w:val="22"/>
          <w:szCs w:val="22"/>
          <w:lang w:val="en-US"/>
        </w:rPr>
      </w:pPr>
      <w:r w:rsidRPr="00754342">
        <w:rPr>
          <w:rFonts w:ascii="Arial" w:hAnsi="Arial" w:cs="Arial"/>
          <w:b/>
          <w:color w:val="000000"/>
          <w:sz w:val="22"/>
          <w:szCs w:val="22"/>
          <w:lang w:val="en-US"/>
        </w:rPr>
        <w:t>Conclusion:</w:t>
      </w:r>
    </w:p>
    <w:p w:rsidR="00EF1A21" w:rsidRPr="00754342" w:rsidRDefault="00EF1A21" w:rsidP="00EF1A21">
      <w:pPr>
        <w:rPr>
          <w:rFonts w:ascii="Arial" w:hAnsi="Arial" w:cs="Arial"/>
          <w:b/>
          <w:color w:val="000000"/>
          <w:sz w:val="22"/>
          <w:szCs w:val="22"/>
          <w:lang w:val="en-US"/>
        </w:rPr>
      </w:pPr>
    </w:p>
    <w:p w:rsidR="00022E50" w:rsidRPr="00754342" w:rsidRDefault="00EF1A21" w:rsidP="00EF1A21">
      <w:pPr>
        <w:rPr>
          <w:rFonts w:ascii="Arial" w:hAnsi="Arial" w:cs="Arial"/>
          <w:color w:val="000000"/>
          <w:sz w:val="22"/>
          <w:szCs w:val="22"/>
          <w:lang w:val="en-US"/>
        </w:rPr>
      </w:pPr>
      <w:r w:rsidRPr="00754342">
        <w:rPr>
          <w:rFonts w:ascii="Arial" w:hAnsi="Arial" w:cs="Arial"/>
          <w:color w:val="000000"/>
          <w:sz w:val="22"/>
          <w:szCs w:val="22"/>
          <w:lang w:val="en-US"/>
        </w:rPr>
        <w:t>Based</w:t>
      </w:r>
      <w:r w:rsidR="00316B65" w:rsidRPr="00754342">
        <w:rPr>
          <w:rFonts w:ascii="Arial" w:hAnsi="Arial" w:cs="Arial"/>
          <w:color w:val="000000"/>
          <w:sz w:val="22"/>
          <w:szCs w:val="22"/>
          <w:lang w:val="en-US"/>
        </w:rPr>
        <w:t xml:space="preserve"> on the current </w:t>
      </w:r>
      <w:r w:rsidR="00A9640C" w:rsidRPr="00754342">
        <w:rPr>
          <w:rFonts w:ascii="Arial" w:hAnsi="Arial" w:cs="Arial"/>
          <w:b/>
          <w:color w:val="000000"/>
          <w:sz w:val="22"/>
          <w:szCs w:val="22"/>
          <w:lang w:val="en-US"/>
        </w:rPr>
        <w:t>[May 1,</w:t>
      </w:r>
      <w:r w:rsidR="00316B65" w:rsidRPr="00754342">
        <w:rPr>
          <w:rFonts w:ascii="Arial" w:hAnsi="Arial" w:cs="Arial"/>
          <w:b/>
          <w:color w:val="000000"/>
          <w:sz w:val="22"/>
          <w:szCs w:val="22"/>
          <w:lang w:val="en-US"/>
        </w:rPr>
        <w:t xml:space="preserve"> 2017]</w:t>
      </w:r>
      <w:r w:rsidRPr="00754342">
        <w:rPr>
          <w:rFonts w:ascii="Arial" w:hAnsi="Arial" w:cs="Arial"/>
          <w:b/>
          <w:color w:val="000000"/>
          <w:sz w:val="22"/>
          <w:szCs w:val="22"/>
          <w:lang w:val="en-US"/>
        </w:rPr>
        <w:t xml:space="preserve"> </w:t>
      </w:r>
      <w:r w:rsidRPr="00754342">
        <w:rPr>
          <w:rFonts w:ascii="Arial" w:hAnsi="Arial" w:cs="Arial"/>
          <w:color w:val="000000"/>
          <w:sz w:val="22"/>
          <w:szCs w:val="22"/>
          <w:lang w:val="en-US"/>
        </w:rPr>
        <w:t xml:space="preserve">draft of the legislation, the conditions to ensure the ability of OPG to consolidate the operations of the </w:t>
      </w:r>
      <w:r w:rsidR="00392EDF" w:rsidRPr="00754342">
        <w:rPr>
          <w:rFonts w:ascii="Arial" w:hAnsi="Arial" w:cs="Arial"/>
          <w:color w:val="000000"/>
          <w:sz w:val="22"/>
          <w:szCs w:val="22"/>
          <w:lang w:val="en-US"/>
        </w:rPr>
        <w:t xml:space="preserve">Trust </w:t>
      </w:r>
      <w:r w:rsidRPr="00754342">
        <w:rPr>
          <w:rFonts w:ascii="Arial" w:hAnsi="Arial" w:cs="Arial"/>
          <w:color w:val="000000"/>
          <w:sz w:val="22"/>
          <w:szCs w:val="22"/>
          <w:lang w:val="en-US"/>
        </w:rPr>
        <w:t>have not fully been reflected.  As noted in Appendix A, several conditions must be evident in the Regulations</w:t>
      </w:r>
      <w:r w:rsidR="00012649" w:rsidRPr="00754342">
        <w:rPr>
          <w:rFonts w:ascii="Arial" w:hAnsi="Arial" w:cs="Arial"/>
          <w:color w:val="000000"/>
          <w:sz w:val="22"/>
          <w:szCs w:val="22"/>
          <w:lang w:val="en-US"/>
        </w:rPr>
        <w:t xml:space="preserve">, </w:t>
      </w:r>
      <w:r w:rsidR="00392EDF" w:rsidRPr="00754342">
        <w:rPr>
          <w:rFonts w:ascii="Arial" w:hAnsi="Arial" w:cs="Arial"/>
          <w:color w:val="000000"/>
          <w:sz w:val="22"/>
          <w:szCs w:val="22"/>
          <w:lang w:val="en-US"/>
        </w:rPr>
        <w:t xml:space="preserve">Trust </w:t>
      </w:r>
      <w:r w:rsidRPr="00754342">
        <w:rPr>
          <w:rFonts w:ascii="Arial" w:hAnsi="Arial" w:cs="Arial"/>
          <w:color w:val="000000"/>
          <w:sz w:val="22"/>
          <w:szCs w:val="22"/>
          <w:lang w:val="en-US"/>
        </w:rPr>
        <w:t>documents</w:t>
      </w:r>
      <w:r w:rsidR="009B00AB" w:rsidRPr="00754342">
        <w:rPr>
          <w:rFonts w:ascii="Arial" w:hAnsi="Arial" w:cs="Arial"/>
          <w:color w:val="000000"/>
          <w:sz w:val="22"/>
          <w:szCs w:val="22"/>
          <w:lang w:val="en-US"/>
        </w:rPr>
        <w:t xml:space="preserve">, </w:t>
      </w:r>
      <w:r w:rsidR="00012649" w:rsidRPr="00754342">
        <w:rPr>
          <w:rFonts w:ascii="Arial" w:hAnsi="Arial" w:cs="Arial"/>
          <w:color w:val="000000"/>
          <w:sz w:val="22"/>
          <w:szCs w:val="22"/>
          <w:lang w:val="en-US"/>
        </w:rPr>
        <w:t xml:space="preserve">and various other agreements </w:t>
      </w:r>
      <w:r w:rsidR="009B00AB" w:rsidRPr="00754342">
        <w:rPr>
          <w:rFonts w:ascii="Arial" w:hAnsi="Arial" w:cs="Arial"/>
          <w:color w:val="000000"/>
          <w:sz w:val="22"/>
          <w:szCs w:val="22"/>
          <w:lang w:val="en-US"/>
        </w:rPr>
        <w:t>which are not yet drafted and therefore not yet available for our review and assessment</w:t>
      </w:r>
      <w:r w:rsidRPr="00754342">
        <w:rPr>
          <w:rFonts w:ascii="Arial" w:hAnsi="Arial" w:cs="Arial"/>
          <w:color w:val="000000"/>
          <w:sz w:val="22"/>
          <w:szCs w:val="22"/>
          <w:lang w:val="en-US"/>
        </w:rPr>
        <w:t>.  In OPG’s assessment, while no current clause of the Legislation would hamper the ability to effect a consolidation within OPG Inc</w:t>
      </w:r>
      <w:r w:rsidR="00162B26" w:rsidRPr="00754342">
        <w:rPr>
          <w:rFonts w:ascii="Arial" w:hAnsi="Arial" w:cs="Arial"/>
          <w:color w:val="000000"/>
          <w:sz w:val="22"/>
          <w:szCs w:val="22"/>
          <w:lang w:val="en-US"/>
        </w:rPr>
        <w:t>.</w:t>
      </w:r>
      <w:r w:rsidRPr="00754342">
        <w:rPr>
          <w:rFonts w:ascii="Arial" w:hAnsi="Arial" w:cs="Arial"/>
          <w:color w:val="000000"/>
          <w:sz w:val="22"/>
          <w:szCs w:val="22"/>
          <w:lang w:val="en-US"/>
        </w:rPr>
        <w:t xml:space="preserve">’s financial statements, there are several key conditions </w:t>
      </w:r>
      <w:r w:rsidR="009B00AB" w:rsidRPr="00754342">
        <w:rPr>
          <w:rFonts w:ascii="Arial" w:hAnsi="Arial" w:cs="Arial"/>
          <w:color w:val="000000"/>
          <w:sz w:val="22"/>
          <w:szCs w:val="22"/>
          <w:lang w:val="en-US"/>
        </w:rPr>
        <w:t xml:space="preserve">for consolidation </w:t>
      </w:r>
      <w:r w:rsidRPr="00754342">
        <w:rPr>
          <w:rFonts w:ascii="Arial" w:hAnsi="Arial" w:cs="Arial"/>
          <w:color w:val="000000"/>
          <w:sz w:val="22"/>
          <w:szCs w:val="22"/>
          <w:lang w:val="en-US"/>
        </w:rPr>
        <w:t xml:space="preserve">that are currently </w:t>
      </w:r>
      <w:r w:rsidR="009B00AB" w:rsidRPr="00754342">
        <w:rPr>
          <w:rFonts w:ascii="Arial" w:hAnsi="Arial" w:cs="Arial"/>
          <w:color w:val="000000"/>
          <w:sz w:val="22"/>
          <w:szCs w:val="22"/>
          <w:lang w:val="en-US"/>
        </w:rPr>
        <w:t xml:space="preserve">not present </w:t>
      </w:r>
      <w:r w:rsidRPr="00754342">
        <w:rPr>
          <w:rFonts w:ascii="Arial" w:hAnsi="Arial" w:cs="Arial"/>
          <w:color w:val="000000"/>
          <w:sz w:val="22"/>
          <w:szCs w:val="22"/>
          <w:lang w:val="en-US"/>
        </w:rPr>
        <w:t>within the Legislation.  On the assump</w:t>
      </w:r>
      <w:r w:rsidR="00F46FED" w:rsidRPr="00754342">
        <w:rPr>
          <w:rFonts w:ascii="Arial" w:hAnsi="Arial" w:cs="Arial"/>
          <w:color w:val="000000"/>
          <w:sz w:val="22"/>
          <w:szCs w:val="22"/>
          <w:lang w:val="en-US"/>
        </w:rPr>
        <w:t xml:space="preserve">tion that future Regulations, </w:t>
      </w:r>
      <w:r w:rsidRPr="00754342">
        <w:rPr>
          <w:rFonts w:ascii="Arial" w:hAnsi="Arial" w:cs="Arial"/>
          <w:color w:val="000000"/>
          <w:sz w:val="22"/>
          <w:szCs w:val="22"/>
          <w:lang w:val="en-US"/>
        </w:rPr>
        <w:t>T</w:t>
      </w:r>
      <w:r w:rsidR="00392EDF" w:rsidRPr="00754342">
        <w:rPr>
          <w:rFonts w:ascii="Arial" w:hAnsi="Arial" w:cs="Arial"/>
          <w:color w:val="000000"/>
          <w:sz w:val="22"/>
          <w:szCs w:val="22"/>
          <w:lang w:val="en-US"/>
        </w:rPr>
        <w:t>rust</w:t>
      </w:r>
      <w:r w:rsidRPr="00754342">
        <w:rPr>
          <w:rFonts w:ascii="Arial" w:hAnsi="Arial" w:cs="Arial"/>
          <w:color w:val="000000"/>
          <w:sz w:val="22"/>
          <w:szCs w:val="22"/>
          <w:lang w:val="en-US"/>
        </w:rPr>
        <w:t xml:space="preserve"> documents </w:t>
      </w:r>
      <w:r w:rsidR="00F46FED" w:rsidRPr="00754342">
        <w:rPr>
          <w:rFonts w:ascii="Arial" w:hAnsi="Arial" w:cs="Arial"/>
          <w:color w:val="000000"/>
          <w:sz w:val="22"/>
          <w:szCs w:val="22"/>
          <w:lang w:val="en-US"/>
        </w:rPr>
        <w:t xml:space="preserve">and various other agreements </w:t>
      </w:r>
      <w:r w:rsidRPr="00754342">
        <w:rPr>
          <w:rFonts w:ascii="Arial" w:hAnsi="Arial" w:cs="Arial"/>
          <w:color w:val="000000"/>
          <w:sz w:val="22"/>
          <w:szCs w:val="22"/>
          <w:u w:val="single"/>
          <w:lang w:val="en-US"/>
        </w:rPr>
        <w:t xml:space="preserve">fully </w:t>
      </w:r>
      <w:r w:rsidRPr="00754342">
        <w:rPr>
          <w:rFonts w:ascii="Arial" w:hAnsi="Arial" w:cs="Arial"/>
          <w:color w:val="000000"/>
          <w:sz w:val="22"/>
          <w:szCs w:val="22"/>
          <w:lang w:val="en-US"/>
        </w:rPr>
        <w:t xml:space="preserve">capture these operating conditions, </w:t>
      </w:r>
      <w:r w:rsidR="00BB369C" w:rsidRPr="00754342">
        <w:rPr>
          <w:rFonts w:ascii="Arial" w:hAnsi="Arial" w:cs="Arial"/>
          <w:color w:val="000000"/>
          <w:sz w:val="22"/>
          <w:szCs w:val="22"/>
          <w:lang w:val="en-US"/>
        </w:rPr>
        <w:t xml:space="preserve">and that no new conditions that would conflict with OPG’s control of the trust are introduced, </w:t>
      </w:r>
      <w:r w:rsidRPr="00754342">
        <w:rPr>
          <w:rFonts w:ascii="Arial" w:hAnsi="Arial" w:cs="Arial"/>
          <w:color w:val="000000"/>
          <w:sz w:val="22"/>
          <w:szCs w:val="22"/>
          <w:lang w:val="en-US"/>
        </w:rPr>
        <w:t xml:space="preserve">OPG believes that consolidation of the </w:t>
      </w:r>
      <w:r w:rsidR="00392EDF" w:rsidRPr="00754342">
        <w:rPr>
          <w:rFonts w:ascii="Arial" w:hAnsi="Arial" w:cs="Arial"/>
          <w:color w:val="000000"/>
          <w:sz w:val="22"/>
          <w:szCs w:val="22"/>
          <w:lang w:val="en-US"/>
        </w:rPr>
        <w:t>Trust</w:t>
      </w:r>
      <w:r w:rsidRPr="00754342">
        <w:rPr>
          <w:rFonts w:ascii="Arial" w:hAnsi="Arial" w:cs="Arial"/>
          <w:color w:val="000000"/>
          <w:sz w:val="22"/>
          <w:szCs w:val="22"/>
          <w:lang w:val="en-US"/>
        </w:rPr>
        <w:t xml:space="preserve"> is supportable.</w:t>
      </w:r>
    </w:p>
    <w:p w:rsidR="00EF1A21" w:rsidRPr="00EF1A21" w:rsidRDefault="00EF1A21">
      <w:pPr>
        <w:rPr>
          <w:rFonts w:ascii="Arial" w:hAnsi="Arial" w:cs="Arial"/>
          <w:color w:val="000000"/>
          <w:sz w:val="20"/>
          <w:szCs w:val="20"/>
          <w:lang w:val="en-US"/>
        </w:rPr>
      </w:pPr>
      <w:r w:rsidRPr="00EF1A21">
        <w:rPr>
          <w:rFonts w:ascii="Arial" w:hAnsi="Arial" w:cs="Arial"/>
          <w:color w:val="000000"/>
          <w:sz w:val="20"/>
          <w:szCs w:val="20"/>
          <w:lang w:val="en-US"/>
        </w:rPr>
        <w:br w:type="page"/>
      </w:r>
    </w:p>
    <w:p w:rsidR="00884095" w:rsidRPr="00EC4B13" w:rsidRDefault="00EC4B13" w:rsidP="00EC4B13">
      <w:pPr>
        <w:autoSpaceDE w:val="0"/>
        <w:autoSpaceDN w:val="0"/>
        <w:adjustRightInd w:val="0"/>
        <w:rPr>
          <w:rFonts w:ascii="Calibri" w:hAnsi="Calibri"/>
          <w:b/>
          <w:color w:val="000000"/>
          <w:lang w:val="en-US"/>
        </w:rPr>
      </w:pPr>
      <w:r w:rsidRPr="00EC4B13">
        <w:rPr>
          <w:rFonts w:ascii="Calibri" w:hAnsi="Calibri"/>
          <w:b/>
          <w:color w:val="000000"/>
          <w:lang w:val="en-US"/>
        </w:rPr>
        <w:lastRenderedPageBreak/>
        <w:t>APPENDIX A:</w:t>
      </w:r>
    </w:p>
    <w:p w:rsidR="00EC4B13" w:rsidRDefault="00EC4B13" w:rsidP="00AF0D2D">
      <w:pPr>
        <w:autoSpaceDE w:val="0"/>
        <w:autoSpaceDN w:val="0"/>
        <w:adjustRightInd w:val="0"/>
        <w:rPr>
          <w:color w:val="000000"/>
          <w:sz w:val="20"/>
          <w:szCs w:val="20"/>
          <w:lang w:val="en-US"/>
        </w:rPr>
      </w:pPr>
    </w:p>
    <w:p w:rsidR="00E94379" w:rsidRDefault="00E94379" w:rsidP="00E94379">
      <w:pPr>
        <w:jc w:val="center"/>
        <w:rPr>
          <w:b/>
        </w:rPr>
      </w:pPr>
      <w:r w:rsidRPr="00EC4B13">
        <w:rPr>
          <w:b/>
        </w:rPr>
        <w:t>Terms necessary for OPG to consolidate the Global Adjustment Trust</w:t>
      </w:r>
    </w:p>
    <w:p w:rsidR="001F021D" w:rsidRDefault="001F021D" w:rsidP="00E94379">
      <w:pPr>
        <w:jc w:val="center"/>
        <w:rPr>
          <w:rFonts w:ascii="Arial" w:hAnsi="Arial" w:cs="Arial"/>
          <w:b/>
          <w:sz w:val="20"/>
          <w:szCs w:val="20"/>
        </w:rPr>
      </w:pPr>
    </w:p>
    <w:p w:rsidR="001F021D" w:rsidRPr="001F021D" w:rsidRDefault="001F021D" w:rsidP="001F021D">
      <w:pPr>
        <w:pStyle w:val="ListParagraph"/>
        <w:ind w:left="0"/>
        <w:rPr>
          <w:rFonts w:ascii="Arial" w:hAnsi="Arial" w:cs="Arial"/>
          <w:i/>
          <w:sz w:val="20"/>
          <w:szCs w:val="20"/>
        </w:rPr>
      </w:pPr>
      <w:r>
        <w:rPr>
          <w:rFonts w:ascii="Arial" w:hAnsi="Arial" w:cs="Arial"/>
          <w:i/>
          <w:sz w:val="20"/>
          <w:szCs w:val="20"/>
        </w:rPr>
        <w:t xml:space="preserve">Note that these are </w:t>
      </w:r>
      <w:r w:rsidRPr="00F55725">
        <w:rPr>
          <w:rFonts w:ascii="Arial" w:hAnsi="Arial" w:cs="Arial"/>
          <w:i/>
          <w:sz w:val="20"/>
          <w:szCs w:val="20"/>
        </w:rPr>
        <w:t xml:space="preserve">assessed against the Legislation proposal </w:t>
      </w:r>
      <w:r w:rsidR="00F55725">
        <w:rPr>
          <w:rFonts w:ascii="Arial" w:hAnsi="Arial" w:cs="Arial"/>
          <w:i/>
          <w:sz w:val="20"/>
          <w:szCs w:val="20"/>
        </w:rPr>
        <w:t>‘</w:t>
      </w:r>
      <w:r w:rsidR="00F55725" w:rsidRPr="00F55725">
        <w:rPr>
          <w:rFonts w:ascii="Arial" w:hAnsi="Arial" w:cs="Arial"/>
          <w:i/>
          <w:sz w:val="20"/>
          <w:szCs w:val="20"/>
        </w:rPr>
        <w:t xml:space="preserve">Ontario Fair Hydro Plan Act, 2017, if enacted V6’ </w:t>
      </w:r>
      <w:r w:rsidR="00392EDF">
        <w:rPr>
          <w:rFonts w:ascii="Arial" w:hAnsi="Arial" w:cs="Arial"/>
          <w:i/>
          <w:sz w:val="20"/>
          <w:szCs w:val="20"/>
        </w:rPr>
        <w:t>sent by Carolyn Calwell on May 1</w:t>
      </w:r>
      <w:r w:rsidR="00F55725" w:rsidRPr="00F55725">
        <w:rPr>
          <w:rFonts w:ascii="Arial" w:hAnsi="Arial" w:cs="Arial"/>
          <w:i/>
          <w:sz w:val="20"/>
          <w:szCs w:val="20"/>
        </w:rPr>
        <w:t>, 2017</w:t>
      </w:r>
      <w:r w:rsidRPr="00F55725">
        <w:rPr>
          <w:rFonts w:ascii="Arial" w:hAnsi="Arial" w:cs="Arial"/>
          <w:i/>
          <w:sz w:val="20"/>
          <w:szCs w:val="20"/>
        </w:rPr>
        <w:t>.  These</w:t>
      </w:r>
      <w:r>
        <w:rPr>
          <w:rFonts w:ascii="Arial" w:hAnsi="Arial" w:cs="Arial"/>
          <w:i/>
          <w:sz w:val="20"/>
          <w:szCs w:val="20"/>
        </w:rPr>
        <w:t xml:space="preserve"> are subject to change as subsequent drafts of the Legislation are issued.  </w:t>
      </w:r>
    </w:p>
    <w:p w:rsidR="00AA6C8D" w:rsidRDefault="00D269E3" w:rsidP="00E94379">
      <w:pPr>
        <w:jc w:val="center"/>
        <w:rPr>
          <w:rFonts w:ascii="Arial" w:hAnsi="Arial" w:cs="Arial"/>
          <w:b/>
          <w:sz w:val="20"/>
          <w:szCs w:val="20"/>
        </w:rPr>
      </w:pPr>
      <w:r>
        <w:rPr>
          <w:rFonts w:ascii="Arial" w:hAnsi="Arial" w:cs="Arial"/>
          <w:b/>
          <w:noProof/>
          <w:sz w:val="20"/>
          <w:szCs w:val="20"/>
          <w:lang w:val="en-CA" w:eastAsia="en-CA"/>
        </w:rPr>
        <w:pict>
          <v:rect id="Rectangle 3" o:spid="_x0000_s1026" style="position:absolute;left:0;text-align:left;margin-left:-8.65pt;margin-top:10.75pt;width:417.05pt;height:102.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v:fill opacity="0"/>
          </v:rect>
        </w:pict>
      </w:r>
    </w:p>
    <w:p w:rsidR="00AA6C8D" w:rsidRPr="00AA6C8D" w:rsidRDefault="00AA6C8D" w:rsidP="00AA6C8D">
      <w:pPr>
        <w:rPr>
          <w:rFonts w:ascii="Arial" w:hAnsi="Arial" w:cs="Arial"/>
          <w:b/>
          <w:sz w:val="20"/>
          <w:szCs w:val="20"/>
          <w:u w:val="single"/>
        </w:rPr>
      </w:pPr>
      <w:r w:rsidRPr="00AA6C8D">
        <w:rPr>
          <w:rFonts w:ascii="Arial" w:hAnsi="Arial" w:cs="Arial"/>
          <w:b/>
          <w:sz w:val="20"/>
          <w:szCs w:val="20"/>
          <w:u w:val="single"/>
        </w:rPr>
        <w:t xml:space="preserve">Legend: </w:t>
      </w:r>
    </w:p>
    <w:p w:rsidR="00AA6C8D" w:rsidRPr="00AA6C8D" w:rsidRDefault="00AA6C8D" w:rsidP="00AA6C8D">
      <w:pPr>
        <w:rPr>
          <w:rFonts w:ascii="Arial" w:hAnsi="Arial" w:cs="Arial"/>
          <w:b/>
          <w:sz w:val="20"/>
          <w:szCs w:val="20"/>
        </w:rPr>
      </w:pPr>
    </w:p>
    <w:p w:rsidR="001F021D" w:rsidRDefault="00AA6C8D" w:rsidP="00AA6C8D">
      <w:pPr>
        <w:rPr>
          <w:rFonts w:ascii="Arial" w:hAnsi="Arial" w:cs="Arial"/>
          <w:b/>
          <w:sz w:val="20"/>
          <w:szCs w:val="20"/>
        </w:rPr>
      </w:pPr>
      <w:r w:rsidRPr="00AA6C8D">
        <w:rPr>
          <w:rFonts w:ascii="Arial" w:hAnsi="Arial" w:cs="Arial"/>
          <w:b/>
          <w:color w:val="008000"/>
          <w:sz w:val="20"/>
          <w:szCs w:val="20"/>
        </w:rPr>
        <w:sym w:font="Wingdings" w:char="F0FC"/>
      </w:r>
      <w:r w:rsidRPr="00AA6C8D">
        <w:rPr>
          <w:rFonts w:ascii="Arial" w:hAnsi="Arial" w:cs="Arial"/>
          <w:b/>
          <w:sz w:val="20"/>
          <w:szCs w:val="20"/>
        </w:rPr>
        <w:t xml:space="preserve"> - Addressed by</w:t>
      </w:r>
      <w:r w:rsidR="00261845">
        <w:rPr>
          <w:rFonts w:ascii="Arial" w:hAnsi="Arial" w:cs="Arial"/>
          <w:b/>
          <w:sz w:val="20"/>
          <w:szCs w:val="20"/>
        </w:rPr>
        <w:t xml:space="preserve"> the</w:t>
      </w:r>
      <w:r w:rsidR="00392EDF">
        <w:rPr>
          <w:rFonts w:ascii="Arial" w:hAnsi="Arial" w:cs="Arial"/>
          <w:b/>
          <w:sz w:val="20"/>
          <w:szCs w:val="20"/>
        </w:rPr>
        <w:t xml:space="preserve"> Legislation drafted May 1</w:t>
      </w:r>
      <w:r w:rsidRPr="00AA6C8D">
        <w:rPr>
          <w:rFonts w:ascii="Arial" w:hAnsi="Arial" w:cs="Arial"/>
          <w:b/>
          <w:sz w:val="20"/>
          <w:szCs w:val="20"/>
        </w:rPr>
        <w:t>, 2017</w:t>
      </w:r>
    </w:p>
    <w:p w:rsidR="00AA6C8D" w:rsidRPr="00AA6C8D" w:rsidRDefault="00AA6C8D" w:rsidP="00AA6C8D">
      <w:pPr>
        <w:rPr>
          <w:rFonts w:ascii="Arial" w:hAnsi="Arial" w:cs="Arial"/>
          <w:b/>
          <w:sz w:val="20"/>
          <w:szCs w:val="20"/>
        </w:rPr>
      </w:pPr>
    </w:p>
    <w:p w:rsidR="003007E3" w:rsidRDefault="00CE7E79" w:rsidP="002B6BA4">
      <w:pPr>
        <w:rPr>
          <w:rFonts w:ascii="Arial" w:hAnsi="Arial" w:cs="Arial"/>
          <w:b/>
          <w:sz w:val="20"/>
          <w:szCs w:val="20"/>
        </w:rPr>
      </w:pPr>
      <w:r w:rsidRPr="00CE7E79">
        <w:rPr>
          <w:rFonts w:ascii="Arial" w:hAnsi="Arial" w:cs="Arial"/>
          <w:b/>
          <w:color w:val="0000FF"/>
          <w:sz w:val="20"/>
          <w:szCs w:val="20"/>
        </w:rPr>
        <w:t>RT</w:t>
      </w:r>
      <w:r>
        <w:rPr>
          <w:rFonts w:ascii="Arial" w:hAnsi="Arial" w:cs="Arial"/>
          <w:b/>
          <w:color w:val="FF0000"/>
          <w:sz w:val="20"/>
          <w:szCs w:val="20"/>
        </w:rPr>
        <w:t xml:space="preserve"> </w:t>
      </w:r>
      <w:r w:rsidR="00AA6C8D" w:rsidRPr="00AA6C8D">
        <w:rPr>
          <w:rFonts w:ascii="Arial" w:hAnsi="Arial" w:cs="Arial"/>
          <w:b/>
          <w:sz w:val="20"/>
          <w:szCs w:val="20"/>
        </w:rPr>
        <w:t xml:space="preserve">– Not addressed by Legislation </w:t>
      </w:r>
      <w:r w:rsidR="001F021D">
        <w:rPr>
          <w:rFonts w:ascii="Arial" w:hAnsi="Arial" w:cs="Arial"/>
          <w:b/>
          <w:sz w:val="20"/>
          <w:szCs w:val="20"/>
        </w:rPr>
        <w:t>and must be</w:t>
      </w:r>
      <w:r w:rsidR="00AA6C8D" w:rsidRPr="00AA6C8D">
        <w:rPr>
          <w:rFonts w:ascii="Arial" w:hAnsi="Arial" w:cs="Arial"/>
          <w:b/>
          <w:sz w:val="20"/>
          <w:szCs w:val="20"/>
        </w:rPr>
        <w:t xml:space="preserve"> ad</w:t>
      </w:r>
      <w:r w:rsidR="00012649">
        <w:rPr>
          <w:rFonts w:ascii="Arial" w:hAnsi="Arial" w:cs="Arial"/>
          <w:b/>
          <w:sz w:val="20"/>
          <w:szCs w:val="20"/>
        </w:rPr>
        <w:t xml:space="preserve">dressed in Regulations, </w:t>
      </w:r>
      <w:r w:rsidR="00AA6C8D">
        <w:rPr>
          <w:rFonts w:ascii="Arial" w:hAnsi="Arial" w:cs="Arial"/>
          <w:b/>
          <w:sz w:val="20"/>
          <w:szCs w:val="20"/>
        </w:rPr>
        <w:t>Trust D</w:t>
      </w:r>
      <w:r w:rsidR="00AA6C8D" w:rsidRPr="00AA6C8D">
        <w:rPr>
          <w:rFonts w:ascii="Arial" w:hAnsi="Arial" w:cs="Arial"/>
          <w:b/>
          <w:sz w:val="20"/>
          <w:szCs w:val="20"/>
        </w:rPr>
        <w:t>ocumentation</w:t>
      </w:r>
      <w:r w:rsidR="00012649">
        <w:rPr>
          <w:rFonts w:ascii="Arial" w:hAnsi="Arial" w:cs="Arial"/>
          <w:b/>
          <w:sz w:val="20"/>
          <w:szCs w:val="20"/>
        </w:rPr>
        <w:t xml:space="preserve"> or various other agreements</w:t>
      </w:r>
    </w:p>
    <w:p w:rsidR="003007E3" w:rsidRDefault="003007E3" w:rsidP="002B6BA4">
      <w:pPr>
        <w:rPr>
          <w:rFonts w:ascii="Arial" w:hAnsi="Arial" w:cs="Arial"/>
          <w:b/>
          <w:sz w:val="20"/>
          <w:szCs w:val="20"/>
        </w:rPr>
      </w:pPr>
    </w:p>
    <w:p w:rsidR="003007E3" w:rsidRPr="003007E3" w:rsidRDefault="003007E3" w:rsidP="002B6BA4">
      <w:pPr>
        <w:rPr>
          <w:rFonts w:ascii="Arial" w:hAnsi="Arial" w:cs="Arial"/>
          <w:b/>
          <w:sz w:val="20"/>
          <w:szCs w:val="20"/>
        </w:rPr>
      </w:pPr>
      <w:r w:rsidRPr="003007E3">
        <w:rPr>
          <w:rFonts w:ascii="Arial" w:hAnsi="Arial" w:cs="Arial"/>
          <w:b/>
          <w:color w:val="0000FF"/>
          <w:sz w:val="20"/>
          <w:szCs w:val="20"/>
        </w:rPr>
        <w:t>Ω</w:t>
      </w:r>
      <w:r>
        <w:rPr>
          <w:rFonts w:ascii="Arial" w:hAnsi="Arial" w:cs="Arial"/>
          <w:b/>
          <w:color w:val="0000FF"/>
          <w:sz w:val="20"/>
          <w:szCs w:val="20"/>
        </w:rPr>
        <w:t xml:space="preserve"> </w:t>
      </w:r>
      <w:r>
        <w:rPr>
          <w:rFonts w:ascii="Arial" w:hAnsi="Arial" w:cs="Arial"/>
          <w:b/>
          <w:sz w:val="20"/>
          <w:szCs w:val="20"/>
        </w:rPr>
        <w:t xml:space="preserve">- Will not be addressed in Legislation/Regulations or Trust but is </w:t>
      </w:r>
      <w:r w:rsidR="00C77429">
        <w:rPr>
          <w:rFonts w:ascii="Arial" w:hAnsi="Arial" w:cs="Arial"/>
          <w:b/>
          <w:sz w:val="20"/>
          <w:szCs w:val="20"/>
        </w:rPr>
        <w:t>the intended plan</w:t>
      </w:r>
    </w:p>
    <w:p w:rsidR="003007E3" w:rsidRDefault="003007E3" w:rsidP="002B6BA4">
      <w:pPr>
        <w:rPr>
          <w:rFonts w:ascii="Arial" w:hAnsi="Arial" w:cs="Arial"/>
          <w:b/>
          <w:sz w:val="20"/>
          <w:szCs w:val="20"/>
        </w:rPr>
      </w:pPr>
    </w:p>
    <w:p w:rsidR="003007E3" w:rsidRDefault="003007E3" w:rsidP="002B6BA4">
      <w:pPr>
        <w:rPr>
          <w:rFonts w:ascii="Arial" w:hAnsi="Arial" w:cs="Arial"/>
          <w:b/>
          <w:sz w:val="20"/>
          <w:szCs w:val="20"/>
        </w:rPr>
      </w:pPr>
    </w:p>
    <w:p w:rsidR="002B6BA4" w:rsidRDefault="002B6BA4" w:rsidP="00E94379">
      <w:pPr>
        <w:pStyle w:val="ListParagraph"/>
        <w:ind w:left="0"/>
        <w:rPr>
          <w:rFonts w:ascii="Arial" w:hAnsi="Arial" w:cs="Arial"/>
          <w:sz w:val="20"/>
          <w:szCs w:val="20"/>
        </w:rPr>
      </w:pPr>
    </w:p>
    <w:tbl>
      <w:tblPr>
        <w:tblStyle w:val="TableGrid"/>
        <w:tblW w:w="0" w:type="auto"/>
        <w:tblLayout w:type="fixed"/>
        <w:tblLook w:val="04A0"/>
      </w:tblPr>
      <w:tblGrid>
        <w:gridCol w:w="1278"/>
        <w:gridCol w:w="630"/>
        <w:gridCol w:w="6620"/>
      </w:tblGrid>
      <w:tr w:rsidR="00E94379" w:rsidRPr="008C27CC" w:rsidTr="009A0137">
        <w:trPr>
          <w:tblHeader/>
        </w:trPr>
        <w:tc>
          <w:tcPr>
            <w:tcW w:w="1278" w:type="dxa"/>
            <w:shd w:val="clear" w:color="auto" w:fill="D9D9D9" w:themeFill="background1" w:themeFillShade="D9"/>
          </w:tcPr>
          <w:p w:rsidR="00E94379" w:rsidRPr="008C27CC" w:rsidRDefault="00E94379" w:rsidP="0039054A">
            <w:pPr>
              <w:pStyle w:val="ListParagraph"/>
              <w:ind w:left="0"/>
              <w:jc w:val="center"/>
              <w:rPr>
                <w:rFonts w:ascii="Arial" w:hAnsi="Arial" w:cs="Arial"/>
                <w:b/>
                <w:sz w:val="20"/>
                <w:szCs w:val="20"/>
              </w:rPr>
            </w:pPr>
            <w:r w:rsidRPr="008C27CC">
              <w:rPr>
                <w:rFonts w:ascii="Arial" w:hAnsi="Arial" w:cs="Arial"/>
                <w:b/>
                <w:sz w:val="20"/>
                <w:szCs w:val="20"/>
              </w:rPr>
              <w:t>Issue</w:t>
            </w:r>
          </w:p>
        </w:tc>
        <w:tc>
          <w:tcPr>
            <w:tcW w:w="630" w:type="dxa"/>
            <w:shd w:val="clear" w:color="auto" w:fill="D9D9D9" w:themeFill="background1" w:themeFillShade="D9"/>
          </w:tcPr>
          <w:p w:rsidR="00E94379" w:rsidRPr="008C27CC" w:rsidRDefault="00E94379" w:rsidP="0039054A">
            <w:pPr>
              <w:pStyle w:val="ListParagraph"/>
              <w:ind w:left="0"/>
              <w:jc w:val="center"/>
              <w:rPr>
                <w:rFonts w:ascii="Arial" w:hAnsi="Arial" w:cs="Arial"/>
                <w:b/>
                <w:sz w:val="20"/>
                <w:szCs w:val="20"/>
              </w:rPr>
            </w:pPr>
            <w:r>
              <w:rPr>
                <w:rFonts w:ascii="Arial" w:hAnsi="Arial" w:cs="Arial"/>
                <w:b/>
                <w:sz w:val="20"/>
                <w:szCs w:val="20"/>
              </w:rPr>
              <w:t>No.</w:t>
            </w:r>
          </w:p>
        </w:tc>
        <w:tc>
          <w:tcPr>
            <w:tcW w:w="6620" w:type="dxa"/>
            <w:shd w:val="clear" w:color="auto" w:fill="D9D9D9" w:themeFill="background1" w:themeFillShade="D9"/>
          </w:tcPr>
          <w:p w:rsidR="00E94379" w:rsidRPr="008C27CC" w:rsidRDefault="00E94379" w:rsidP="0039054A">
            <w:pPr>
              <w:pStyle w:val="ListParagraph"/>
              <w:ind w:left="0"/>
              <w:jc w:val="center"/>
              <w:rPr>
                <w:rFonts w:ascii="Arial" w:hAnsi="Arial" w:cs="Arial"/>
                <w:b/>
                <w:sz w:val="20"/>
                <w:szCs w:val="20"/>
              </w:rPr>
            </w:pPr>
            <w:r w:rsidRPr="008C27CC">
              <w:rPr>
                <w:rFonts w:ascii="Arial" w:hAnsi="Arial" w:cs="Arial"/>
                <w:b/>
                <w:sz w:val="20"/>
                <w:szCs w:val="20"/>
              </w:rPr>
              <w:t>Requirements</w:t>
            </w:r>
          </w:p>
        </w:tc>
      </w:tr>
      <w:tr w:rsidR="00E94379" w:rsidTr="009A0137">
        <w:tc>
          <w:tcPr>
            <w:tcW w:w="1278" w:type="dxa"/>
          </w:tcPr>
          <w:p w:rsidR="00E94379" w:rsidRDefault="00E94379" w:rsidP="0039054A">
            <w:pPr>
              <w:pStyle w:val="ListParagraph"/>
              <w:ind w:left="0"/>
              <w:rPr>
                <w:rFonts w:ascii="Arial" w:hAnsi="Arial" w:cs="Arial"/>
                <w:sz w:val="20"/>
                <w:szCs w:val="20"/>
              </w:rPr>
            </w:pPr>
            <w:r>
              <w:rPr>
                <w:rFonts w:ascii="Arial" w:hAnsi="Arial" w:cs="Arial"/>
                <w:sz w:val="20"/>
                <w:szCs w:val="20"/>
              </w:rPr>
              <w:t>Directive</w:t>
            </w:r>
          </w:p>
          <w:p w:rsidR="00E94379" w:rsidRDefault="00E94379" w:rsidP="0039054A">
            <w:pPr>
              <w:pStyle w:val="ListParagraph"/>
              <w:ind w:left="0"/>
              <w:rPr>
                <w:rFonts w:ascii="Arial" w:hAnsi="Arial" w:cs="Arial"/>
                <w:sz w:val="20"/>
                <w:szCs w:val="20"/>
              </w:rPr>
            </w:pPr>
          </w:p>
          <w:p w:rsidR="00E94379" w:rsidRDefault="00E94379" w:rsidP="0039054A">
            <w:pPr>
              <w:pStyle w:val="ListParagraph"/>
              <w:ind w:left="0"/>
              <w:rPr>
                <w:rFonts w:ascii="Arial" w:hAnsi="Arial" w:cs="Arial"/>
                <w:sz w:val="20"/>
                <w:szCs w:val="20"/>
              </w:rPr>
            </w:pPr>
          </w:p>
        </w:tc>
        <w:tc>
          <w:tcPr>
            <w:tcW w:w="630" w:type="dxa"/>
          </w:tcPr>
          <w:p w:rsidR="00E94379" w:rsidRDefault="00E94379" w:rsidP="0039054A">
            <w:pPr>
              <w:pStyle w:val="ListParagraph"/>
              <w:ind w:left="0"/>
              <w:rPr>
                <w:rFonts w:ascii="Arial" w:hAnsi="Arial" w:cs="Arial"/>
                <w:sz w:val="20"/>
                <w:szCs w:val="20"/>
              </w:rPr>
            </w:pPr>
            <w:r>
              <w:rPr>
                <w:rFonts w:ascii="Arial" w:hAnsi="Arial" w:cs="Arial"/>
                <w:sz w:val="20"/>
                <w:szCs w:val="20"/>
              </w:rPr>
              <w:t>1</w:t>
            </w:r>
          </w:p>
          <w:p w:rsidR="005D0135" w:rsidRPr="005D0135" w:rsidRDefault="005D0135" w:rsidP="0039054A">
            <w:pPr>
              <w:pStyle w:val="ListParagraph"/>
              <w:ind w:left="0"/>
              <w:rPr>
                <w:rFonts w:ascii="Arial" w:hAnsi="Arial" w:cs="Arial"/>
                <w:sz w:val="44"/>
                <w:szCs w:val="44"/>
              </w:rPr>
            </w:pPr>
            <w:r w:rsidRPr="005D0135">
              <w:rPr>
                <w:rFonts w:ascii="Arial" w:hAnsi="Arial" w:cs="Arial"/>
                <w:b/>
                <w:color w:val="008000"/>
                <w:sz w:val="44"/>
                <w:szCs w:val="44"/>
              </w:rPr>
              <w:sym w:font="Wingdings" w:char="F0FC"/>
            </w:r>
          </w:p>
        </w:tc>
        <w:tc>
          <w:tcPr>
            <w:tcW w:w="6620" w:type="dxa"/>
          </w:tcPr>
          <w:p w:rsidR="00E94379" w:rsidRDefault="00E94379" w:rsidP="0039054A">
            <w:pPr>
              <w:pStyle w:val="ListParagraph"/>
              <w:ind w:left="0"/>
              <w:rPr>
                <w:rFonts w:ascii="Arial" w:hAnsi="Arial" w:cs="Arial"/>
                <w:sz w:val="20"/>
                <w:szCs w:val="20"/>
              </w:rPr>
            </w:pPr>
            <w:r w:rsidRPr="0022405D">
              <w:rPr>
                <w:rFonts w:ascii="Arial" w:hAnsi="Arial" w:cs="Arial"/>
                <w:sz w:val="20"/>
                <w:szCs w:val="20"/>
              </w:rPr>
              <w:t>The Trust must be undertaken by OPG as a business initiative</w:t>
            </w:r>
            <w:r>
              <w:rPr>
                <w:rFonts w:ascii="Arial" w:hAnsi="Arial" w:cs="Arial"/>
                <w:sz w:val="20"/>
                <w:szCs w:val="20"/>
              </w:rPr>
              <w:t xml:space="preserve"> on its merits.  A Shareholder Directive is to be limited to direct OPG to investigate the option of establishing a Trust vehicle to administer, finance and operate the Global Adjustment plan and the operation of that Trust and the control, risk and rewards of that Trust will determine its consolidation into OPG as a business enterprise.</w:t>
            </w:r>
          </w:p>
          <w:p w:rsidR="00E94379" w:rsidRDefault="00E94379" w:rsidP="0039054A">
            <w:pPr>
              <w:pStyle w:val="ListParagraph"/>
              <w:ind w:left="0"/>
              <w:rPr>
                <w:rFonts w:ascii="Arial" w:hAnsi="Arial" w:cs="Arial"/>
                <w:sz w:val="20"/>
                <w:szCs w:val="20"/>
              </w:rPr>
            </w:pPr>
          </w:p>
          <w:p w:rsidR="00E94379" w:rsidRPr="00A31967" w:rsidRDefault="00E94379" w:rsidP="0039054A">
            <w:pPr>
              <w:pStyle w:val="ListParagraph"/>
              <w:ind w:left="0"/>
              <w:rPr>
                <w:rFonts w:ascii="Arial" w:hAnsi="Arial" w:cs="Arial"/>
                <w:b/>
                <w:i/>
                <w:sz w:val="20"/>
                <w:szCs w:val="20"/>
              </w:rPr>
            </w:pPr>
            <w:r>
              <w:rPr>
                <w:rFonts w:ascii="Arial" w:hAnsi="Arial" w:cs="Arial"/>
                <w:b/>
                <w:i/>
                <w:sz w:val="20"/>
                <w:szCs w:val="20"/>
              </w:rPr>
              <w:t xml:space="preserve">MET - The Province will not direct OPG to participate in the Fair Hydro Plan.  </w:t>
            </w:r>
            <w:r w:rsidR="00027EF3">
              <w:rPr>
                <w:rFonts w:ascii="Arial" w:hAnsi="Arial" w:cs="Arial"/>
                <w:b/>
                <w:i/>
                <w:sz w:val="20"/>
                <w:szCs w:val="20"/>
              </w:rPr>
              <w:t>A letter was issued from the Minister of Energy to OPG on April 13</w:t>
            </w:r>
            <w:r w:rsidR="00027EF3" w:rsidRPr="00027EF3">
              <w:rPr>
                <w:rFonts w:ascii="Arial" w:hAnsi="Arial" w:cs="Arial"/>
                <w:b/>
                <w:i/>
                <w:sz w:val="20"/>
                <w:szCs w:val="20"/>
                <w:vertAlign w:val="superscript"/>
              </w:rPr>
              <w:t>th</w:t>
            </w:r>
            <w:r w:rsidR="00027EF3">
              <w:rPr>
                <w:rFonts w:ascii="Arial" w:hAnsi="Arial" w:cs="Arial"/>
                <w:b/>
                <w:i/>
                <w:sz w:val="20"/>
                <w:szCs w:val="20"/>
              </w:rPr>
              <w:t xml:space="preserve"> requesting OPG’s involvement in the implementation of the Fair Hydro Plan.  </w:t>
            </w:r>
            <w:r w:rsidR="00027EF3" w:rsidRPr="00027EF3">
              <w:rPr>
                <w:rFonts w:ascii="Arial" w:hAnsi="Arial" w:cs="Arial"/>
                <w:b/>
                <w:i/>
                <w:sz w:val="20"/>
                <w:szCs w:val="20"/>
              </w:rPr>
              <w:t>OPG’s Board Chair responded</w:t>
            </w:r>
            <w:r w:rsidR="00027EF3">
              <w:rPr>
                <w:rFonts w:ascii="Arial" w:hAnsi="Arial" w:cs="Arial"/>
                <w:b/>
                <w:i/>
                <w:sz w:val="20"/>
                <w:szCs w:val="20"/>
              </w:rPr>
              <w:t xml:space="preserve"> to the Minister on April 18th </w:t>
            </w:r>
            <w:r w:rsidR="00027EF3" w:rsidRPr="00027EF3">
              <w:rPr>
                <w:rFonts w:ascii="Arial" w:hAnsi="Arial" w:cs="Arial"/>
                <w:b/>
                <w:i/>
                <w:sz w:val="20"/>
                <w:szCs w:val="20"/>
              </w:rPr>
              <w:t xml:space="preserve">committing OPG to work with the IESO and OEB to develop a plan.  </w:t>
            </w:r>
            <w:r>
              <w:rPr>
                <w:rFonts w:ascii="Arial" w:hAnsi="Arial" w:cs="Arial"/>
                <w:b/>
                <w:i/>
                <w:sz w:val="20"/>
                <w:szCs w:val="20"/>
              </w:rPr>
              <w:t>OPG will have the option to prepare, implement and amend a financing plan (in accordance with principles set out in legislation) and propose the adoption of such plan as the ‘Financing Plan’.  OPG will have the right to withdraw its financing plan at any time.</w:t>
            </w:r>
            <w:r w:rsidR="00DB3085">
              <w:rPr>
                <w:rFonts w:ascii="Arial" w:hAnsi="Arial" w:cs="Arial"/>
                <w:b/>
                <w:i/>
                <w:sz w:val="20"/>
                <w:szCs w:val="20"/>
              </w:rPr>
              <w:t xml:space="preserve">  </w:t>
            </w:r>
          </w:p>
          <w:p w:rsidR="00E94379" w:rsidRDefault="00E94379" w:rsidP="0039054A">
            <w:pPr>
              <w:pStyle w:val="ListParagraph"/>
              <w:ind w:left="0"/>
              <w:rPr>
                <w:rFonts w:ascii="Arial" w:hAnsi="Arial" w:cs="Arial"/>
                <w:sz w:val="20"/>
                <w:szCs w:val="20"/>
              </w:rPr>
            </w:pPr>
          </w:p>
        </w:tc>
      </w:tr>
      <w:tr w:rsidR="00E94379" w:rsidTr="009A0137">
        <w:tc>
          <w:tcPr>
            <w:tcW w:w="1278" w:type="dxa"/>
            <w:vMerge w:val="restart"/>
          </w:tcPr>
          <w:p w:rsidR="00E94379" w:rsidRDefault="00E94379" w:rsidP="0039054A">
            <w:pPr>
              <w:pStyle w:val="ListParagraph"/>
              <w:ind w:left="0"/>
              <w:rPr>
                <w:rFonts w:ascii="Arial" w:hAnsi="Arial" w:cs="Arial"/>
                <w:sz w:val="20"/>
                <w:szCs w:val="20"/>
              </w:rPr>
            </w:pPr>
            <w:r>
              <w:rPr>
                <w:rFonts w:ascii="Arial" w:hAnsi="Arial" w:cs="Arial"/>
                <w:sz w:val="20"/>
                <w:szCs w:val="20"/>
              </w:rPr>
              <w:t>Trust</w:t>
            </w:r>
          </w:p>
        </w:tc>
        <w:tc>
          <w:tcPr>
            <w:tcW w:w="630" w:type="dxa"/>
          </w:tcPr>
          <w:p w:rsidR="005D0135" w:rsidRPr="005D0135" w:rsidRDefault="005D0135" w:rsidP="0039054A">
            <w:pPr>
              <w:rPr>
                <w:rFonts w:ascii="Arial" w:hAnsi="Arial" w:cs="Arial"/>
                <w:sz w:val="20"/>
                <w:szCs w:val="20"/>
              </w:rPr>
            </w:pPr>
            <w:r>
              <w:rPr>
                <w:rFonts w:ascii="Arial" w:hAnsi="Arial" w:cs="Arial"/>
                <w:sz w:val="20"/>
                <w:szCs w:val="20"/>
              </w:rPr>
              <w:t>2</w:t>
            </w:r>
          </w:p>
          <w:p w:rsidR="00E94379" w:rsidRPr="00CE7E79" w:rsidRDefault="00CE7E79" w:rsidP="0039054A">
            <w:pPr>
              <w:rPr>
                <w:rFonts w:ascii="Arial" w:hAnsi="Arial" w:cs="Arial"/>
                <w:color w:val="0000FF"/>
                <w:sz w:val="28"/>
                <w:szCs w:val="28"/>
              </w:rPr>
            </w:pPr>
            <w:r w:rsidRPr="00CE7E79">
              <w:rPr>
                <w:rFonts w:ascii="Arial" w:hAnsi="Arial" w:cs="Arial"/>
                <w:b/>
                <w:color w:val="0000FF"/>
                <w:sz w:val="28"/>
                <w:szCs w:val="28"/>
              </w:rPr>
              <w:t>RT</w:t>
            </w:r>
          </w:p>
        </w:tc>
        <w:tc>
          <w:tcPr>
            <w:tcW w:w="6620" w:type="dxa"/>
          </w:tcPr>
          <w:p w:rsidR="00E94379" w:rsidRDefault="00E94379" w:rsidP="0039054A">
            <w:pPr>
              <w:rPr>
                <w:rFonts w:ascii="Arial" w:hAnsi="Arial" w:cs="Arial"/>
                <w:sz w:val="20"/>
                <w:szCs w:val="20"/>
              </w:rPr>
            </w:pPr>
            <w:r w:rsidRPr="008C27CC">
              <w:rPr>
                <w:rFonts w:ascii="Arial" w:hAnsi="Arial" w:cs="Arial"/>
                <w:sz w:val="20"/>
                <w:szCs w:val="20"/>
              </w:rPr>
              <w:t>The Trust should not operate in a predetermined way such that OPG does not have decision-making authority over the Trust’s ongoing activities after its formation (i.e. should not operate on ‘autopilot’).</w:t>
            </w:r>
          </w:p>
          <w:p w:rsidR="00E94379" w:rsidRDefault="00E94379" w:rsidP="0039054A">
            <w:pPr>
              <w:rPr>
                <w:rFonts w:ascii="Arial" w:hAnsi="Arial" w:cs="Arial"/>
                <w:sz w:val="20"/>
                <w:szCs w:val="20"/>
              </w:rPr>
            </w:pPr>
          </w:p>
          <w:p w:rsidR="00E94379" w:rsidRPr="00A31967" w:rsidRDefault="00E94379" w:rsidP="0039054A">
            <w:pPr>
              <w:rPr>
                <w:rFonts w:ascii="Arial" w:hAnsi="Arial" w:cs="Arial"/>
                <w:b/>
                <w:i/>
                <w:sz w:val="20"/>
                <w:szCs w:val="20"/>
              </w:rPr>
            </w:pPr>
            <w:r>
              <w:rPr>
                <w:rFonts w:ascii="Arial" w:hAnsi="Arial" w:cs="Arial"/>
                <w:b/>
                <w:i/>
                <w:sz w:val="20"/>
                <w:szCs w:val="20"/>
              </w:rPr>
              <w:t>OPG will be the sole unit holder of the Trust.  All decisions over the relevant activities of the Trust (as described above) will be made by OPG.</w:t>
            </w:r>
          </w:p>
          <w:p w:rsidR="00E94379" w:rsidRDefault="00E94379" w:rsidP="0039054A">
            <w:pPr>
              <w:pStyle w:val="ListParagraph"/>
              <w:ind w:left="0"/>
              <w:rPr>
                <w:rFonts w:ascii="Arial" w:hAnsi="Arial" w:cs="Arial"/>
                <w:sz w:val="20"/>
                <w:szCs w:val="20"/>
              </w:rPr>
            </w:pPr>
          </w:p>
        </w:tc>
      </w:tr>
      <w:tr w:rsidR="00E94379" w:rsidTr="009A0137">
        <w:tc>
          <w:tcPr>
            <w:tcW w:w="1278" w:type="dxa"/>
            <w:vMerge/>
          </w:tcPr>
          <w:p w:rsidR="00E94379" w:rsidRDefault="00E94379" w:rsidP="0039054A">
            <w:pPr>
              <w:pStyle w:val="ListParagraph"/>
              <w:ind w:left="0"/>
              <w:rPr>
                <w:rFonts w:ascii="Arial" w:hAnsi="Arial" w:cs="Arial"/>
                <w:sz w:val="20"/>
                <w:szCs w:val="20"/>
              </w:rPr>
            </w:pPr>
          </w:p>
        </w:tc>
        <w:tc>
          <w:tcPr>
            <w:tcW w:w="630" w:type="dxa"/>
          </w:tcPr>
          <w:p w:rsidR="00E94379" w:rsidRDefault="00E94379" w:rsidP="0039054A">
            <w:pPr>
              <w:rPr>
                <w:rFonts w:ascii="Arial" w:hAnsi="Arial" w:cs="Arial"/>
                <w:sz w:val="20"/>
                <w:szCs w:val="20"/>
              </w:rPr>
            </w:pPr>
            <w:r>
              <w:rPr>
                <w:rFonts w:ascii="Arial" w:hAnsi="Arial" w:cs="Arial"/>
                <w:sz w:val="20"/>
                <w:szCs w:val="20"/>
              </w:rPr>
              <w:t>3</w:t>
            </w:r>
          </w:p>
          <w:p w:rsidR="005D0135" w:rsidRPr="008C27CC" w:rsidRDefault="00CE7E79" w:rsidP="0039054A">
            <w:pPr>
              <w:rPr>
                <w:rFonts w:ascii="Arial" w:hAnsi="Arial" w:cs="Arial"/>
                <w:sz w:val="20"/>
                <w:szCs w:val="20"/>
              </w:rPr>
            </w:pPr>
            <w:r w:rsidRPr="00CE7E79">
              <w:rPr>
                <w:rFonts w:ascii="Arial" w:hAnsi="Arial" w:cs="Arial"/>
                <w:b/>
                <w:color w:val="0000FF"/>
                <w:sz w:val="28"/>
                <w:szCs w:val="28"/>
              </w:rPr>
              <w:t>RT</w:t>
            </w:r>
          </w:p>
        </w:tc>
        <w:tc>
          <w:tcPr>
            <w:tcW w:w="6620" w:type="dxa"/>
          </w:tcPr>
          <w:p w:rsidR="00E94379" w:rsidRDefault="00E94379" w:rsidP="0039054A">
            <w:pPr>
              <w:rPr>
                <w:rFonts w:ascii="Arial" w:hAnsi="Arial" w:cs="Arial"/>
                <w:sz w:val="20"/>
                <w:szCs w:val="20"/>
              </w:rPr>
            </w:pPr>
            <w:r w:rsidRPr="008C27CC">
              <w:rPr>
                <w:rFonts w:ascii="Arial" w:hAnsi="Arial" w:cs="Arial"/>
                <w:sz w:val="20"/>
                <w:szCs w:val="20"/>
              </w:rPr>
              <w:t xml:space="preserve">OPG must have the ability to appoint and remove the Trustee (or Board of Trustees), with no veto right by the Province. No party shall have the ability to remove OPG from its role and authority in the Trust. </w:t>
            </w:r>
          </w:p>
          <w:p w:rsidR="00E94379" w:rsidRDefault="00E94379" w:rsidP="0039054A">
            <w:pPr>
              <w:rPr>
                <w:rFonts w:ascii="Arial" w:hAnsi="Arial" w:cs="Arial"/>
                <w:sz w:val="20"/>
                <w:szCs w:val="20"/>
              </w:rPr>
            </w:pPr>
          </w:p>
          <w:p w:rsidR="00E94379" w:rsidRPr="006A3CE1" w:rsidRDefault="00E94379" w:rsidP="0039054A">
            <w:pPr>
              <w:rPr>
                <w:rFonts w:ascii="Arial" w:hAnsi="Arial" w:cs="Arial"/>
                <w:b/>
                <w:i/>
                <w:sz w:val="20"/>
                <w:szCs w:val="20"/>
              </w:rPr>
            </w:pPr>
            <w:r>
              <w:rPr>
                <w:rFonts w:ascii="Arial" w:hAnsi="Arial" w:cs="Arial"/>
                <w:b/>
                <w:i/>
                <w:sz w:val="20"/>
                <w:szCs w:val="20"/>
              </w:rPr>
              <w:t>OPG will be the sole unit holder of the Trust.  The Province will be involved in the Board of Trustees, but OPG is expected to have the majority vote.</w:t>
            </w:r>
          </w:p>
          <w:p w:rsidR="00E94379" w:rsidRDefault="00E94379" w:rsidP="0039054A">
            <w:pPr>
              <w:pStyle w:val="ListParagraph"/>
              <w:ind w:left="0"/>
              <w:rPr>
                <w:rFonts w:ascii="Arial" w:hAnsi="Arial" w:cs="Arial"/>
                <w:sz w:val="20"/>
                <w:szCs w:val="20"/>
              </w:rPr>
            </w:pPr>
          </w:p>
        </w:tc>
      </w:tr>
      <w:tr w:rsidR="00E94379" w:rsidTr="009A0137">
        <w:tc>
          <w:tcPr>
            <w:tcW w:w="1278" w:type="dxa"/>
            <w:vMerge/>
          </w:tcPr>
          <w:p w:rsidR="00E94379" w:rsidRDefault="00E94379" w:rsidP="0039054A">
            <w:pPr>
              <w:pStyle w:val="ListParagraph"/>
              <w:ind w:left="0"/>
              <w:rPr>
                <w:rFonts w:ascii="Arial" w:hAnsi="Arial" w:cs="Arial"/>
                <w:sz w:val="20"/>
                <w:szCs w:val="20"/>
              </w:rPr>
            </w:pPr>
          </w:p>
        </w:tc>
        <w:tc>
          <w:tcPr>
            <w:tcW w:w="630" w:type="dxa"/>
          </w:tcPr>
          <w:p w:rsidR="00E94379" w:rsidRDefault="00E94379" w:rsidP="0039054A">
            <w:pPr>
              <w:rPr>
                <w:rFonts w:ascii="Arial" w:hAnsi="Arial" w:cs="Arial"/>
                <w:sz w:val="20"/>
                <w:szCs w:val="20"/>
              </w:rPr>
            </w:pPr>
            <w:r>
              <w:rPr>
                <w:rFonts w:ascii="Arial" w:hAnsi="Arial" w:cs="Arial"/>
                <w:sz w:val="20"/>
                <w:szCs w:val="20"/>
              </w:rPr>
              <w:t>4</w:t>
            </w:r>
          </w:p>
          <w:p w:rsidR="00AD30DF" w:rsidRPr="008C27CC" w:rsidRDefault="00CE7E79" w:rsidP="0039054A">
            <w:pPr>
              <w:rPr>
                <w:rFonts w:ascii="Arial" w:hAnsi="Arial" w:cs="Arial"/>
                <w:sz w:val="20"/>
                <w:szCs w:val="20"/>
              </w:rPr>
            </w:pPr>
            <w:r w:rsidRPr="00CE7E79">
              <w:rPr>
                <w:rFonts w:ascii="Arial" w:hAnsi="Arial" w:cs="Arial"/>
                <w:b/>
                <w:color w:val="0000FF"/>
                <w:sz w:val="28"/>
                <w:szCs w:val="28"/>
              </w:rPr>
              <w:t>RT</w:t>
            </w:r>
          </w:p>
        </w:tc>
        <w:tc>
          <w:tcPr>
            <w:tcW w:w="6620" w:type="dxa"/>
          </w:tcPr>
          <w:p w:rsidR="00E94379" w:rsidRDefault="00E94379" w:rsidP="0039054A">
            <w:pPr>
              <w:rPr>
                <w:rFonts w:ascii="Arial" w:hAnsi="Arial" w:cs="Arial"/>
                <w:sz w:val="20"/>
                <w:szCs w:val="20"/>
              </w:rPr>
            </w:pPr>
            <w:r w:rsidRPr="008C27CC">
              <w:rPr>
                <w:rFonts w:ascii="Arial" w:hAnsi="Arial" w:cs="Arial"/>
                <w:sz w:val="20"/>
                <w:szCs w:val="20"/>
              </w:rPr>
              <w:t>The Province cannot have the right to veto OPG’s decisions about the relevant activities of the Trust.  OPG must have the power over the relevant activities of the Trust and be compensated.  The relevant activities of the Trust include (but are not limited to) the evaluation and decisions on financing alternatives, duration, and the strategy to minimize financing costs. OPG must have the power to establish operating and capital budgets of the Trust.</w:t>
            </w:r>
          </w:p>
          <w:p w:rsidR="00E94379" w:rsidRPr="000D1543" w:rsidRDefault="00E94379" w:rsidP="0039054A">
            <w:pPr>
              <w:rPr>
                <w:rFonts w:ascii="Arial" w:hAnsi="Arial" w:cs="Arial"/>
                <w:b/>
                <w:sz w:val="20"/>
                <w:szCs w:val="20"/>
              </w:rPr>
            </w:pPr>
          </w:p>
          <w:p w:rsidR="00E94379" w:rsidRPr="0008613B" w:rsidRDefault="00E94379" w:rsidP="0039054A">
            <w:pPr>
              <w:rPr>
                <w:rFonts w:ascii="Arial" w:hAnsi="Arial" w:cs="Arial"/>
                <w:b/>
                <w:i/>
                <w:sz w:val="20"/>
                <w:szCs w:val="20"/>
              </w:rPr>
            </w:pPr>
            <w:r w:rsidRPr="0008613B">
              <w:rPr>
                <w:rFonts w:ascii="Arial" w:hAnsi="Arial" w:cs="Arial"/>
                <w:b/>
                <w:i/>
                <w:sz w:val="20"/>
                <w:szCs w:val="20"/>
              </w:rPr>
              <w:t>OPG will have the ability to make decisions about the financing alternatives, duration, and the strategy to minimize financing costs.  OPG will have the power to establish operating and capital budgets of the Trust with no veto right by the Province.</w:t>
            </w:r>
          </w:p>
          <w:p w:rsidR="00E94379" w:rsidRDefault="00E94379" w:rsidP="0039054A">
            <w:pPr>
              <w:pStyle w:val="ListParagraph"/>
              <w:ind w:left="0"/>
              <w:rPr>
                <w:rFonts w:ascii="Arial" w:hAnsi="Arial" w:cs="Arial"/>
                <w:sz w:val="20"/>
                <w:szCs w:val="20"/>
              </w:rPr>
            </w:pPr>
          </w:p>
        </w:tc>
      </w:tr>
      <w:tr w:rsidR="00E94379" w:rsidTr="009A0137">
        <w:tc>
          <w:tcPr>
            <w:tcW w:w="1278" w:type="dxa"/>
            <w:vMerge/>
          </w:tcPr>
          <w:p w:rsidR="00E94379" w:rsidRDefault="00E94379" w:rsidP="0039054A">
            <w:pPr>
              <w:pStyle w:val="ListParagraph"/>
              <w:ind w:left="0"/>
              <w:rPr>
                <w:rFonts w:ascii="Arial" w:hAnsi="Arial" w:cs="Arial"/>
                <w:sz w:val="20"/>
                <w:szCs w:val="20"/>
              </w:rPr>
            </w:pPr>
          </w:p>
        </w:tc>
        <w:tc>
          <w:tcPr>
            <w:tcW w:w="630" w:type="dxa"/>
          </w:tcPr>
          <w:p w:rsidR="00E94379" w:rsidRDefault="00E94379" w:rsidP="0039054A">
            <w:pPr>
              <w:rPr>
                <w:rFonts w:ascii="Arial" w:hAnsi="Arial" w:cs="Arial"/>
                <w:sz w:val="20"/>
                <w:szCs w:val="20"/>
              </w:rPr>
            </w:pPr>
            <w:r>
              <w:rPr>
                <w:rFonts w:ascii="Arial" w:hAnsi="Arial" w:cs="Arial"/>
                <w:sz w:val="20"/>
                <w:szCs w:val="20"/>
              </w:rPr>
              <w:t>5</w:t>
            </w:r>
          </w:p>
          <w:p w:rsidR="009C2DC8" w:rsidRPr="008C27CC" w:rsidRDefault="00CE7E79" w:rsidP="0039054A">
            <w:pPr>
              <w:rPr>
                <w:rFonts w:ascii="Arial" w:hAnsi="Arial" w:cs="Arial"/>
                <w:sz w:val="20"/>
                <w:szCs w:val="20"/>
              </w:rPr>
            </w:pPr>
            <w:r w:rsidRPr="00CE7E79">
              <w:rPr>
                <w:rFonts w:ascii="Arial" w:hAnsi="Arial" w:cs="Arial"/>
                <w:b/>
                <w:color w:val="0000FF"/>
                <w:sz w:val="28"/>
                <w:szCs w:val="28"/>
              </w:rPr>
              <w:t>RT</w:t>
            </w:r>
          </w:p>
        </w:tc>
        <w:tc>
          <w:tcPr>
            <w:tcW w:w="6620" w:type="dxa"/>
          </w:tcPr>
          <w:p w:rsidR="00E94379" w:rsidRPr="008C27CC" w:rsidRDefault="00E94379" w:rsidP="0039054A">
            <w:pPr>
              <w:rPr>
                <w:rFonts w:ascii="Arial" w:hAnsi="Arial" w:cs="Arial"/>
                <w:sz w:val="20"/>
                <w:szCs w:val="20"/>
              </w:rPr>
            </w:pPr>
            <w:r w:rsidRPr="008C27CC">
              <w:rPr>
                <w:rFonts w:ascii="Arial" w:hAnsi="Arial" w:cs="Arial"/>
                <w:sz w:val="20"/>
                <w:szCs w:val="20"/>
              </w:rPr>
              <w:t>OPG must have the power to determine or change operating and financing policies of the Trust, which will affect the variability of risks and returns.</w:t>
            </w:r>
          </w:p>
          <w:p w:rsidR="00694078" w:rsidRDefault="00694078" w:rsidP="0039054A">
            <w:pPr>
              <w:rPr>
                <w:rFonts w:ascii="Arial" w:hAnsi="Arial" w:cs="Arial"/>
                <w:sz w:val="20"/>
                <w:szCs w:val="20"/>
                <w:lang w:val="en-US"/>
              </w:rPr>
            </w:pPr>
          </w:p>
          <w:p w:rsidR="00A70032" w:rsidRPr="00A70032" w:rsidRDefault="00A70032" w:rsidP="00A70032">
            <w:pPr>
              <w:spacing w:after="200" w:line="276" w:lineRule="auto"/>
              <w:rPr>
                <w:rFonts w:ascii="Arial" w:hAnsi="Arial"/>
                <w:b/>
                <w:i/>
                <w:sz w:val="20"/>
                <w:lang w:val="en-CA"/>
              </w:rPr>
            </w:pPr>
            <w:r w:rsidRPr="00A70032">
              <w:rPr>
                <w:rFonts w:ascii="Arial" w:hAnsi="Arial" w:cs="Arial"/>
                <w:b/>
                <w:i/>
                <w:sz w:val="20"/>
                <w:szCs w:val="20"/>
                <w:lang w:val="en-CA"/>
              </w:rPr>
              <w:t xml:space="preserve">The Regulations, Trust documents and various agreements will provide that OPG will have significant variability and exposure from the activities of the Trust relative to the rate of return that OPG would recognize from its role as the Financial Services Manager of the Trust.  The performance fee will be meaningful and allow OPG to make decisions that will significantly impact its returns.  </w:t>
            </w:r>
          </w:p>
          <w:p w:rsidR="003574A4" w:rsidRPr="00694078" w:rsidRDefault="003574A4" w:rsidP="00694078">
            <w:pPr>
              <w:rPr>
                <w:rFonts w:ascii="Arial" w:hAnsi="Arial" w:cs="Arial"/>
                <w:b/>
                <w:i/>
                <w:sz w:val="20"/>
                <w:szCs w:val="20"/>
              </w:rPr>
            </w:pPr>
          </w:p>
        </w:tc>
      </w:tr>
      <w:tr w:rsidR="00E94379" w:rsidTr="009A0137">
        <w:tc>
          <w:tcPr>
            <w:tcW w:w="1278" w:type="dxa"/>
            <w:vMerge/>
          </w:tcPr>
          <w:p w:rsidR="00E94379" w:rsidRDefault="00E94379" w:rsidP="0039054A">
            <w:pPr>
              <w:pStyle w:val="ListParagraph"/>
              <w:ind w:left="0"/>
              <w:rPr>
                <w:rFonts w:ascii="Arial" w:hAnsi="Arial" w:cs="Arial"/>
                <w:sz w:val="20"/>
                <w:szCs w:val="20"/>
              </w:rPr>
            </w:pPr>
          </w:p>
        </w:tc>
        <w:tc>
          <w:tcPr>
            <w:tcW w:w="630" w:type="dxa"/>
          </w:tcPr>
          <w:p w:rsidR="00E94379" w:rsidRDefault="00E94379" w:rsidP="0039054A">
            <w:pPr>
              <w:rPr>
                <w:rFonts w:ascii="Arial" w:hAnsi="Arial" w:cs="Arial"/>
                <w:sz w:val="20"/>
                <w:szCs w:val="20"/>
              </w:rPr>
            </w:pPr>
            <w:r>
              <w:rPr>
                <w:rFonts w:ascii="Arial" w:hAnsi="Arial" w:cs="Arial"/>
                <w:sz w:val="20"/>
                <w:szCs w:val="20"/>
              </w:rPr>
              <w:t>6</w:t>
            </w:r>
          </w:p>
          <w:p w:rsidR="00261845" w:rsidRPr="00250387" w:rsidRDefault="00250387" w:rsidP="0039054A">
            <w:pPr>
              <w:rPr>
                <w:rFonts w:ascii="Arial" w:hAnsi="Arial" w:cs="Arial"/>
                <w:sz w:val="44"/>
                <w:szCs w:val="44"/>
              </w:rPr>
            </w:pPr>
            <w:r w:rsidRPr="00250387">
              <w:rPr>
                <w:rFonts w:ascii="Arial" w:hAnsi="Arial" w:cs="Arial"/>
                <w:b/>
                <w:color w:val="0000FF"/>
                <w:sz w:val="44"/>
                <w:szCs w:val="44"/>
              </w:rPr>
              <w:t>Ω</w:t>
            </w:r>
          </w:p>
        </w:tc>
        <w:tc>
          <w:tcPr>
            <w:tcW w:w="6620" w:type="dxa"/>
          </w:tcPr>
          <w:p w:rsidR="00E94379" w:rsidRPr="008C27CC" w:rsidRDefault="00E94379" w:rsidP="0039054A">
            <w:pPr>
              <w:rPr>
                <w:rFonts w:ascii="Arial" w:hAnsi="Arial" w:cs="Arial"/>
                <w:sz w:val="20"/>
                <w:szCs w:val="20"/>
              </w:rPr>
            </w:pPr>
            <w:r w:rsidRPr="008C27CC">
              <w:rPr>
                <w:rFonts w:ascii="Arial" w:hAnsi="Arial" w:cs="Arial"/>
                <w:sz w:val="20"/>
                <w:szCs w:val="20"/>
              </w:rPr>
              <w:t>The Province or its agencies must not directly or indirectly fund (through debt or equity) more than 50% of the following:</w:t>
            </w:r>
          </w:p>
          <w:p w:rsidR="00E94379" w:rsidRDefault="00E94379" w:rsidP="0026370A">
            <w:pPr>
              <w:pStyle w:val="ListParagraph"/>
              <w:numPr>
                <w:ilvl w:val="1"/>
                <w:numId w:val="14"/>
              </w:numPr>
              <w:spacing w:after="0" w:line="240" w:lineRule="auto"/>
              <w:rPr>
                <w:rFonts w:ascii="Arial" w:hAnsi="Arial" w:cs="Arial"/>
                <w:sz w:val="20"/>
                <w:szCs w:val="20"/>
              </w:rPr>
            </w:pPr>
            <w:r>
              <w:rPr>
                <w:rFonts w:ascii="Arial" w:hAnsi="Arial" w:cs="Arial"/>
                <w:sz w:val="20"/>
                <w:szCs w:val="20"/>
              </w:rPr>
              <w:t>The Trust</w:t>
            </w:r>
          </w:p>
          <w:p w:rsidR="00E94379" w:rsidRDefault="00E94379" w:rsidP="0026370A">
            <w:pPr>
              <w:pStyle w:val="ListParagraph"/>
              <w:numPr>
                <w:ilvl w:val="1"/>
                <w:numId w:val="14"/>
              </w:numPr>
              <w:spacing w:after="0" w:line="240" w:lineRule="auto"/>
              <w:rPr>
                <w:rFonts w:ascii="Arial" w:hAnsi="Arial" w:cs="Arial"/>
                <w:sz w:val="20"/>
                <w:szCs w:val="20"/>
              </w:rPr>
            </w:pPr>
            <w:r>
              <w:rPr>
                <w:rFonts w:ascii="Arial" w:hAnsi="Arial" w:cs="Arial"/>
                <w:sz w:val="20"/>
                <w:szCs w:val="20"/>
              </w:rPr>
              <w:t xml:space="preserve">The most subordinated debt of the Trust </w:t>
            </w:r>
          </w:p>
          <w:p w:rsidR="00E94379" w:rsidRDefault="00E94379" w:rsidP="0039054A">
            <w:pPr>
              <w:pStyle w:val="ListParagraph"/>
              <w:ind w:left="1080"/>
              <w:rPr>
                <w:rFonts w:ascii="Arial" w:hAnsi="Arial" w:cs="Arial"/>
                <w:sz w:val="20"/>
                <w:szCs w:val="20"/>
              </w:rPr>
            </w:pPr>
          </w:p>
          <w:p w:rsidR="00E94379" w:rsidRPr="00E846C2" w:rsidRDefault="00261845" w:rsidP="0039054A">
            <w:pPr>
              <w:rPr>
                <w:rFonts w:ascii="Arial" w:hAnsi="Arial" w:cs="Arial"/>
                <w:b/>
                <w:i/>
                <w:sz w:val="20"/>
                <w:szCs w:val="20"/>
              </w:rPr>
            </w:pPr>
            <w:r>
              <w:rPr>
                <w:rFonts w:ascii="Arial" w:hAnsi="Arial" w:cs="Arial"/>
                <w:b/>
                <w:i/>
                <w:sz w:val="20"/>
                <w:szCs w:val="20"/>
              </w:rPr>
              <w:t>See</w:t>
            </w:r>
            <w:r w:rsidR="00E94379" w:rsidRPr="00E846C2">
              <w:rPr>
                <w:rFonts w:ascii="Arial" w:hAnsi="Arial" w:cs="Arial"/>
                <w:b/>
                <w:i/>
                <w:sz w:val="20"/>
                <w:szCs w:val="20"/>
              </w:rPr>
              <w:t xml:space="preserve"> below for financing structure.</w:t>
            </w:r>
          </w:p>
          <w:p w:rsidR="00E94379" w:rsidRDefault="00E94379" w:rsidP="0039054A">
            <w:pPr>
              <w:rPr>
                <w:rFonts w:ascii="Arial" w:hAnsi="Arial" w:cs="Arial"/>
                <w:b/>
                <w:i/>
                <w:sz w:val="20"/>
                <w:szCs w:val="20"/>
              </w:rPr>
            </w:pPr>
          </w:p>
          <w:p w:rsidR="00E94379" w:rsidRPr="002D3978" w:rsidRDefault="00E94379" w:rsidP="0039054A">
            <w:pPr>
              <w:rPr>
                <w:rFonts w:ascii="Arial" w:hAnsi="Arial" w:cs="Arial"/>
                <w:b/>
                <w:sz w:val="20"/>
                <w:szCs w:val="20"/>
              </w:rPr>
            </w:pPr>
            <w:r w:rsidRPr="00C22492">
              <w:rPr>
                <w:rFonts w:ascii="Times New Roman" w:eastAsia="Times New Roman" w:hAnsi="Times New Roman"/>
                <w:sz w:val="24"/>
                <w:szCs w:val="24"/>
              </w:rPr>
              <w:object w:dxaOrig="6765" w:dyaOrig="29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15pt;height:147.85pt" o:ole="">
                  <v:imagedata r:id="rId10" o:title=""/>
                </v:shape>
                <o:OLEObject Type="Embed" ProgID="PBrush" ShapeID="_x0000_i1025" DrawAspect="Content" ObjectID="_1555247521" r:id="rId11"/>
              </w:object>
            </w:r>
          </w:p>
        </w:tc>
      </w:tr>
      <w:tr w:rsidR="00E94379" w:rsidTr="009A0137">
        <w:tc>
          <w:tcPr>
            <w:tcW w:w="1278" w:type="dxa"/>
            <w:vMerge/>
          </w:tcPr>
          <w:p w:rsidR="00E94379" w:rsidRDefault="00E94379" w:rsidP="0039054A">
            <w:pPr>
              <w:pStyle w:val="ListParagraph"/>
              <w:ind w:left="0"/>
              <w:rPr>
                <w:rFonts w:ascii="Arial" w:hAnsi="Arial" w:cs="Arial"/>
                <w:sz w:val="20"/>
                <w:szCs w:val="20"/>
              </w:rPr>
            </w:pPr>
          </w:p>
        </w:tc>
        <w:tc>
          <w:tcPr>
            <w:tcW w:w="630" w:type="dxa"/>
          </w:tcPr>
          <w:p w:rsidR="00E94379" w:rsidRDefault="00E94379" w:rsidP="0039054A">
            <w:pPr>
              <w:rPr>
                <w:rFonts w:ascii="Arial" w:hAnsi="Arial" w:cs="Arial"/>
                <w:sz w:val="20"/>
                <w:szCs w:val="20"/>
              </w:rPr>
            </w:pPr>
            <w:r>
              <w:rPr>
                <w:rFonts w:ascii="Arial" w:hAnsi="Arial" w:cs="Arial"/>
                <w:sz w:val="20"/>
                <w:szCs w:val="20"/>
              </w:rPr>
              <w:t>7</w:t>
            </w:r>
          </w:p>
          <w:p w:rsidR="00261845" w:rsidRPr="008C27CC" w:rsidRDefault="00250387" w:rsidP="0039054A">
            <w:pPr>
              <w:rPr>
                <w:rFonts w:ascii="Arial" w:hAnsi="Arial" w:cs="Arial"/>
                <w:sz w:val="20"/>
                <w:szCs w:val="20"/>
              </w:rPr>
            </w:pPr>
            <w:r w:rsidRPr="00250387">
              <w:rPr>
                <w:rFonts w:ascii="Arial" w:hAnsi="Arial" w:cs="Arial"/>
                <w:b/>
                <w:color w:val="0000FF"/>
                <w:sz w:val="44"/>
                <w:szCs w:val="44"/>
              </w:rPr>
              <w:t>Ω</w:t>
            </w:r>
          </w:p>
        </w:tc>
        <w:tc>
          <w:tcPr>
            <w:tcW w:w="6620" w:type="dxa"/>
          </w:tcPr>
          <w:p w:rsidR="00E94379" w:rsidRDefault="00E94379" w:rsidP="0039054A">
            <w:pPr>
              <w:rPr>
                <w:rFonts w:ascii="Arial" w:hAnsi="Arial" w:cs="Arial"/>
                <w:sz w:val="20"/>
                <w:szCs w:val="20"/>
              </w:rPr>
            </w:pPr>
            <w:r w:rsidRPr="008C27CC">
              <w:rPr>
                <w:rFonts w:ascii="Arial" w:hAnsi="Arial" w:cs="Arial"/>
                <w:sz w:val="20"/>
                <w:szCs w:val="20"/>
              </w:rPr>
              <w:t xml:space="preserve">OPG must own </w:t>
            </w:r>
            <w:r w:rsidR="007D4A38">
              <w:rPr>
                <w:rFonts w:ascii="Arial" w:hAnsi="Arial" w:cs="Arial"/>
                <w:sz w:val="20"/>
                <w:szCs w:val="20"/>
              </w:rPr>
              <w:t>at least</w:t>
            </w:r>
            <w:r w:rsidR="007D4A38" w:rsidRPr="008C27CC">
              <w:rPr>
                <w:rFonts w:ascii="Arial" w:hAnsi="Arial" w:cs="Arial"/>
                <w:sz w:val="20"/>
                <w:szCs w:val="20"/>
              </w:rPr>
              <w:t xml:space="preserve"> </w:t>
            </w:r>
            <w:r w:rsidRPr="008C27CC">
              <w:rPr>
                <w:rFonts w:ascii="Arial" w:hAnsi="Arial" w:cs="Arial"/>
                <w:sz w:val="20"/>
                <w:szCs w:val="20"/>
              </w:rPr>
              <w:t xml:space="preserve">50% of the most subordinated debt and must be no less than 5% of the debt of the Trust.  Such ownership must be financed entirely by OPG through operating cash flows or external debt, without assistance from Provincial sources. </w:t>
            </w:r>
          </w:p>
          <w:p w:rsidR="00E94379" w:rsidRDefault="00E94379" w:rsidP="0039054A">
            <w:pPr>
              <w:rPr>
                <w:rFonts w:ascii="Arial" w:hAnsi="Arial" w:cs="Arial"/>
                <w:sz w:val="20"/>
                <w:szCs w:val="20"/>
              </w:rPr>
            </w:pPr>
          </w:p>
          <w:p w:rsidR="00E94379" w:rsidRPr="00E846C2" w:rsidRDefault="00261845" w:rsidP="0039054A">
            <w:pPr>
              <w:rPr>
                <w:rFonts w:ascii="Arial" w:hAnsi="Arial" w:cs="Arial"/>
                <w:b/>
                <w:i/>
                <w:sz w:val="20"/>
                <w:szCs w:val="20"/>
              </w:rPr>
            </w:pPr>
            <w:r>
              <w:rPr>
                <w:rFonts w:ascii="Arial" w:hAnsi="Arial" w:cs="Arial"/>
                <w:b/>
                <w:i/>
                <w:sz w:val="20"/>
                <w:szCs w:val="20"/>
              </w:rPr>
              <w:t>See</w:t>
            </w:r>
            <w:r w:rsidR="00E94379" w:rsidRPr="00E846C2">
              <w:rPr>
                <w:rFonts w:ascii="Arial" w:hAnsi="Arial" w:cs="Arial"/>
                <w:b/>
                <w:i/>
                <w:sz w:val="20"/>
                <w:szCs w:val="20"/>
              </w:rPr>
              <w:t xml:space="preserve"> chart in Point 6 above</w:t>
            </w:r>
            <w:r w:rsidR="00E94379" w:rsidRPr="00E846C2">
              <w:rPr>
                <w:rFonts w:ascii="Arial" w:hAnsi="Arial" w:cs="Arial"/>
                <w:i/>
                <w:sz w:val="20"/>
                <w:szCs w:val="20"/>
              </w:rPr>
              <w:t>.</w:t>
            </w:r>
          </w:p>
          <w:p w:rsidR="00E94379" w:rsidRDefault="00E94379" w:rsidP="0039054A">
            <w:pPr>
              <w:pStyle w:val="ListParagraph"/>
              <w:ind w:left="0"/>
              <w:rPr>
                <w:rFonts w:ascii="Arial" w:hAnsi="Arial" w:cs="Arial"/>
                <w:sz w:val="20"/>
                <w:szCs w:val="20"/>
              </w:rPr>
            </w:pPr>
          </w:p>
        </w:tc>
      </w:tr>
      <w:tr w:rsidR="00E94379" w:rsidTr="009A0137">
        <w:tc>
          <w:tcPr>
            <w:tcW w:w="1278" w:type="dxa"/>
            <w:vMerge/>
          </w:tcPr>
          <w:p w:rsidR="00E94379" w:rsidRDefault="00E94379" w:rsidP="0039054A">
            <w:pPr>
              <w:pStyle w:val="ListParagraph"/>
              <w:ind w:left="0"/>
              <w:rPr>
                <w:rFonts w:ascii="Arial" w:hAnsi="Arial" w:cs="Arial"/>
                <w:sz w:val="20"/>
                <w:szCs w:val="20"/>
              </w:rPr>
            </w:pPr>
          </w:p>
        </w:tc>
        <w:tc>
          <w:tcPr>
            <w:tcW w:w="630" w:type="dxa"/>
          </w:tcPr>
          <w:p w:rsidR="00E94379" w:rsidRDefault="00E94379" w:rsidP="0039054A">
            <w:pPr>
              <w:rPr>
                <w:rFonts w:ascii="Arial" w:hAnsi="Arial" w:cs="Arial"/>
                <w:sz w:val="20"/>
                <w:szCs w:val="20"/>
              </w:rPr>
            </w:pPr>
            <w:r>
              <w:rPr>
                <w:rFonts w:ascii="Arial" w:hAnsi="Arial" w:cs="Arial"/>
                <w:sz w:val="20"/>
                <w:szCs w:val="20"/>
              </w:rPr>
              <w:t>8</w:t>
            </w:r>
          </w:p>
          <w:p w:rsidR="00261845" w:rsidRPr="008C27CC" w:rsidRDefault="00CE7E79" w:rsidP="0039054A">
            <w:pPr>
              <w:rPr>
                <w:rFonts w:ascii="Arial" w:hAnsi="Arial" w:cs="Arial"/>
                <w:sz w:val="20"/>
                <w:szCs w:val="20"/>
              </w:rPr>
            </w:pPr>
            <w:r w:rsidRPr="00CE7E79">
              <w:rPr>
                <w:rFonts w:ascii="Arial" w:hAnsi="Arial" w:cs="Arial"/>
                <w:b/>
                <w:color w:val="0000FF"/>
                <w:sz w:val="28"/>
                <w:szCs w:val="28"/>
              </w:rPr>
              <w:t>RT</w:t>
            </w:r>
          </w:p>
        </w:tc>
        <w:tc>
          <w:tcPr>
            <w:tcW w:w="6620" w:type="dxa"/>
          </w:tcPr>
          <w:p w:rsidR="00E94379" w:rsidRDefault="00E94379" w:rsidP="0039054A">
            <w:pPr>
              <w:rPr>
                <w:rFonts w:ascii="Arial" w:hAnsi="Arial" w:cs="Arial"/>
                <w:sz w:val="20"/>
                <w:szCs w:val="20"/>
              </w:rPr>
            </w:pPr>
            <w:r w:rsidRPr="008C27CC">
              <w:rPr>
                <w:rFonts w:ascii="Arial" w:hAnsi="Arial" w:cs="Arial"/>
                <w:sz w:val="20"/>
                <w:szCs w:val="20"/>
              </w:rPr>
              <w:t>OPG must have the ability to earn variable returns by exercising its authority, which shall be accomplished as follows:</w:t>
            </w:r>
          </w:p>
          <w:p w:rsidR="00E94379" w:rsidRPr="008C27CC" w:rsidRDefault="00E94379" w:rsidP="0039054A">
            <w:pPr>
              <w:rPr>
                <w:rFonts w:ascii="Arial" w:hAnsi="Arial" w:cs="Arial"/>
                <w:sz w:val="20"/>
                <w:szCs w:val="20"/>
              </w:rPr>
            </w:pPr>
          </w:p>
          <w:p w:rsidR="00E94379" w:rsidRDefault="00E94379" w:rsidP="0026370A">
            <w:pPr>
              <w:pStyle w:val="ListParagraph"/>
              <w:numPr>
                <w:ilvl w:val="0"/>
                <w:numId w:val="15"/>
              </w:numPr>
              <w:spacing w:after="0" w:line="240" w:lineRule="auto"/>
              <w:rPr>
                <w:rFonts w:ascii="Arial" w:hAnsi="Arial" w:cs="Arial"/>
                <w:sz w:val="20"/>
                <w:szCs w:val="20"/>
              </w:rPr>
            </w:pPr>
            <w:r w:rsidRPr="00986A1E">
              <w:rPr>
                <w:rFonts w:ascii="Arial" w:hAnsi="Arial" w:cs="Arial"/>
                <w:sz w:val="20"/>
                <w:szCs w:val="20"/>
              </w:rPr>
              <w:t>The cash flow from the restructured asset shall include interest determined based on a relevant benchmark that is appropriate relative to the restructured asset, plus an appropriate margin consistent with the relevant market and other risks</w:t>
            </w:r>
          </w:p>
          <w:p w:rsidR="00E94379" w:rsidRPr="00CB2064" w:rsidRDefault="00E94379" w:rsidP="0039054A">
            <w:pPr>
              <w:rPr>
                <w:rFonts w:ascii="Arial" w:hAnsi="Arial" w:cs="Arial"/>
                <w:sz w:val="20"/>
                <w:szCs w:val="20"/>
              </w:rPr>
            </w:pPr>
          </w:p>
          <w:p w:rsidR="00E94379" w:rsidRPr="00CB2064" w:rsidRDefault="00E94379" w:rsidP="0039054A">
            <w:pPr>
              <w:pStyle w:val="ListParagraph"/>
              <w:ind w:left="1080"/>
              <w:rPr>
                <w:rFonts w:ascii="Arial" w:hAnsi="Arial" w:cs="Arial"/>
                <w:b/>
                <w:i/>
                <w:sz w:val="20"/>
                <w:szCs w:val="20"/>
              </w:rPr>
            </w:pPr>
            <w:r>
              <w:rPr>
                <w:rFonts w:ascii="Arial" w:hAnsi="Arial" w:cs="Arial"/>
                <w:b/>
                <w:i/>
                <w:sz w:val="20"/>
                <w:szCs w:val="20"/>
              </w:rPr>
              <w:t xml:space="preserve">The cash flow from the restructured asset will include interest income that is equal to the interest expense (i.e. interest expense is passed back to the ratepayers).  </w:t>
            </w:r>
            <w:r w:rsidR="00694078">
              <w:rPr>
                <w:rFonts w:ascii="Arial" w:hAnsi="Arial" w:cs="Arial"/>
                <w:b/>
                <w:i/>
                <w:sz w:val="20"/>
                <w:szCs w:val="20"/>
              </w:rPr>
              <w:t>The Trust will also receive a margin as discussed in the ‘</w:t>
            </w:r>
            <w:r w:rsidR="00694078" w:rsidRPr="00694078">
              <w:rPr>
                <w:rFonts w:ascii="Arial" w:hAnsi="Arial" w:cs="Arial"/>
                <w:b/>
                <w:i/>
                <w:sz w:val="20"/>
                <w:szCs w:val="20"/>
              </w:rPr>
              <w:t>Exposure or rights to variable returns</w:t>
            </w:r>
            <w:r w:rsidR="00694078">
              <w:rPr>
                <w:rFonts w:ascii="Arial" w:hAnsi="Arial" w:cs="Arial"/>
                <w:b/>
                <w:i/>
                <w:sz w:val="20"/>
                <w:szCs w:val="20"/>
              </w:rPr>
              <w:t>’ section above.</w:t>
            </w:r>
          </w:p>
          <w:p w:rsidR="00E94379" w:rsidRPr="00CB2064" w:rsidRDefault="00E94379" w:rsidP="0039054A">
            <w:pPr>
              <w:pStyle w:val="ListParagraph"/>
              <w:ind w:left="1080"/>
              <w:rPr>
                <w:rFonts w:ascii="Arial" w:hAnsi="Arial" w:cs="Arial"/>
                <w:b/>
                <w:i/>
                <w:sz w:val="20"/>
                <w:szCs w:val="20"/>
              </w:rPr>
            </w:pPr>
          </w:p>
          <w:p w:rsidR="00E94379" w:rsidRDefault="00E94379" w:rsidP="0039054A">
            <w:pPr>
              <w:pStyle w:val="ListParagraph"/>
              <w:ind w:left="0"/>
              <w:rPr>
                <w:rFonts w:ascii="Arial" w:hAnsi="Arial" w:cs="Arial"/>
                <w:sz w:val="20"/>
                <w:szCs w:val="20"/>
              </w:rPr>
            </w:pPr>
            <w:r>
              <w:rPr>
                <w:rFonts w:ascii="Arial" w:hAnsi="Arial" w:cs="Arial"/>
                <w:sz w:val="20"/>
                <w:szCs w:val="20"/>
              </w:rPr>
              <w:t xml:space="preserve"> </w:t>
            </w:r>
          </w:p>
        </w:tc>
      </w:tr>
      <w:tr w:rsidR="009A0137" w:rsidTr="009A0137">
        <w:tc>
          <w:tcPr>
            <w:tcW w:w="1278" w:type="dxa"/>
            <w:vMerge w:val="restart"/>
          </w:tcPr>
          <w:p w:rsidR="009A0137" w:rsidRDefault="009A0137" w:rsidP="0039054A">
            <w:pPr>
              <w:pStyle w:val="ListParagraph"/>
              <w:ind w:left="0"/>
              <w:rPr>
                <w:rFonts w:ascii="Arial" w:hAnsi="Arial" w:cs="Arial"/>
                <w:sz w:val="20"/>
                <w:szCs w:val="20"/>
              </w:rPr>
            </w:pPr>
          </w:p>
        </w:tc>
        <w:tc>
          <w:tcPr>
            <w:tcW w:w="630" w:type="dxa"/>
          </w:tcPr>
          <w:p w:rsidR="009A0137" w:rsidRDefault="00250387" w:rsidP="0039054A">
            <w:pPr>
              <w:rPr>
                <w:rFonts w:ascii="Arial" w:hAnsi="Arial" w:cs="Arial"/>
                <w:sz w:val="20"/>
                <w:szCs w:val="20"/>
              </w:rPr>
            </w:pPr>
            <w:r w:rsidRPr="005D0135">
              <w:rPr>
                <w:rFonts w:ascii="Arial" w:hAnsi="Arial" w:cs="Arial"/>
                <w:b/>
                <w:color w:val="008000"/>
                <w:sz w:val="44"/>
                <w:szCs w:val="44"/>
              </w:rPr>
              <w:sym w:font="Wingdings" w:char="F0FC"/>
            </w:r>
          </w:p>
        </w:tc>
        <w:tc>
          <w:tcPr>
            <w:tcW w:w="6620" w:type="dxa"/>
          </w:tcPr>
          <w:p w:rsidR="009A0137" w:rsidRDefault="009A0137" w:rsidP="009A0137">
            <w:pPr>
              <w:pStyle w:val="ListParagraph"/>
              <w:numPr>
                <w:ilvl w:val="0"/>
                <w:numId w:val="15"/>
              </w:numPr>
              <w:spacing w:after="0" w:line="240" w:lineRule="auto"/>
              <w:rPr>
                <w:rFonts w:ascii="Arial" w:hAnsi="Arial" w:cs="Arial"/>
                <w:sz w:val="20"/>
                <w:szCs w:val="20"/>
              </w:rPr>
            </w:pPr>
            <w:r w:rsidRPr="00986A1E">
              <w:rPr>
                <w:rFonts w:ascii="Arial" w:hAnsi="Arial" w:cs="Arial"/>
                <w:sz w:val="20"/>
                <w:szCs w:val="20"/>
              </w:rPr>
              <w:t>OPG shall have the authority to determine the financing strategy, which will vary the financing costs with the objective of enabling the Trust to achieve a more favourable return compared to the benchmark for interest on the restructured asset</w:t>
            </w:r>
          </w:p>
          <w:p w:rsidR="009A0137" w:rsidRDefault="009A0137" w:rsidP="009A0137">
            <w:pPr>
              <w:pStyle w:val="ListParagraph"/>
              <w:tabs>
                <w:tab w:val="left" w:pos="1859"/>
              </w:tabs>
              <w:ind w:left="1080"/>
              <w:rPr>
                <w:rFonts w:ascii="Arial" w:hAnsi="Arial" w:cs="Arial"/>
                <w:sz w:val="20"/>
                <w:szCs w:val="20"/>
              </w:rPr>
            </w:pPr>
            <w:r w:rsidRPr="00986A1E">
              <w:rPr>
                <w:rFonts w:ascii="Arial" w:hAnsi="Arial" w:cs="Arial"/>
                <w:sz w:val="20"/>
                <w:szCs w:val="20"/>
              </w:rPr>
              <w:t xml:space="preserve"> </w:t>
            </w:r>
            <w:r>
              <w:rPr>
                <w:rFonts w:ascii="Arial" w:hAnsi="Arial" w:cs="Arial"/>
                <w:sz w:val="20"/>
                <w:szCs w:val="20"/>
              </w:rPr>
              <w:tab/>
            </w:r>
          </w:p>
          <w:p w:rsidR="009A0137" w:rsidRDefault="009A0137" w:rsidP="009A0137">
            <w:pPr>
              <w:pStyle w:val="ListParagraph"/>
              <w:ind w:left="1080"/>
              <w:rPr>
                <w:rFonts w:ascii="Arial" w:hAnsi="Arial" w:cs="Arial"/>
                <w:b/>
                <w:i/>
                <w:sz w:val="20"/>
                <w:szCs w:val="20"/>
              </w:rPr>
            </w:pPr>
            <w:r>
              <w:rPr>
                <w:rFonts w:ascii="Arial" w:hAnsi="Arial" w:cs="Arial"/>
                <w:b/>
                <w:i/>
                <w:sz w:val="20"/>
                <w:szCs w:val="20"/>
              </w:rPr>
              <w:t>OPG will determine the financing strategy through the proposal of its ‘Financing Plan’.  The ‘Financing Plan’ will only be required to follow general Parameters and Principles as set forth in the Legislation but funding decisions will be made entirely by OPG.  The Trust will also receive a margin as discussed in the ‘</w:t>
            </w:r>
            <w:r w:rsidRPr="00694078">
              <w:rPr>
                <w:rFonts w:ascii="Arial" w:hAnsi="Arial" w:cs="Arial"/>
                <w:b/>
                <w:i/>
                <w:sz w:val="20"/>
                <w:szCs w:val="20"/>
              </w:rPr>
              <w:t>Exposure or rights to variable returns</w:t>
            </w:r>
            <w:r>
              <w:rPr>
                <w:rFonts w:ascii="Arial" w:hAnsi="Arial" w:cs="Arial"/>
                <w:b/>
                <w:i/>
                <w:sz w:val="20"/>
                <w:szCs w:val="20"/>
              </w:rPr>
              <w:t>’ section above.</w:t>
            </w:r>
          </w:p>
          <w:p w:rsidR="009A0137" w:rsidRPr="008C27CC" w:rsidRDefault="009A0137" w:rsidP="0039054A">
            <w:pPr>
              <w:rPr>
                <w:rFonts w:ascii="Arial" w:hAnsi="Arial" w:cs="Arial"/>
                <w:sz w:val="20"/>
                <w:szCs w:val="20"/>
              </w:rPr>
            </w:pPr>
          </w:p>
        </w:tc>
      </w:tr>
      <w:tr w:rsidR="009A0137" w:rsidTr="009A0137">
        <w:tc>
          <w:tcPr>
            <w:tcW w:w="1278" w:type="dxa"/>
            <w:vMerge/>
          </w:tcPr>
          <w:p w:rsidR="009A0137" w:rsidRDefault="009A0137" w:rsidP="0039054A">
            <w:pPr>
              <w:pStyle w:val="ListParagraph"/>
              <w:ind w:left="0"/>
              <w:rPr>
                <w:rFonts w:ascii="Arial" w:hAnsi="Arial" w:cs="Arial"/>
                <w:sz w:val="20"/>
                <w:szCs w:val="20"/>
              </w:rPr>
            </w:pPr>
          </w:p>
        </w:tc>
        <w:tc>
          <w:tcPr>
            <w:tcW w:w="630" w:type="dxa"/>
          </w:tcPr>
          <w:p w:rsidR="009A0137" w:rsidRDefault="00250387" w:rsidP="0039054A">
            <w:pPr>
              <w:rPr>
                <w:rFonts w:ascii="Arial" w:hAnsi="Arial" w:cs="Arial"/>
                <w:sz w:val="20"/>
                <w:szCs w:val="20"/>
              </w:rPr>
            </w:pPr>
            <w:r w:rsidRPr="00250387">
              <w:rPr>
                <w:rFonts w:ascii="Arial" w:hAnsi="Arial" w:cs="Arial"/>
                <w:b/>
                <w:color w:val="0000FF"/>
                <w:sz w:val="44"/>
                <w:szCs w:val="44"/>
              </w:rPr>
              <w:t>Ω</w:t>
            </w:r>
          </w:p>
        </w:tc>
        <w:tc>
          <w:tcPr>
            <w:tcW w:w="6620" w:type="dxa"/>
          </w:tcPr>
          <w:p w:rsidR="009A0137" w:rsidRPr="00E846C2" w:rsidRDefault="009A0137" w:rsidP="009A0137">
            <w:pPr>
              <w:pStyle w:val="ListParagraph"/>
              <w:numPr>
                <w:ilvl w:val="0"/>
                <w:numId w:val="15"/>
              </w:numPr>
              <w:spacing w:after="0" w:line="240" w:lineRule="auto"/>
              <w:rPr>
                <w:rFonts w:ascii="Arial" w:hAnsi="Arial"/>
                <w:sz w:val="20"/>
              </w:rPr>
            </w:pPr>
            <w:r w:rsidRPr="00986A1E">
              <w:rPr>
                <w:rFonts w:ascii="Arial" w:hAnsi="Arial" w:cs="Arial"/>
                <w:sz w:val="20"/>
                <w:szCs w:val="20"/>
              </w:rPr>
              <w:t>The Trust shall establish classes of liabilities (senior, subordinated and the most subordinated).  The classes would allow the Trust to delineate financing of lower risk investment and investment that would bear higher residual risk.  The delineation would limit OPG’s self-funded investment to a reasonable level in order to allow OPG to remain a sel</w:t>
            </w:r>
            <w:r>
              <w:rPr>
                <w:rFonts w:ascii="Arial" w:hAnsi="Arial" w:cs="Arial"/>
                <w:sz w:val="20"/>
                <w:szCs w:val="20"/>
              </w:rPr>
              <w:t>f-sustaining entity.</w:t>
            </w:r>
          </w:p>
          <w:p w:rsidR="009A0137" w:rsidRPr="00E846C2" w:rsidRDefault="009A0137" w:rsidP="009A0137">
            <w:pPr>
              <w:pStyle w:val="ListParagraph"/>
              <w:ind w:left="1080"/>
              <w:rPr>
                <w:rFonts w:ascii="Arial" w:hAnsi="Arial"/>
                <w:sz w:val="20"/>
              </w:rPr>
            </w:pPr>
          </w:p>
          <w:p w:rsidR="009A0137" w:rsidRDefault="009A0137" w:rsidP="009A0137">
            <w:pPr>
              <w:pStyle w:val="ListParagraph"/>
              <w:ind w:left="1080"/>
              <w:rPr>
                <w:rFonts w:ascii="Arial" w:hAnsi="Arial" w:cs="Arial"/>
                <w:b/>
                <w:i/>
                <w:sz w:val="20"/>
                <w:szCs w:val="20"/>
              </w:rPr>
            </w:pPr>
            <w:r>
              <w:rPr>
                <w:rFonts w:ascii="Arial" w:hAnsi="Arial" w:cs="Arial"/>
                <w:b/>
                <w:i/>
                <w:sz w:val="20"/>
                <w:szCs w:val="20"/>
              </w:rPr>
              <w:t>OPG’s portion of the most subordinated debt will be limited to a reasonable level.  If it is determined that OPG’s portion is not at a reasonable level, OPG has the option to withdraw its Financing Plan.</w:t>
            </w:r>
          </w:p>
          <w:p w:rsidR="009A0137" w:rsidRPr="008C27CC" w:rsidRDefault="009A0137" w:rsidP="0039054A">
            <w:pPr>
              <w:rPr>
                <w:rFonts w:ascii="Arial" w:hAnsi="Arial" w:cs="Arial"/>
                <w:sz w:val="20"/>
                <w:szCs w:val="20"/>
              </w:rPr>
            </w:pPr>
          </w:p>
        </w:tc>
      </w:tr>
      <w:tr w:rsidR="009A0137" w:rsidTr="009A0137">
        <w:tc>
          <w:tcPr>
            <w:tcW w:w="1278" w:type="dxa"/>
            <w:vMerge/>
          </w:tcPr>
          <w:p w:rsidR="009A0137" w:rsidRDefault="009A0137" w:rsidP="0039054A">
            <w:pPr>
              <w:pStyle w:val="ListParagraph"/>
              <w:ind w:left="0"/>
              <w:rPr>
                <w:rFonts w:ascii="Arial" w:hAnsi="Arial" w:cs="Arial"/>
                <w:sz w:val="20"/>
                <w:szCs w:val="20"/>
              </w:rPr>
            </w:pPr>
          </w:p>
        </w:tc>
        <w:tc>
          <w:tcPr>
            <w:tcW w:w="630" w:type="dxa"/>
          </w:tcPr>
          <w:p w:rsidR="009A0137" w:rsidRDefault="00CE7E79" w:rsidP="0039054A">
            <w:pPr>
              <w:rPr>
                <w:rFonts w:ascii="Arial" w:hAnsi="Arial" w:cs="Arial"/>
                <w:sz w:val="20"/>
                <w:szCs w:val="20"/>
              </w:rPr>
            </w:pPr>
            <w:r w:rsidRPr="00CE7E79">
              <w:rPr>
                <w:rFonts w:ascii="Arial" w:hAnsi="Arial" w:cs="Arial"/>
                <w:b/>
                <w:color w:val="0000FF"/>
                <w:sz w:val="28"/>
                <w:szCs w:val="28"/>
              </w:rPr>
              <w:t>RT</w:t>
            </w:r>
          </w:p>
        </w:tc>
        <w:tc>
          <w:tcPr>
            <w:tcW w:w="6620" w:type="dxa"/>
          </w:tcPr>
          <w:p w:rsidR="009A0137" w:rsidRDefault="009A0137" w:rsidP="009A0137">
            <w:pPr>
              <w:pStyle w:val="ListParagraph"/>
              <w:numPr>
                <w:ilvl w:val="1"/>
                <w:numId w:val="14"/>
              </w:numPr>
              <w:spacing w:after="0" w:line="240" w:lineRule="auto"/>
              <w:rPr>
                <w:rFonts w:ascii="Arial" w:hAnsi="Arial" w:cs="Arial"/>
                <w:sz w:val="20"/>
                <w:szCs w:val="20"/>
              </w:rPr>
            </w:pPr>
            <w:r w:rsidRPr="00986A1E">
              <w:rPr>
                <w:rFonts w:ascii="Arial" w:hAnsi="Arial" w:cs="Arial"/>
                <w:sz w:val="20"/>
                <w:szCs w:val="20"/>
              </w:rPr>
              <w:t xml:space="preserve">OPG shall, through its ownership of the most subordinated liability, be able to capture and retain the pricing difference between cost of financing and benchmark for interest on the restructured asset, or any residual risk of restructured asset.  The targeted return of the subordinated liability should be reflective of the underlying risks and compensate holders for active management that would be required.  </w:t>
            </w:r>
          </w:p>
          <w:p w:rsidR="009A0137" w:rsidRDefault="009A0137" w:rsidP="009A0137">
            <w:pPr>
              <w:pStyle w:val="ListParagraph"/>
              <w:ind w:left="1080"/>
              <w:rPr>
                <w:rFonts w:ascii="Arial" w:hAnsi="Arial" w:cs="Arial"/>
                <w:sz w:val="20"/>
                <w:szCs w:val="20"/>
              </w:rPr>
            </w:pPr>
          </w:p>
          <w:p w:rsidR="009A0137" w:rsidRDefault="009A0137" w:rsidP="009A0137">
            <w:pPr>
              <w:pStyle w:val="ListParagraph"/>
              <w:spacing w:after="0"/>
              <w:ind w:left="1080"/>
              <w:rPr>
                <w:rFonts w:ascii="Arial" w:hAnsi="Arial" w:cs="Arial"/>
                <w:b/>
                <w:i/>
                <w:sz w:val="20"/>
                <w:szCs w:val="20"/>
              </w:rPr>
            </w:pPr>
            <w:r>
              <w:rPr>
                <w:rFonts w:ascii="Arial" w:hAnsi="Arial" w:cs="Arial"/>
                <w:b/>
                <w:i/>
                <w:sz w:val="20"/>
                <w:szCs w:val="20"/>
              </w:rPr>
              <w:lastRenderedPageBreak/>
              <w:t>OPG will be able to capture the pricing difference between cost of financing and benchmark for interest through the performance fee which is described in point 5) above and the ‘</w:t>
            </w:r>
            <w:r w:rsidRPr="00694078">
              <w:rPr>
                <w:rFonts w:ascii="Arial" w:hAnsi="Arial" w:cs="Arial"/>
                <w:b/>
                <w:i/>
                <w:sz w:val="20"/>
                <w:szCs w:val="20"/>
              </w:rPr>
              <w:t>Exposure or rights to variable returns</w:t>
            </w:r>
            <w:r>
              <w:rPr>
                <w:rFonts w:ascii="Arial" w:hAnsi="Arial" w:cs="Arial"/>
                <w:b/>
                <w:i/>
                <w:sz w:val="20"/>
                <w:szCs w:val="20"/>
              </w:rPr>
              <w:t>’ section above.</w:t>
            </w:r>
          </w:p>
          <w:p w:rsidR="009A0137" w:rsidRPr="008C27CC" w:rsidRDefault="009A0137" w:rsidP="0039054A">
            <w:pPr>
              <w:rPr>
                <w:rFonts w:ascii="Arial" w:hAnsi="Arial" w:cs="Arial"/>
                <w:sz w:val="20"/>
                <w:szCs w:val="20"/>
              </w:rPr>
            </w:pPr>
          </w:p>
        </w:tc>
      </w:tr>
      <w:tr w:rsidR="009A0137" w:rsidTr="009A0137">
        <w:tc>
          <w:tcPr>
            <w:tcW w:w="1278" w:type="dxa"/>
            <w:vMerge w:val="restart"/>
          </w:tcPr>
          <w:p w:rsidR="009A0137" w:rsidRDefault="009A0137" w:rsidP="0039054A">
            <w:pPr>
              <w:pStyle w:val="ListParagraph"/>
              <w:ind w:left="0"/>
              <w:rPr>
                <w:rFonts w:ascii="Arial" w:hAnsi="Arial" w:cs="Arial"/>
                <w:sz w:val="20"/>
                <w:szCs w:val="20"/>
              </w:rPr>
            </w:pPr>
          </w:p>
        </w:tc>
        <w:tc>
          <w:tcPr>
            <w:tcW w:w="630" w:type="dxa"/>
          </w:tcPr>
          <w:p w:rsidR="009A0137" w:rsidRDefault="0063421A" w:rsidP="0039054A">
            <w:pPr>
              <w:rPr>
                <w:rFonts w:ascii="Arial" w:hAnsi="Arial" w:cs="Arial"/>
                <w:sz w:val="20"/>
                <w:szCs w:val="20"/>
              </w:rPr>
            </w:pPr>
            <w:r w:rsidRPr="00250387">
              <w:rPr>
                <w:rFonts w:ascii="Arial" w:hAnsi="Arial" w:cs="Arial"/>
                <w:b/>
                <w:color w:val="0000FF"/>
                <w:sz w:val="44"/>
                <w:szCs w:val="44"/>
              </w:rPr>
              <w:t>Ω</w:t>
            </w:r>
          </w:p>
        </w:tc>
        <w:tc>
          <w:tcPr>
            <w:tcW w:w="6620" w:type="dxa"/>
          </w:tcPr>
          <w:p w:rsidR="009A0137" w:rsidRDefault="009A0137" w:rsidP="009A0137">
            <w:pPr>
              <w:pStyle w:val="ListParagraph"/>
              <w:numPr>
                <w:ilvl w:val="1"/>
                <w:numId w:val="14"/>
              </w:numPr>
              <w:spacing w:after="0" w:line="240" w:lineRule="auto"/>
              <w:rPr>
                <w:rFonts w:ascii="Arial" w:hAnsi="Arial" w:cs="Arial"/>
                <w:sz w:val="20"/>
                <w:szCs w:val="20"/>
              </w:rPr>
            </w:pPr>
            <w:r>
              <w:rPr>
                <w:rFonts w:ascii="Arial" w:hAnsi="Arial" w:cs="Arial"/>
                <w:sz w:val="20"/>
                <w:szCs w:val="20"/>
              </w:rPr>
              <w:t>OPG should participate in the detailed design of the above and the Trust documentation to ensure that it has substantive power and variability, which will allow OPG’s Board of Directors to evaluate the opportunity as a business initiative instead of through a shareholder directive</w:t>
            </w:r>
            <w:r w:rsidRPr="00986A1E">
              <w:rPr>
                <w:rFonts w:ascii="Arial" w:hAnsi="Arial" w:cs="Arial"/>
                <w:sz w:val="20"/>
                <w:szCs w:val="20"/>
              </w:rPr>
              <w:t xml:space="preserve">.  </w:t>
            </w:r>
          </w:p>
          <w:p w:rsidR="009A0137" w:rsidRDefault="009A0137" w:rsidP="009A0137">
            <w:pPr>
              <w:pStyle w:val="ListParagraph"/>
              <w:ind w:left="360"/>
              <w:rPr>
                <w:rFonts w:ascii="Arial" w:hAnsi="Arial" w:cs="Arial"/>
                <w:sz w:val="20"/>
                <w:szCs w:val="20"/>
              </w:rPr>
            </w:pPr>
          </w:p>
          <w:p w:rsidR="009A0137" w:rsidRDefault="009A0137" w:rsidP="009A0137">
            <w:pPr>
              <w:pStyle w:val="ListParagraph"/>
              <w:ind w:left="1080"/>
              <w:rPr>
                <w:rFonts w:ascii="Arial" w:hAnsi="Arial" w:cs="Arial"/>
                <w:b/>
                <w:i/>
                <w:sz w:val="20"/>
                <w:szCs w:val="20"/>
              </w:rPr>
            </w:pPr>
            <w:r>
              <w:rPr>
                <w:rFonts w:ascii="Arial" w:hAnsi="Arial" w:cs="Arial"/>
                <w:b/>
                <w:i/>
                <w:sz w:val="20"/>
                <w:szCs w:val="20"/>
              </w:rPr>
              <w:t xml:space="preserve">OPG will be involved in the Trust documentation. </w:t>
            </w:r>
          </w:p>
          <w:p w:rsidR="009A0137" w:rsidRPr="008C27CC" w:rsidRDefault="009A0137" w:rsidP="0039054A">
            <w:pPr>
              <w:rPr>
                <w:rFonts w:ascii="Arial" w:hAnsi="Arial" w:cs="Arial"/>
                <w:sz w:val="20"/>
                <w:szCs w:val="20"/>
              </w:rPr>
            </w:pPr>
          </w:p>
        </w:tc>
      </w:tr>
      <w:tr w:rsidR="009A0137" w:rsidTr="009A0137">
        <w:tc>
          <w:tcPr>
            <w:tcW w:w="1278" w:type="dxa"/>
            <w:vMerge/>
          </w:tcPr>
          <w:p w:rsidR="009A0137" w:rsidRDefault="009A0137" w:rsidP="0039054A">
            <w:pPr>
              <w:pStyle w:val="ListParagraph"/>
              <w:ind w:left="0"/>
              <w:rPr>
                <w:rFonts w:ascii="Arial" w:hAnsi="Arial" w:cs="Arial"/>
                <w:sz w:val="20"/>
                <w:szCs w:val="20"/>
              </w:rPr>
            </w:pPr>
          </w:p>
        </w:tc>
        <w:tc>
          <w:tcPr>
            <w:tcW w:w="630" w:type="dxa"/>
          </w:tcPr>
          <w:p w:rsidR="009A0137" w:rsidRDefault="00CE7E79" w:rsidP="0039054A">
            <w:pPr>
              <w:rPr>
                <w:rFonts w:ascii="Arial" w:hAnsi="Arial" w:cs="Arial"/>
                <w:sz w:val="20"/>
                <w:szCs w:val="20"/>
              </w:rPr>
            </w:pPr>
            <w:r w:rsidRPr="00CE7E79">
              <w:rPr>
                <w:rFonts w:ascii="Arial" w:hAnsi="Arial" w:cs="Arial"/>
                <w:b/>
                <w:color w:val="0000FF"/>
                <w:sz w:val="28"/>
                <w:szCs w:val="28"/>
              </w:rPr>
              <w:t>RT</w:t>
            </w:r>
          </w:p>
        </w:tc>
        <w:tc>
          <w:tcPr>
            <w:tcW w:w="6620" w:type="dxa"/>
          </w:tcPr>
          <w:p w:rsidR="009A0137" w:rsidRDefault="009A0137" w:rsidP="009A0137">
            <w:pPr>
              <w:pStyle w:val="ListParagraph"/>
              <w:ind w:left="0"/>
              <w:rPr>
                <w:rFonts w:ascii="Arial" w:hAnsi="Arial" w:cs="Arial"/>
                <w:sz w:val="20"/>
                <w:szCs w:val="20"/>
              </w:rPr>
            </w:pPr>
            <w:r>
              <w:rPr>
                <w:rFonts w:ascii="Arial" w:hAnsi="Arial" w:cs="Arial"/>
                <w:sz w:val="20"/>
                <w:szCs w:val="20"/>
              </w:rPr>
              <w:t xml:space="preserve">Defined Forced Majeure for emergency events (e.g. unlikely credit market event or disruption where it is not possible to borrow from the market at a reasonable rate), OFA may provide bridge financing beyond the designated percentage for a defined period.   </w:t>
            </w:r>
          </w:p>
          <w:p w:rsidR="009A0137" w:rsidRDefault="009A0137" w:rsidP="009A0137">
            <w:pPr>
              <w:pStyle w:val="ListParagraph"/>
              <w:ind w:left="0"/>
              <w:rPr>
                <w:rFonts w:ascii="Arial" w:hAnsi="Arial" w:cs="Arial"/>
                <w:sz w:val="20"/>
                <w:szCs w:val="20"/>
              </w:rPr>
            </w:pPr>
          </w:p>
          <w:p w:rsidR="009A0137" w:rsidRDefault="009A0137" w:rsidP="009A0137">
            <w:pPr>
              <w:pStyle w:val="ListParagraph"/>
              <w:ind w:left="0"/>
              <w:rPr>
                <w:rFonts w:ascii="Arial" w:hAnsi="Arial" w:cs="Arial"/>
                <w:sz w:val="20"/>
                <w:szCs w:val="20"/>
              </w:rPr>
            </w:pPr>
            <w:r>
              <w:rPr>
                <w:rFonts w:ascii="Arial" w:hAnsi="Arial" w:cs="Arial"/>
                <w:b/>
                <w:i/>
                <w:sz w:val="20"/>
                <w:szCs w:val="20"/>
              </w:rPr>
              <w:t>This will be structured through a separate i</w:t>
            </w:r>
            <w:r w:rsidR="00F6566A">
              <w:rPr>
                <w:rFonts w:ascii="Arial" w:hAnsi="Arial" w:cs="Arial"/>
                <w:b/>
                <w:i/>
                <w:sz w:val="20"/>
                <w:szCs w:val="20"/>
              </w:rPr>
              <w:t>ndemnification agreement.  This is not expected to</w:t>
            </w:r>
            <w:r>
              <w:rPr>
                <w:rFonts w:ascii="Arial" w:hAnsi="Arial" w:cs="Arial"/>
                <w:b/>
                <w:i/>
                <w:sz w:val="20"/>
                <w:szCs w:val="20"/>
              </w:rPr>
              <w:t xml:space="preserve"> impact consolidation of the Trust because this is seen as a protective right which is only in affect when a contingency arises and not as a result of the relevant activities of the Trust.</w:t>
            </w:r>
          </w:p>
          <w:p w:rsidR="009A0137" w:rsidRPr="008C27CC" w:rsidRDefault="009A0137" w:rsidP="0039054A">
            <w:pPr>
              <w:rPr>
                <w:rFonts w:ascii="Arial" w:hAnsi="Arial" w:cs="Arial"/>
                <w:sz w:val="20"/>
                <w:szCs w:val="20"/>
              </w:rPr>
            </w:pPr>
          </w:p>
        </w:tc>
      </w:tr>
      <w:tr w:rsidR="00E94379" w:rsidTr="009A0137">
        <w:tc>
          <w:tcPr>
            <w:tcW w:w="1278" w:type="dxa"/>
            <w:vMerge w:val="restart"/>
          </w:tcPr>
          <w:p w:rsidR="00E94379" w:rsidRDefault="00E94379" w:rsidP="0039054A">
            <w:pPr>
              <w:pStyle w:val="ListParagraph"/>
              <w:ind w:left="0"/>
              <w:rPr>
                <w:rFonts w:ascii="Arial" w:hAnsi="Arial" w:cs="Arial"/>
                <w:sz w:val="20"/>
                <w:szCs w:val="20"/>
              </w:rPr>
            </w:pPr>
            <w:r>
              <w:rPr>
                <w:rFonts w:ascii="Arial" w:hAnsi="Arial" w:cs="Arial"/>
                <w:sz w:val="20"/>
                <w:szCs w:val="20"/>
              </w:rPr>
              <w:t>Legislation</w:t>
            </w:r>
          </w:p>
        </w:tc>
        <w:tc>
          <w:tcPr>
            <w:tcW w:w="630" w:type="dxa"/>
          </w:tcPr>
          <w:p w:rsidR="00E94379" w:rsidRDefault="00E94379" w:rsidP="0039054A">
            <w:pPr>
              <w:pStyle w:val="ListParagraph"/>
              <w:ind w:left="0"/>
              <w:rPr>
                <w:rFonts w:ascii="Arial" w:hAnsi="Arial" w:cs="Arial"/>
                <w:sz w:val="20"/>
                <w:szCs w:val="20"/>
              </w:rPr>
            </w:pPr>
            <w:r>
              <w:rPr>
                <w:rFonts w:ascii="Arial" w:hAnsi="Arial" w:cs="Arial"/>
                <w:sz w:val="20"/>
                <w:szCs w:val="20"/>
              </w:rPr>
              <w:t>9</w:t>
            </w:r>
          </w:p>
          <w:p w:rsidR="00EE345C" w:rsidRDefault="004B406B" w:rsidP="0039054A">
            <w:pPr>
              <w:pStyle w:val="ListParagraph"/>
              <w:ind w:left="0"/>
              <w:rPr>
                <w:rFonts w:ascii="Arial" w:hAnsi="Arial" w:cs="Arial"/>
                <w:sz w:val="20"/>
                <w:szCs w:val="20"/>
              </w:rPr>
            </w:pPr>
            <w:r w:rsidRPr="005D0135">
              <w:rPr>
                <w:rFonts w:ascii="Arial" w:hAnsi="Arial" w:cs="Arial"/>
                <w:b/>
                <w:color w:val="008000"/>
                <w:sz w:val="44"/>
                <w:szCs w:val="44"/>
              </w:rPr>
              <w:sym w:font="Wingdings" w:char="F0FC"/>
            </w:r>
          </w:p>
        </w:tc>
        <w:tc>
          <w:tcPr>
            <w:tcW w:w="6620" w:type="dxa"/>
          </w:tcPr>
          <w:p w:rsidR="00E94379" w:rsidRDefault="00E94379" w:rsidP="0039054A">
            <w:pPr>
              <w:pStyle w:val="ListParagraph"/>
              <w:ind w:left="0"/>
              <w:rPr>
                <w:rFonts w:ascii="Arial" w:hAnsi="Arial" w:cs="Arial"/>
                <w:sz w:val="20"/>
                <w:szCs w:val="20"/>
              </w:rPr>
            </w:pPr>
            <w:r>
              <w:rPr>
                <w:rFonts w:ascii="Arial" w:hAnsi="Arial" w:cs="Arial"/>
                <w:sz w:val="20"/>
                <w:szCs w:val="20"/>
              </w:rPr>
              <w:t>The Legislation must require interest, carrying and administrative costs to be paid to the Trust on a monthly basis, so that the Trust is able to recognize appropriate revenue to offset any ongoing costs.</w:t>
            </w:r>
          </w:p>
          <w:p w:rsidR="00E94379" w:rsidRDefault="00E94379" w:rsidP="0039054A">
            <w:pPr>
              <w:pStyle w:val="ListParagraph"/>
              <w:ind w:left="0"/>
              <w:rPr>
                <w:rFonts w:ascii="Arial" w:hAnsi="Arial" w:cs="Arial"/>
                <w:sz w:val="20"/>
                <w:szCs w:val="20"/>
              </w:rPr>
            </w:pPr>
          </w:p>
          <w:p w:rsidR="00E94379" w:rsidRPr="00351CC3" w:rsidRDefault="004B406B" w:rsidP="00351CC3">
            <w:pPr>
              <w:pStyle w:val="ListParagraph"/>
              <w:ind w:left="0"/>
              <w:rPr>
                <w:rFonts w:ascii="Arial" w:hAnsi="Arial" w:cs="Arial"/>
                <w:b/>
                <w:i/>
                <w:sz w:val="20"/>
                <w:szCs w:val="20"/>
              </w:rPr>
            </w:pPr>
            <w:r>
              <w:rPr>
                <w:rFonts w:ascii="Arial" w:hAnsi="Arial" w:cs="Arial"/>
                <w:b/>
                <w:i/>
                <w:sz w:val="20"/>
                <w:szCs w:val="20"/>
              </w:rPr>
              <w:t xml:space="preserve">Under </w:t>
            </w:r>
            <w:r w:rsidRPr="00261921">
              <w:rPr>
                <w:rFonts w:ascii="Arial" w:hAnsi="Arial" w:cs="Arial"/>
                <w:b/>
                <w:i/>
                <w:sz w:val="20"/>
                <w:szCs w:val="20"/>
              </w:rPr>
              <w:t>Part III – Clean Energy Adjustment</w:t>
            </w:r>
            <w:r w:rsidR="00261921">
              <w:rPr>
                <w:rFonts w:ascii="Arial" w:hAnsi="Arial" w:cs="Arial"/>
                <w:b/>
                <w:i/>
                <w:sz w:val="20"/>
                <w:szCs w:val="20"/>
              </w:rPr>
              <w:t xml:space="preserve"> – Section 8.3 Terms,</w:t>
            </w:r>
            <w:r>
              <w:rPr>
                <w:rFonts w:ascii="Arial" w:hAnsi="Arial" w:cs="Arial"/>
                <w:b/>
                <w:i/>
                <w:sz w:val="20"/>
                <w:szCs w:val="20"/>
              </w:rPr>
              <w:t xml:space="preserve"> of the </w:t>
            </w:r>
            <w:proofErr w:type="gramStart"/>
            <w:r w:rsidR="00261921">
              <w:rPr>
                <w:rFonts w:ascii="Arial" w:hAnsi="Arial" w:cs="Arial"/>
                <w:b/>
                <w:i/>
                <w:sz w:val="20"/>
                <w:szCs w:val="20"/>
              </w:rPr>
              <w:t>Legislation</w:t>
            </w:r>
            <w:r>
              <w:rPr>
                <w:rFonts w:ascii="Arial" w:hAnsi="Arial" w:cs="Arial"/>
                <w:b/>
                <w:i/>
                <w:sz w:val="20"/>
                <w:szCs w:val="20"/>
              </w:rPr>
              <w:t>,</w:t>
            </w:r>
            <w:proofErr w:type="gramEnd"/>
            <w:r>
              <w:rPr>
                <w:rFonts w:ascii="Arial" w:hAnsi="Arial" w:cs="Arial"/>
                <w:b/>
                <w:i/>
                <w:sz w:val="20"/>
                <w:szCs w:val="20"/>
              </w:rPr>
              <w:t xml:space="preserve"> t</w:t>
            </w:r>
            <w:r w:rsidR="00E94379">
              <w:rPr>
                <w:rFonts w:ascii="Arial" w:hAnsi="Arial" w:cs="Arial"/>
                <w:b/>
                <w:i/>
                <w:sz w:val="20"/>
                <w:szCs w:val="20"/>
              </w:rPr>
              <w:t>he</w:t>
            </w:r>
            <w:r w:rsidR="00477152">
              <w:rPr>
                <w:rFonts w:ascii="Arial" w:hAnsi="Arial" w:cs="Arial"/>
                <w:b/>
                <w:i/>
                <w:sz w:val="20"/>
                <w:szCs w:val="20"/>
              </w:rPr>
              <w:t xml:space="preserve"> expectation is that the</w:t>
            </w:r>
            <w:r w:rsidR="00E94379">
              <w:rPr>
                <w:rFonts w:ascii="Arial" w:hAnsi="Arial" w:cs="Arial"/>
                <w:b/>
                <w:i/>
                <w:sz w:val="20"/>
                <w:szCs w:val="20"/>
              </w:rPr>
              <w:t xml:space="preserve"> Legislation will allow for interest payments to be paid to the Trust on a monthly basis</w:t>
            </w:r>
            <w:r w:rsidR="00351CC3">
              <w:rPr>
                <w:rFonts w:ascii="Arial" w:hAnsi="Arial" w:cs="Arial"/>
                <w:b/>
                <w:i/>
                <w:sz w:val="20"/>
                <w:szCs w:val="20"/>
              </w:rPr>
              <w:t xml:space="preserve"> in cash</w:t>
            </w:r>
            <w:r w:rsidR="00E94379">
              <w:rPr>
                <w:rFonts w:ascii="Arial" w:hAnsi="Arial" w:cs="Arial"/>
                <w:b/>
                <w:i/>
                <w:sz w:val="20"/>
                <w:szCs w:val="20"/>
              </w:rPr>
              <w:t>.</w:t>
            </w:r>
            <w:r w:rsidR="00477152">
              <w:rPr>
                <w:rFonts w:ascii="Arial" w:hAnsi="Arial" w:cs="Arial"/>
                <w:b/>
                <w:i/>
                <w:sz w:val="20"/>
                <w:szCs w:val="20"/>
              </w:rPr>
              <w:t xml:space="preserve"> </w:t>
            </w:r>
            <w:r w:rsidR="00E94379">
              <w:rPr>
                <w:rFonts w:ascii="Arial" w:hAnsi="Arial" w:cs="Arial"/>
                <w:b/>
                <w:i/>
                <w:sz w:val="20"/>
                <w:szCs w:val="20"/>
              </w:rPr>
              <w:t xml:space="preserve"> </w:t>
            </w:r>
            <w:r w:rsidR="00351CC3">
              <w:rPr>
                <w:rFonts w:ascii="Arial" w:hAnsi="Arial" w:cs="Arial"/>
                <w:b/>
                <w:i/>
                <w:sz w:val="20"/>
                <w:szCs w:val="20"/>
              </w:rPr>
              <w:t xml:space="preserve">The Trust will not accrue interest to the current intangible asset balances but this interest amount could form part of future intangible assets that are purchased from the IESO.  </w:t>
            </w:r>
          </w:p>
        </w:tc>
      </w:tr>
      <w:tr w:rsidR="00E94379" w:rsidTr="009A0137">
        <w:tc>
          <w:tcPr>
            <w:tcW w:w="1278" w:type="dxa"/>
            <w:vMerge/>
          </w:tcPr>
          <w:p w:rsidR="00E94379" w:rsidRDefault="00E94379" w:rsidP="0039054A">
            <w:pPr>
              <w:pStyle w:val="ListParagraph"/>
              <w:ind w:left="0"/>
              <w:rPr>
                <w:rFonts w:ascii="Arial" w:hAnsi="Arial" w:cs="Arial"/>
                <w:sz w:val="20"/>
                <w:szCs w:val="20"/>
              </w:rPr>
            </w:pPr>
          </w:p>
        </w:tc>
        <w:tc>
          <w:tcPr>
            <w:tcW w:w="630" w:type="dxa"/>
          </w:tcPr>
          <w:p w:rsidR="00E94379" w:rsidRDefault="00E94379" w:rsidP="0039054A">
            <w:pPr>
              <w:pStyle w:val="ListParagraph"/>
              <w:ind w:left="0"/>
              <w:rPr>
                <w:rFonts w:ascii="Arial" w:hAnsi="Arial" w:cs="Arial"/>
                <w:sz w:val="20"/>
                <w:szCs w:val="20"/>
              </w:rPr>
            </w:pPr>
            <w:r>
              <w:rPr>
                <w:rFonts w:ascii="Arial" w:hAnsi="Arial" w:cs="Arial"/>
                <w:sz w:val="20"/>
                <w:szCs w:val="20"/>
              </w:rPr>
              <w:t>10</w:t>
            </w:r>
          </w:p>
          <w:p w:rsidR="00EE345C" w:rsidRDefault="00CE7E79" w:rsidP="0039054A">
            <w:pPr>
              <w:pStyle w:val="ListParagraph"/>
              <w:ind w:left="0"/>
              <w:rPr>
                <w:rFonts w:ascii="Arial" w:hAnsi="Arial" w:cs="Arial"/>
                <w:sz w:val="20"/>
                <w:szCs w:val="20"/>
              </w:rPr>
            </w:pPr>
            <w:r w:rsidRPr="00CE7E79">
              <w:rPr>
                <w:rFonts w:ascii="Arial" w:hAnsi="Arial" w:cs="Arial"/>
                <w:b/>
                <w:color w:val="0000FF"/>
                <w:sz w:val="28"/>
                <w:szCs w:val="28"/>
              </w:rPr>
              <w:t>RT</w:t>
            </w:r>
          </w:p>
        </w:tc>
        <w:tc>
          <w:tcPr>
            <w:tcW w:w="6620" w:type="dxa"/>
          </w:tcPr>
          <w:p w:rsidR="00407A0C" w:rsidRPr="00407A0C" w:rsidRDefault="00E94379" w:rsidP="0039054A">
            <w:pPr>
              <w:pStyle w:val="ListParagraph"/>
              <w:ind w:left="0"/>
              <w:rPr>
                <w:rFonts w:ascii="Arial" w:hAnsi="Arial" w:cs="Arial"/>
                <w:sz w:val="20"/>
                <w:szCs w:val="20"/>
              </w:rPr>
            </w:pPr>
            <w:r>
              <w:rPr>
                <w:rFonts w:ascii="Arial" w:hAnsi="Arial" w:cs="Arial"/>
                <w:sz w:val="20"/>
                <w:szCs w:val="20"/>
              </w:rPr>
              <w:t xml:space="preserve">The Legislation must dictate the manner in which the restructured asset would be determined, collected, and the period of collection, so that the determination of the restructured asset will not be subject to the Province’s decisions on an ongoing basis, but determined based on a formula.  Alternatively, the Legislation may allow for an adjustment to the pre-determined deferral formula based on specific parameters that would limit the adjustment to the restructured asset.  Adjustments beyond the specific parameters would require approval by the Board of Trustee.  </w:t>
            </w:r>
          </w:p>
          <w:p w:rsidR="00E94379" w:rsidRDefault="00E94379" w:rsidP="0039054A">
            <w:pPr>
              <w:pStyle w:val="ListParagraph"/>
              <w:ind w:left="0"/>
              <w:rPr>
                <w:rFonts w:ascii="Arial" w:hAnsi="Arial" w:cs="Arial"/>
                <w:sz w:val="20"/>
                <w:szCs w:val="20"/>
              </w:rPr>
            </w:pPr>
          </w:p>
          <w:p w:rsidR="00AC28B6" w:rsidRPr="00AC28B6" w:rsidRDefault="00E75044" w:rsidP="0039054A">
            <w:pPr>
              <w:pStyle w:val="ListParagraph"/>
              <w:ind w:left="0"/>
              <w:rPr>
                <w:rFonts w:ascii="Arial" w:hAnsi="Arial" w:cs="Arial"/>
                <w:b/>
                <w:sz w:val="20"/>
                <w:szCs w:val="20"/>
              </w:rPr>
            </w:pPr>
            <w:r>
              <w:rPr>
                <w:rFonts w:ascii="Arial" w:hAnsi="Arial" w:cs="Arial"/>
                <w:b/>
                <w:sz w:val="20"/>
                <w:szCs w:val="20"/>
              </w:rPr>
              <w:t>The Regulations are expected to</w:t>
            </w:r>
            <w:r w:rsidR="00AC28B6" w:rsidRPr="00AC28B6">
              <w:rPr>
                <w:rFonts w:ascii="Arial" w:hAnsi="Arial" w:cs="Arial"/>
                <w:b/>
                <w:sz w:val="20"/>
                <w:szCs w:val="20"/>
              </w:rPr>
              <w:t xml:space="preserve"> </w:t>
            </w:r>
            <w:r>
              <w:rPr>
                <w:rFonts w:ascii="Arial" w:hAnsi="Arial" w:cs="Arial"/>
                <w:b/>
                <w:sz w:val="20"/>
                <w:szCs w:val="20"/>
              </w:rPr>
              <w:t>dictate</w:t>
            </w:r>
            <w:r w:rsidR="00AC28B6" w:rsidRPr="00AC28B6">
              <w:rPr>
                <w:rFonts w:ascii="Arial" w:hAnsi="Arial" w:cs="Arial"/>
                <w:b/>
                <w:sz w:val="20"/>
                <w:szCs w:val="20"/>
              </w:rPr>
              <w:t xml:space="preserve"> the ‘Fair Allocation Plan’ which will be based on high level Principles and Parameters of the Plan, including the attribution methodology.  The </w:t>
            </w:r>
            <w:r w:rsidR="006129B6">
              <w:rPr>
                <w:rFonts w:ascii="Arial" w:hAnsi="Arial" w:cs="Arial"/>
                <w:b/>
                <w:sz w:val="20"/>
                <w:szCs w:val="20"/>
              </w:rPr>
              <w:t>Legislation or Regulation</w:t>
            </w:r>
            <w:r w:rsidR="00AC28B6" w:rsidRPr="00AC28B6">
              <w:rPr>
                <w:rFonts w:ascii="Arial" w:hAnsi="Arial" w:cs="Arial"/>
                <w:b/>
                <w:sz w:val="20"/>
                <w:szCs w:val="20"/>
              </w:rPr>
              <w:t xml:space="preserve"> determine</w:t>
            </w:r>
            <w:r w:rsidR="00477152">
              <w:rPr>
                <w:rFonts w:ascii="Arial" w:hAnsi="Arial" w:cs="Arial"/>
                <w:b/>
                <w:sz w:val="20"/>
                <w:szCs w:val="20"/>
              </w:rPr>
              <w:t>s</w:t>
            </w:r>
            <w:r w:rsidR="00AC28B6" w:rsidRPr="00AC28B6">
              <w:rPr>
                <w:rFonts w:ascii="Arial" w:hAnsi="Arial" w:cs="Arial"/>
                <w:b/>
                <w:sz w:val="20"/>
                <w:szCs w:val="20"/>
              </w:rPr>
              <w:t xml:space="preserve"> the following principles:</w:t>
            </w:r>
          </w:p>
          <w:p w:rsidR="00AC28B6" w:rsidRPr="00AC28B6" w:rsidRDefault="00AC28B6" w:rsidP="0039054A">
            <w:pPr>
              <w:pStyle w:val="ListParagraph"/>
              <w:ind w:left="0"/>
              <w:rPr>
                <w:rFonts w:ascii="Arial" w:hAnsi="Arial" w:cs="Arial"/>
                <w:b/>
                <w:sz w:val="20"/>
                <w:szCs w:val="20"/>
              </w:rPr>
            </w:pPr>
          </w:p>
          <w:p w:rsidR="00AC28B6" w:rsidRPr="00AC28B6" w:rsidRDefault="00AC28B6" w:rsidP="0026370A">
            <w:pPr>
              <w:pStyle w:val="ListParagraph"/>
              <w:numPr>
                <w:ilvl w:val="0"/>
                <w:numId w:val="42"/>
              </w:numPr>
              <w:rPr>
                <w:rFonts w:ascii="Arial" w:hAnsi="Arial" w:cs="Arial"/>
                <w:b/>
                <w:sz w:val="20"/>
                <w:szCs w:val="20"/>
              </w:rPr>
            </w:pPr>
            <w:r w:rsidRPr="00AC28B6">
              <w:rPr>
                <w:rFonts w:ascii="Arial" w:hAnsi="Arial" w:cs="Arial"/>
                <w:b/>
                <w:sz w:val="20"/>
                <w:szCs w:val="20"/>
              </w:rPr>
              <w:t xml:space="preserve">25% Reduction (June 1, 2017) where the average bill will </w:t>
            </w:r>
            <w:r w:rsidRPr="00AC28B6">
              <w:rPr>
                <w:rFonts w:ascii="Arial" w:hAnsi="Arial" w:cs="Arial"/>
                <w:b/>
                <w:sz w:val="20"/>
                <w:szCs w:val="20"/>
              </w:rPr>
              <w:lastRenderedPageBreak/>
              <w:t>reduce by 25% including of HST and social programs noted above</w:t>
            </w:r>
          </w:p>
          <w:p w:rsidR="00AC28B6" w:rsidRPr="00AC28B6" w:rsidRDefault="00AC28B6" w:rsidP="0026370A">
            <w:pPr>
              <w:pStyle w:val="ListParagraph"/>
              <w:numPr>
                <w:ilvl w:val="0"/>
                <w:numId w:val="42"/>
              </w:numPr>
              <w:rPr>
                <w:rFonts w:ascii="Arial" w:hAnsi="Arial" w:cs="Arial"/>
                <w:b/>
                <w:sz w:val="20"/>
                <w:szCs w:val="20"/>
              </w:rPr>
            </w:pPr>
            <w:r w:rsidRPr="00AC28B6">
              <w:rPr>
                <w:rFonts w:ascii="Arial" w:hAnsi="Arial" w:cs="Arial"/>
                <w:b/>
                <w:sz w:val="20"/>
                <w:szCs w:val="20"/>
              </w:rPr>
              <w:t>Inflation Period (November 2017 – April 2022) where bill increases are capped at inflation</w:t>
            </w:r>
          </w:p>
          <w:p w:rsidR="00AC28B6" w:rsidRPr="00AC28B6" w:rsidRDefault="00AC28B6" w:rsidP="0026370A">
            <w:pPr>
              <w:pStyle w:val="ListParagraph"/>
              <w:numPr>
                <w:ilvl w:val="0"/>
                <w:numId w:val="42"/>
              </w:numPr>
              <w:rPr>
                <w:rFonts w:ascii="Arial" w:hAnsi="Arial" w:cs="Arial"/>
                <w:b/>
                <w:sz w:val="20"/>
                <w:szCs w:val="20"/>
              </w:rPr>
            </w:pPr>
            <w:r w:rsidRPr="00AC28B6">
              <w:rPr>
                <w:rFonts w:ascii="Arial" w:hAnsi="Arial" w:cs="Arial"/>
                <w:b/>
                <w:sz w:val="20"/>
                <w:szCs w:val="20"/>
              </w:rPr>
              <w:t xml:space="preserve">Straight-line Increase Period (May 2022 – April 2027) where bills increased at a straight-line rate (i.e., 8% per year) which is set so that borrowing will not exceed the Trust’s capacity. </w:t>
            </w:r>
          </w:p>
          <w:p w:rsidR="00AC28B6" w:rsidRPr="00AC28B6" w:rsidRDefault="00AC28B6" w:rsidP="0026370A">
            <w:pPr>
              <w:pStyle w:val="ListParagraph"/>
              <w:numPr>
                <w:ilvl w:val="0"/>
                <w:numId w:val="42"/>
              </w:numPr>
              <w:rPr>
                <w:rFonts w:ascii="Arial" w:hAnsi="Arial" w:cs="Arial"/>
                <w:b/>
                <w:sz w:val="20"/>
                <w:szCs w:val="20"/>
              </w:rPr>
            </w:pPr>
            <w:r w:rsidRPr="00AC28B6">
              <w:rPr>
                <w:rFonts w:ascii="Arial" w:hAnsi="Arial" w:cs="Arial"/>
                <w:b/>
                <w:sz w:val="20"/>
                <w:szCs w:val="20"/>
              </w:rPr>
              <w:t>Amortization Period (May 2027 – April 2047) where debt built up over the previous periods is repaid by ratepayers.</w:t>
            </w:r>
          </w:p>
          <w:p w:rsidR="00AC28B6" w:rsidRPr="00AC28B6" w:rsidRDefault="00AC28B6" w:rsidP="0039054A">
            <w:pPr>
              <w:pStyle w:val="ListParagraph"/>
              <w:ind w:left="0"/>
              <w:rPr>
                <w:rFonts w:ascii="Arial" w:hAnsi="Arial" w:cs="Arial"/>
                <w:b/>
                <w:sz w:val="20"/>
                <w:szCs w:val="20"/>
              </w:rPr>
            </w:pPr>
          </w:p>
          <w:p w:rsidR="002E2CE4" w:rsidRDefault="00AC28B6" w:rsidP="00553912">
            <w:pPr>
              <w:pStyle w:val="ListParagraph"/>
              <w:ind w:left="0"/>
              <w:rPr>
                <w:rFonts w:ascii="Arial" w:hAnsi="Arial" w:cs="Arial"/>
                <w:b/>
                <w:sz w:val="20"/>
                <w:szCs w:val="20"/>
              </w:rPr>
            </w:pPr>
            <w:r w:rsidRPr="00AC28B6">
              <w:rPr>
                <w:rFonts w:ascii="Arial" w:hAnsi="Arial" w:cs="Arial"/>
                <w:b/>
                <w:sz w:val="20"/>
                <w:szCs w:val="20"/>
              </w:rPr>
              <w:t>OPG will determine the manner in which the intangible asset, once purchased from the IESO will be collected and the period of collection</w:t>
            </w:r>
            <w:r w:rsidR="00553912">
              <w:rPr>
                <w:rFonts w:ascii="Arial" w:hAnsi="Arial" w:cs="Arial"/>
                <w:b/>
                <w:sz w:val="20"/>
                <w:szCs w:val="20"/>
              </w:rPr>
              <w:t>.</w:t>
            </w:r>
            <w:r w:rsidRPr="00AC28B6">
              <w:rPr>
                <w:rFonts w:ascii="Arial" w:hAnsi="Arial" w:cs="Arial"/>
                <w:b/>
                <w:sz w:val="20"/>
                <w:szCs w:val="20"/>
              </w:rPr>
              <w:t xml:space="preserve"> </w:t>
            </w:r>
            <w:r w:rsidR="00553912">
              <w:rPr>
                <w:rFonts w:ascii="Arial" w:hAnsi="Arial" w:cs="Arial"/>
                <w:b/>
                <w:sz w:val="20"/>
                <w:szCs w:val="20"/>
              </w:rPr>
              <w:t xml:space="preserve"> </w:t>
            </w:r>
          </w:p>
          <w:p w:rsidR="002E2CE4" w:rsidRDefault="002E2CE4" w:rsidP="00553912">
            <w:pPr>
              <w:pStyle w:val="ListParagraph"/>
              <w:ind w:left="0"/>
              <w:rPr>
                <w:rFonts w:ascii="Arial" w:hAnsi="Arial" w:cs="Arial"/>
                <w:b/>
                <w:sz w:val="20"/>
                <w:szCs w:val="20"/>
              </w:rPr>
            </w:pPr>
          </w:p>
          <w:p w:rsidR="00AC28B6" w:rsidRDefault="00553912" w:rsidP="00553912">
            <w:pPr>
              <w:pStyle w:val="ListParagraph"/>
              <w:ind w:left="0"/>
              <w:rPr>
                <w:rFonts w:ascii="Arial" w:hAnsi="Arial" w:cs="Arial"/>
                <w:b/>
                <w:sz w:val="20"/>
                <w:szCs w:val="20"/>
              </w:rPr>
            </w:pPr>
            <w:r>
              <w:rPr>
                <w:rFonts w:ascii="Arial" w:hAnsi="Arial" w:cs="Arial"/>
                <w:b/>
                <w:sz w:val="20"/>
                <w:szCs w:val="20"/>
              </w:rPr>
              <w:t>The</w:t>
            </w:r>
            <w:r w:rsidR="00AC28B6" w:rsidRPr="00AC28B6">
              <w:rPr>
                <w:rFonts w:ascii="Arial" w:hAnsi="Arial" w:cs="Arial"/>
                <w:b/>
                <w:sz w:val="20"/>
                <w:szCs w:val="20"/>
              </w:rPr>
              <w:t xml:space="preserve"> recoverability of the</w:t>
            </w:r>
            <w:r w:rsidR="00F9458B">
              <w:rPr>
                <w:rFonts w:ascii="Arial" w:hAnsi="Arial" w:cs="Arial"/>
                <w:b/>
                <w:sz w:val="20"/>
                <w:szCs w:val="20"/>
              </w:rPr>
              <w:t xml:space="preserve"> existing intangible </w:t>
            </w:r>
            <w:r w:rsidR="00843879">
              <w:rPr>
                <w:rFonts w:ascii="Arial" w:hAnsi="Arial" w:cs="Arial"/>
                <w:b/>
                <w:sz w:val="20"/>
                <w:szCs w:val="20"/>
              </w:rPr>
              <w:t>assets</w:t>
            </w:r>
            <w:r w:rsidR="00AC28B6" w:rsidRPr="00AC28B6">
              <w:rPr>
                <w:rFonts w:ascii="Arial" w:hAnsi="Arial" w:cs="Arial"/>
                <w:b/>
                <w:sz w:val="20"/>
                <w:szCs w:val="20"/>
              </w:rPr>
              <w:t xml:space="preserve"> </w:t>
            </w:r>
            <w:r>
              <w:rPr>
                <w:rFonts w:ascii="Arial" w:hAnsi="Arial" w:cs="Arial"/>
                <w:b/>
                <w:sz w:val="20"/>
                <w:szCs w:val="20"/>
              </w:rPr>
              <w:t>cannot be impacted</w:t>
            </w:r>
            <w:r w:rsidR="00AC28B6" w:rsidRPr="00AC28B6">
              <w:rPr>
                <w:rFonts w:ascii="Arial" w:hAnsi="Arial" w:cs="Arial"/>
                <w:b/>
                <w:sz w:val="20"/>
                <w:szCs w:val="20"/>
              </w:rPr>
              <w:t xml:space="preserve"> by the Province.</w:t>
            </w:r>
          </w:p>
          <w:p w:rsidR="006A16F9" w:rsidRDefault="006A16F9" w:rsidP="00553912">
            <w:pPr>
              <w:pStyle w:val="ListParagraph"/>
              <w:ind w:left="0"/>
              <w:rPr>
                <w:rFonts w:ascii="Arial" w:hAnsi="Arial" w:cs="Arial"/>
                <w:b/>
                <w:sz w:val="20"/>
                <w:szCs w:val="20"/>
              </w:rPr>
            </w:pPr>
          </w:p>
          <w:p w:rsidR="006A16F9" w:rsidRDefault="006A16F9" w:rsidP="00553912">
            <w:pPr>
              <w:pStyle w:val="ListParagraph"/>
              <w:ind w:left="0"/>
              <w:rPr>
                <w:rFonts w:ascii="Arial" w:hAnsi="Arial" w:cs="Arial"/>
                <w:sz w:val="20"/>
                <w:szCs w:val="20"/>
              </w:rPr>
            </w:pPr>
            <w:r>
              <w:rPr>
                <w:rFonts w:ascii="Arial" w:hAnsi="Arial" w:cs="Arial"/>
                <w:b/>
                <w:sz w:val="20"/>
                <w:szCs w:val="20"/>
              </w:rPr>
              <w:t xml:space="preserve">Although the Province may determine the Principles and Parameters around the ‘Fair Allocation Plan’, it does not impact the activities of the Trust once OPG has purchased the intangible asset.  </w:t>
            </w:r>
          </w:p>
        </w:tc>
      </w:tr>
      <w:tr w:rsidR="00E94379" w:rsidTr="009A0137">
        <w:tc>
          <w:tcPr>
            <w:tcW w:w="1278" w:type="dxa"/>
            <w:vMerge/>
          </w:tcPr>
          <w:p w:rsidR="00E94379" w:rsidRDefault="00E94379" w:rsidP="0039054A">
            <w:pPr>
              <w:pStyle w:val="ListParagraph"/>
              <w:ind w:left="0"/>
              <w:rPr>
                <w:rFonts w:ascii="Arial" w:hAnsi="Arial" w:cs="Arial"/>
                <w:sz w:val="20"/>
                <w:szCs w:val="20"/>
              </w:rPr>
            </w:pPr>
          </w:p>
        </w:tc>
        <w:tc>
          <w:tcPr>
            <w:tcW w:w="630" w:type="dxa"/>
          </w:tcPr>
          <w:p w:rsidR="00E94379" w:rsidRDefault="00E94379" w:rsidP="0039054A">
            <w:pPr>
              <w:rPr>
                <w:rFonts w:ascii="Arial" w:hAnsi="Arial" w:cs="Arial"/>
                <w:sz w:val="20"/>
                <w:szCs w:val="20"/>
              </w:rPr>
            </w:pPr>
            <w:r>
              <w:rPr>
                <w:rFonts w:ascii="Arial" w:hAnsi="Arial" w:cs="Arial"/>
                <w:sz w:val="20"/>
                <w:szCs w:val="20"/>
              </w:rPr>
              <w:t>11</w:t>
            </w:r>
          </w:p>
          <w:p w:rsidR="00EE345C" w:rsidRPr="00BC2AD6" w:rsidRDefault="00CE7E79" w:rsidP="0039054A">
            <w:pPr>
              <w:rPr>
                <w:rFonts w:ascii="Arial" w:hAnsi="Arial" w:cs="Arial"/>
                <w:sz w:val="20"/>
                <w:szCs w:val="20"/>
              </w:rPr>
            </w:pPr>
            <w:r w:rsidRPr="00CE7E79">
              <w:rPr>
                <w:rFonts w:ascii="Arial" w:hAnsi="Arial" w:cs="Arial"/>
                <w:b/>
                <w:color w:val="0000FF"/>
                <w:sz w:val="28"/>
                <w:szCs w:val="28"/>
              </w:rPr>
              <w:t>RT</w:t>
            </w:r>
          </w:p>
        </w:tc>
        <w:tc>
          <w:tcPr>
            <w:tcW w:w="6620" w:type="dxa"/>
          </w:tcPr>
          <w:p w:rsidR="00E94379" w:rsidRDefault="00E94379" w:rsidP="0039054A">
            <w:pPr>
              <w:rPr>
                <w:rFonts w:ascii="Arial" w:hAnsi="Arial" w:cs="Arial"/>
                <w:sz w:val="20"/>
                <w:szCs w:val="20"/>
              </w:rPr>
            </w:pPr>
            <w:r w:rsidRPr="00BC2AD6">
              <w:rPr>
                <w:rFonts w:ascii="Arial" w:hAnsi="Arial" w:cs="Arial"/>
                <w:sz w:val="20"/>
                <w:szCs w:val="20"/>
              </w:rPr>
              <w:t xml:space="preserve">The Legislation must be written to avoid legal or constitutional challenges and be irrevocable to reduce the cost of borrowing and with a specific formula which determines the deferral amount. </w:t>
            </w:r>
          </w:p>
          <w:p w:rsidR="006A16F9" w:rsidRDefault="006A16F9" w:rsidP="0039054A">
            <w:pPr>
              <w:rPr>
                <w:rFonts w:ascii="Arial" w:hAnsi="Arial" w:cs="Arial"/>
                <w:sz w:val="20"/>
                <w:szCs w:val="20"/>
              </w:rPr>
            </w:pPr>
          </w:p>
          <w:p w:rsidR="006A16F9" w:rsidRPr="004C7432" w:rsidRDefault="004C7432" w:rsidP="006A16F9">
            <w:pPr>
              <w:rPr>
                <w:rFonts w:ascii="Arial" w:hAnsi="Arial" w:cs="Arial"/>
                <w:b/>
                <w:sz w:val="20"/>
                <w:szCs w:val="20"/>
              </w:rPr>
            </w:pPr>
            <w:r w:rsidRPr="004C7432">
              <w:rPr>
                <w:rFonts w:ascii="Arial" w:hAnsi="Arial" w:cs="Arial"/>
                <w:b/>
                <w:sz w:val="20"/>
                <w:szCs w:val="20"/>
              </w:rPr>
              <w:t>See above.</w:t>
            </w:r>
          </w:p>
          <w:p w:rsidR="00E94379" w:rsidRDefault="00E94379" w:rsidP="0039054A">
            <w:pPr>
              <w:pStyle w:val="ListParagraph"/>
              <w:ind w:left="0"/>
              <w:rPr>
                <w:rFonts w:ascii="Arial" w:hAnsi="Arial" w:cs="Arial"/>
                <w:sz w:val="20"/>
                <w:szCs w:val="20"/>
              </w:rPr>
            </w:pPr>
          </w:p>
        </w:tc>
      </w:tr>
      <w:tr w:rsidR="00E94379" w:rsidTr="009A0137">
        <w:tc>
          <w:tcPr>
            <w:tcW w:w="1278" w:type="dxa"/>
            <w:vMerge/>
          </w:tcPr>
          <w:p w:rsidR="00E94379" w:rsidRDefault="00E94379" w:rsidP="0039054A">
            <w:pPr>
              <w:pStyle w:val="ListParagraph"/>
              <w:ind w:left="0"/>
              <w:rPr>
                <w:rFonts w:ascii="Arial" w:hAnsi="Arial" w:cs="Arial"/>
                <w:sz w:val="20"/>
                <w:szCs w:val="20"/>
              </w:rPr>
            </w:pPr>
          </w:p>
        </w:tc>
        <w:tc>
          <w:tcPr>
            <w:tcW w:w="630" w:type="dxa"/>
          </w:tcPr>
          <w:p w:rsidR="00E94379" w:rsidRDefault="00E94379" w:rsidP="0039054A">
            <w:pPr>
              <w:rPr>
                <w:rFonts w:ascii="Arial" w:hAnsi="Arial" w:cs="Arial"/>
                <w:sz w:val="20"/>
                <w:szCs w:val="20"/>
              </w:rPr>
            </w:pPr>
            <w:r>
              <w:rPr>
                <w:rFonts w:ascii="Arial" w:hAnsi="Arial" w:cs="Arial"/>
                <w:sz w:val="20"/>
                <w:szCs w:val="20"/>
              </w:rPr>
              <w:t>12</w:t>
            </w:r>
          </w:p>
          <w:p w:rsidR="00EE345C" w:rsidRPr="00BC2AD6" w:rsidRDefault="00CE7E79" w:rsidP="0039054A">
            <w:pPr>
              <w:rPr>
                <w:rFonts w:ascii="Arial" w:hAnsi="Arial" w:cs="Arial"/>
                <w:sz w:val="20"/>
                <w:szCs w:val="20"/>
              </w:rPr>
            </w:pPr>
            <w:r w:rsidRPr="00CE7E79">
              <w:rPr>
                <w:rFonts w:ascii="Arial" w:hAnsi="Arial" w:cs="Arial"/>
                <w:b/>
                <w:color w:val="0000FF"/>
                <w:sz w:val="28"/>
                <w:szCs w:val="28"/>
              </w:rPr>
              <w:t>RT</w:t>
            </w:r>
          </w:p>
        </w:tc>
        <w:tc>
          <w:tcPr>
            <w:tcW w:w="6620" w:type="dxa"/>
          </w:tcPr>
          <w:p w:rsidR="00E94379" w:rsidRPr="00BC2AD6" w:rsidRDefault="00E94379" w:rsidP="0039054A">
            <w:pPr>
              <w:rPr>
                <w:rFonts w:ascii="Arial" w:hAnsi="Arial" w:cs="Arial"/>
                <w:sz w:val="20"/>
                <w:szCs w:val="20"/>
              </w:rPr>
            </w:pPr>
            <w:r w:rsidRPr="00BC2AD6">
              <w:rPr>
                <w:rFonts w:ascii="Arial" w:hAnsi="Arial" w:cs="Arial"/>
                <w:sz w:val="20"/>
                <w:szCs w:val="20"/>
              </w:rPr>
              <w:t>The spirit of the above terms should be reflected in the Trust Indenture Agreement as well as Legislation, wherever possible.</w:t>
            </w:r>
          </w:p>
          <w:p w:rsidR="00E94379" w:rsidRDefault="00E94379" w:rsidP="0039054A">
            <w:pPr>
              <w:pStyle w:val="ListParagraph"/>
              <w:ind w:left="0"/>
              <w:rPr>
                <w:rFonts w:ascii="Arial" w:hAnsi="Arial" w:cs="Arial"/>
                <w:sz w:val="20"/>
                <w:szCs w:val="20"/>
              </w:rPr>
            </w:pPr>
          </w:p>
          <w:p w:rsidR="00D567FA" w:rsidRPr="00D567FA" w:rsidRDefault="00856188" w:rsidP="0039054A">
            <w:pPr>
              <w:pStyle w:val="ListParagraph"/>
              <w:ind w:left="0"/>
              <w:rPr>
                <w:rFonts w:ascii="Arial" w:hAnsi="Arial" w:cs="Arial"/>
                <w:b/>
                <w:i/>
                <w:sz w:val="20"/>
                <w:szCs w:val="20"/>
              </w:rPr>
            </w:pPr>
            <w:r>
              <w:rPr>
                <w:rFonts w:ascii="Arial" w:hAnsi="Arial" w:cs="Arial"/>
                <w:b/>
                <w:i/>
                <w:sz w:val="20"/>
                <w:szCs w:val="20"/>
              </w:rPr>
              <w:t xml:space="preserve">Trust Indenture and Regulations still outstanding.  </w:t>
            </w:r>
          </w:p>
        </w:tc>
      </w:tr>
    </w:tbl>
    <w:p w:rsidR="00E94379" w:rsidRPr="00494EA9" w:rsidRDefault="00E94379" w:rsidP="00E94379">
      <w:pPr>
        <w:rPr>
          <w:rFonts w:ascii="Arial" w:hAnsi="Arial" w:cs="Arial"/>
          <w:b/>
          <w:sz w:val="20"/>
          <w:szCs w:val="20"/>
        </w:rPr>
      </w:pPr>
    </w:p>
    <w:p w:rsidR="004C12A3" w:rsidRDefault="004C12A3">
      <w:pPr>
        <w:rPr>
          <w:rFonts w:ascii="Calibri" w:hAnsi="Calibri"/>
          <w:b/>
          <w:color w:val="000000"/>
          <w:lang w:val="en-US"/>
        </w:rPr>
      </w:pPr>
      <w:r>
        <w:rPr>
          <w:rFonts w:ascii="Calibri" w:hAnsi="Calibri"/>
          <w:b/>
          <w:color w:val="000000"/>
          <w:lang w:val="en-US"/>
        </w:rPr>
        <w:br w:type="page"/>
      </w:r>
    </w:p>
    <w:p w:rsidR="0089369D" w:rsidRPr="0089369D" w:rsidRDefault="0089369D" w:rsidP="0089369D">
      <w:pPr>
        <w:autoSpaceDE w:val="0"/>
        <w:autoSpaceDN w:val="0"/>
        <w:adjustRightInd w:val="0"/>
        <w:rPr>
          <w:rFonts w:ascii="Arial" w:hAnsi="Arial" w:cs="Arial"/>
          <w:b/>
          <w:color w:val="000000"/>
          <w:sz w:val="20"/>
          <w:szCs w:val="20"/>
          <w:lang w:val="en-US"/>
        </w:rPr>
      </w:pPr>
    </w:p>
    <w:p w:rsidR="0089369D" w:rsidRPr="0089369D" w:rsidRDefault="00F13FA2" w:rsidP="0089369D">
      <w:pPr>
        <w:autoSpaceDE w:val="0"/>
        <w:autoSpaceDN w:val="0"/>
        <w:adjustRightInd w:val="0"/>
        <w:rPr>
          <w:rFonts w:ascii="Arial" w:hAnsi="Arial"/>
          <w:b/>
          <w:color w:val="000000"/>
          <w:sz w:val="20"/>
          <w:lang w:val="en-US"/>
        </w:rPr>
      </w:pPr>
      <w:r>
        <w:rPr>
          <w:rFonts w:ascii="Arial" w:hAnsi="Arial"/>
          <w:b/>
          <w:color w:val="000000"/>
          <w:sz w:val="20"/>
          <w:lang w:val="en-US"/>
        </w:rPr>
        <w:t>APPENDIX B</w:t>
      </w:r>
      <w:r w:rsidR="0089369D" w:rsidRPr="0089369D">
        <w:rPr>
          <w:rFonts w:ascii="Arial" w:hAnsi="Arial"/>
          <w:b/>
          <w:color w:val="000000"/>
          <w:sz w:val="20"/>
          <w:lang w:val="en-US"/>
        </w:rPr>
        <w:t>:</w:t>
      </w:r>
    </w:p>
    <w:p w:rsidR="002F695A" w:rsidRPr="0089369D" w:rsidRDefault="002F695A" w:rsidP="00AF0D2D">
      <w:pPr>
        <w:autoSpaceDE w:val="0"/>
        <w:autoSpaceDN w:val="0"/>
        <w:adjustRightInd w:val="0"/>
        <w:rPr>
          <w:rFonts w:ascii="Arial" w:hAnsi="Arial"/>
          <w:b/>
          <w:color w:val="000000"/>
          <w:sz w:val="20"/>
          <w:u w:val="single"/>
          <w:lang w:val="en-US"/>
        </w:rPr>
      </w:pPr>
    </w:p>
    <w:p w:rsidR="0089369D" w:rsidRPr="0089369D" w:rsidRDefault="0089369D" w:rsidP="0089369D">
      <w:pPr>
        <w:spacing w:after="160"/>
        <w:rPr>
          <w:rFonts w:ascii="Arial" w:hAnsi="Arial" w:cs="Arial"/>
          <w:b/>
          <w:sz w:val="20"/>
          <w:szCs w:val="20"/>
          <w:u w:val="single"/>
        </w:rPr>
      </w:pPr>
      <w:r w:rsidRPr="0089369D">
        <w:rPr>
          <w:rFonts w:ascii="Arial" w:hAnsi="Arial" w:cs="Arial"/>
          <w:b/>
          <w:sz w:val="20"/>
          <w:szCs w:val="20"/>
          <w:u w:val="single"/>
        </w:rPr>
        <w:t>Link between power and returns: principal-agency situations</w:t>
      </w:r>
    </w:p>
    <w:p w:rsidR="0089369D" w:rsidRDefault="0089369D" w:rsidP="0089369D">
      <w:pPr>
        <w:rPr>
          <w:rFonts w:ascii="Arial" w:hAnsi="Arial" w:cs="Arial"/>
          <w:sz w:val="20"/>
          <w:szCs w:val="20"/>
        </w:rPr>
      </w:pPr>
      <w:r w:rsidRPr="0089369D">
        <w:rPr>
          <w:rFonts w:ascii="Arial" w:hAnsi="Arial" w:cs="Arial"/>
          <w:sz w:val="20"/>
          <w:szCs w:val="20"/>
        </w:rPr>
        <w:t xml:space="preserve">The third criterion for having control is that the investor must have the ability to use its power over the investee to affect the amount of the investor’s returns.  When decision-making rights have been delegated or are being held for the benefit of others, it is necessary to assess whether the decision-maker is a principal or an agent to determine whether it has control.  This is because if the decision-maker has been delegated rights that give it power, the decision-maker must assess whether those rights give it power for its own benefit, or merely power for the benefit of others.  As an agent cannot have control over the investee, it does not consolidate the investee.  A principal may have control over the investee, and if so, would consolidate the investee.  </w:t>
      </w:r>
    </w:p>
    <w:p w:rsidR="000D5714" w:rsidRPr="0089369D" w:rsidRDefault="000D5714" w:rsidP="0089369D">
      <w:pPr>
        <w:rPr>
          <w:rFonts w:ascii="Arial" w:hAnsi="Arial" w:cs="Arial"/>
          <w:sz w:val="20"/>
          <w:szCs w:val="20"/>
        </w:rPr>
      </w:pPr>
    </w:p>
    <w:p w:rsidR="0089369D" w:rsidRPr="0089369D" w:rsidRDefault="0089369D" w:rsidP="0089369D">
      <w:pPr>
        <w:autoSpaceDE w:val="0"/>
        <w:autoSpaceDN w:val="0"/>
        <w:adjustRightInd w:val="0"/>
        <w:rPr>
          <w:rFonts w:ascii="Arial" w:hAnsi="Arial" w:cs="Arial"/>
          <w:sz w:val="20"/>
          <w:szCs w:val="20"/>
        </w:rPr>
      </w:pPr>
      <w:r w:rsidRPr="0089369D">
        <w:rPr>
          <w:rFonts w:ascii="Arial" w:hAnsi="Arial" w:cs="Arial"/>
          <w:sz w:val="20"/>
          <w:szCs w:val="20"/>
        </w:rPr>
        <w:t>A decision maker shall consider the overall relationship between itself, the investee being managed and other parties involved with the investee, in particular all the factors below, in determining whether it is an agent:</w:t>
      </w:r>
    </w:p>
    <w:p w:rsidR="0089369D" w:rsidRPr="0089369D" w:rsidRDefault="0089369D" w:rsidP="0089369D">
      <w:pPr>
        <w:autoSpaceDE w:val="0"/>
        <w:autoSpaceDN w:val="0"/>
        <w:adjustRightInd w:val="0"/>
        <w:rPr>
          <w:rFonts w:ascii="Arial" w:hAnsi="Arial" w:cs="Arial"/>
          <w:sz w:val="20"/>
          <w:szCs w:val="20"/>
        </w:rPr>
      </w:pPr>
    </w:p>
    <w:p w:rsidR="0089369D" w:rsidRPr="0089369D" w:rsidRDefault="0089369D" w:rsidP="0089369D">
      <w:pPr>
        <w:pStyle w:val="ListParagraph"/>
        <w:numPr>
          <w:ilvl w:val="0"/>
          <w:numId w:val="49"/>
        </w:numPr>
        <w:spacing w:after="200" w:line="276" w:lineRule="auto"/>
        <w:rPr>
          <w:rFonts w:ascii="Arial" w:hAnsi="Arial" w:cs="Arial"/>
          <w:sz w:val="20"/>
          <w:szCs w:val="20"/>
        </w:rPr>
      </w:pPr>
      <w:r w:rsidRPr="0089369D">
        <w:rPr>
          <w:rFonts w:ascii="Arial" w:hAnsi="Arial" w:cs="Arial"/>
          <w:sz w:val="20"/>
          <w:szCs w:val="20"/>
        </w:rPr>
        <w:t>the scope of its decision-making authority over the investee</w:t>
      </w:r>
    </w:p>
    <w:p w:rsidR="0089369D" w:rsidRPr="0089369D" w:rsidRDefault="0089369D" w:rsidP="0089369D">
      <w:pPr>
        <w:ind w:left="720"/>
        <w:rPr>
          <w:rFonts w:ascii="Arial" w:hAnsi="Arial" w:cs="Arial"/>
          <w:i/>
          <w:sz w:val="20"/>
          <w:szCs w:val="20"/>
        </w:rPr>
      </w:pPr>
      <w:r w:rsidRPr="0089369D">
        <w:rPr>
          <w:rFonts w:ascii="Arial" w:hAnsi="Arial" w:cs="Arial"/>
          <w:i/>
          <w:sz w:val="20"/>
          <w:szCs w:val="20"/>
        </w:rPr>
        <w:t xml:space="preserve">As discussed above, OPG has decision-making authority over the Trust and its relevant activities.  The Province has no right to determine what sort of funding decisions OPG should make to fund the intangible assets that they will purchase and OPG can choose not to purchase future intangible asset purchases. </w:t>
      </w:r>
    </w:p>
    <w:p w:rsidR="0089369D" w:rsidRDefault="0089369D" w:rsidP="0089369D">
      <w:pPr>
        <w:ind w:left="720"/>
        <w:rPr>
          <w:rFonts w:ascii="Arial" w:hAnsi="Arial" w:cs="Arial"/>
          <w:sz w:val="20"/>
          <w:szCs w:val="20"/>
        </w:rPr>
      </w:pPr>
      <w:r w:rsidRPr="0089369D">
        <w:rPr>
          <w:rFonts w:ascii="Arial" w:hAnsi="Arial" w:cs="Arial"/>
          <w:i/>
          <w:sz w:val="20"/>
          <w:szCs w:val="20"/>
        </w:rPr>
        <w:t xml:space="preserve">Terms and Conditions to support this point: </w:t>
      </w:r>
      <w:r w:rsidRPr="0089369D">
        <w:rPr>
          <w:rFonts w:ascii="Arial" w:hAnsi="Arial" w:cs="Arial"/>
          <w:sz w:val="20"/>
          <w:szCs w:val="20"/>
        </w:rPr>
        <w:t>1, 2, 3, 4, 5</w:t>
      </w:r>
    </w:p>
    <w:p w:rsidR="0089369D" w:rsidRPr="0089369D" w:rsidRDefault="0089369D" w:rsidP="0089369D">
      <w:pPr>
        <w:ind w:left="720"/>
        <w:rPr>
          <w:rFonts w:ascii="Arial" w:hAnsi="Arial" w:cs="Arial"/>
          <w:sz w:val="20"/>
          <w:szCs w:val="20"/>
        </w:rPr>
      </w:pPr>
    </w:p>
    <w:p w:rsidR="0089369D" w:rsidRPr="0089369D" w:rsidRDefault="0089369D" w:rsidP="0089369D">
      <w:pPr>
        <w:pStyle w:val="ListParagraph"/>
        <w:numPr>
          <w:ilvl w:val="0"/>
          <w:numId w:val="49"/>
        </w:numPr>
        <w:spacing w:after="200" w:line="276" w:lineRule="auto"/>
        <w:rPr>
          <w:rFonts w:ascii="Arial" w:hAnsi="Arial" w:cs="Arial"/>
          <w:sz w:val="20"/>
          <w:szCs w:val="20"/>
        </w:rPr>
      </w:pPr>
      <w:proofErr w:type="gramStart"/>
      <w:r w:rsidRPr="0089369D">
        <w:rPr>
          <w:rFonts w:ascii="Arial" w:hAnsi="Arial" w:cs="Arial"/>
          <w:sz w:val="20"/>
          <w:szCs w:val="20"/>
        </w:rPr>
        <w:t>the</w:t>
      </w:r>
      <w:proofErr w:type="gramEnd"/>
      <w:r w:rsidRPr="0089369D">
        <w:rPr>
          <w:rFonts w:ascii="Arial" w:hAnsi="Arial" w:cs="Arial"/>
          <w:sz w:val="20"/>
          <w:szCs w:val="20"/>
        </w:rPr>
        <w:t xml:space="preserve"> rights held by other parties (paragraphs B64–B67).</w:t>
      </w:r>
    </w:p>
    <w:p w:rsidR="0089369D" w:rsidRPr="0089369D" w:rsidRDefault="0089369D" w:rsidP="0089369D">
      <w:pPr>
        <w:ind w:left="720"/>
        <w:rPr>
          <w:rFonts w:ascii="Arial" w:hAnsi="Arial" w:cs="Arial"/>
          <w:i/>
          <w:sz w:val="20"/>
          <w:szCs w:val="20"/>
        </w:rPr>
      </w:pPr>
      <w:r w:rsidRPr="0089369D">
        <w:rPr>
          <w:rFonts w:ascii="Arial" w:hAnsi="Arial" w:cs="Arial"/>
          <w:i/>
          <w:sz w:val="20"/>
          <w:szCs w:val="20"/>
        </w:rPr>
        <w:t xml:space="preserve">There are no substantive removal rights held by the Province for debt that already exists in the Trust.  </w:t>
      </w:r>
    </w:p>
    <w:p w:rsidR="0089369D" w:rsidRPr="0089369D" w:rsidRDefault="0089369D" w:rsidP="0089369D">
      <w:pPr>
        <w:ind w:left="720"/>
        <w:rPr>
          <w:rFonts w:ascii="Arial" w:hAnsi="Arial" w:cs="Arial"/>
          <w:i/>
          <w:sz w:val="20"/>
          <w:szCs w:val="20"/>
        </w:rPr>
      </w:pPr>
    </w:p>
    <w:p w:rsidR="0089369D" w:rsidRDefault="0089369D" w:rsidP="0089369D">
      <w:pPr>
        <w:ind w:left="720"/>
        <w:rPr>
          <w:rFonts w:ascii="Arial" w:hAnsi="Arial" w:cs="Arial"/>
          <w:sz w:val="20"/>
          <w:szCs w:val="20"/>
        </w:rPr>
      </w:pPr>
      <w:r w:rsidRPr="0089369D">
        <w:rPr>
          <w:rFonts w:ascii="Arial" w:hAnsi="Arial" w:cs="Arial"/>
          <w:i/>
          <w:sz w:val="20"/>
          <w:szCs w:val="20"/>
        </w:rPr>
        <w:t xml:space="preserve">Terms and Conditions to support this point: </w:t>
      </w:r>
      <w:r w:rsidRPr="0089369D">
        <w:rPr>
          <w:rFonts w:ascii="Arial" w:hAnsi="Arial" w:cs="Arial"/>
          <w:sz w:val="20"/>
          <w:szCs w:val="20"/>
        </w:rPr>
        <w:t>3, 4, 5</w:t>
      </w:r>
    </w:p>
    <w:p w:rsidR="0089369D" w:rsidRPr="0089369D" w:rsidRDefault="0089369D" w:rsidP="0089369D">
      <w:pPr>
        <w:ind w:left="720"/>
        <w:rPr>
          <w:rFonts w:ascii="Arial" w:hAnsi="Arial" w:cs="Arial"/>
          <w:i/>
          <w:sz w:val="20"/>
          <w:szCs w:val="20"/>
        </w:rPr>
      </w:pPr>
    </w:p>
    <w:p w:rsidR="0089369D" w:rsidRPr="0089369D" w:rsidRDefault="0089369D" w:rsidP="0089369D">
      <w:pPr>
        <w:pStyle w:val="ListParagraph"/>
        <w:numPr>
          <w:ilvl w:val="0"/>
          <w:numId w:val="49"/>
        </w:numPr>
        <w:autoSpaceDE w:val="0"/>
        <w:autoSpaceDN w:val="0"/>
        <w:adjustRightInd w:val="0"/>
        <w:spacing w:after="0" w:line="240" w:lineRule="auto"/>
        <w:rPr>
          <w:rFonts w:ascii="Arial" w:hAnsi="Arial" w:cs="Arial"/>
          <w:sz w:val="20"/>
          <w:szCs w:val="20"/>
        </w:rPr>
      </w:pPr>
      <w:proofErr w:type="gramStart"/>
      <w:r w:rsidRPr="0089369D">
        <w:rPr>
          <w:rFonts w:ascii="Arial" w:hAnsi="Arial" w:cs="Arial"/>
          <w:sz w:val="20"/>
          <w:szCs w:val="20"/>
        </w:rPr>
        <w:t>the</w:t>
      </w:r>
      <w:proofErr w:type="gramEnd"/>
      <w:r w:rsidRPr="0089369D">
        <w:rPr>
          <w:rFonts w:ascii="Arial" w:hAnsi="Arial" w:cs="Arial"/>
          <w:sz w:val="20"/>
          <w:szCs w:val="20"/>
        </w:rPr>
        <w:t xml:space="preserve"> remuneration to which it is entitled in accordance with the remuneration agreement(s) (paragraphs B68–B70).</w:t>
      </w:r>
    </w:p>
    <w:p w:rsidR="0089369D" w:rsidRPr="0089369D" w:rsidRDefault="0089369D" w:rsidP="0089369D">
      <w:pPr>
        <w:autoSpaceDE w:val="0"/>
        <w:autoSpaceDN w:val="0"/>
        <w:adjustRightInd w:val="0"/>
        <w:ind w:left="360"/>
        <w:rPr>
          <w:rFonts w:ascii="Arial" w:hAnsi="Arial" w:cs="Arial"/>
          <w:sz w:val="20"/>
          <w:szCs w:val="20"/>
        </w:rPr>
      </w:pPr>
    </w:p>
    <w:p w:rsidR="0089369D" w:rsidRPr="0089369D" w:rsidRDefault="0089369D" w:rsidP="0089369D">
      <w:pPr>
        <w:autoSpaceDE w:val="0"/>
        <w:autoSpaceDN w:val="0"/>
        <w:adjustRightInd w:val="0"/>
        <w:ind w:left="720"/>
        <w:rPr>
          <w:rFonts w:ascii="Arial" w:hAnsi="Arial" w:cs="Arial"/>
          <w:i/>
          <w:sz w:val="20"/>
          <w:szCs w:val="20"/>
        </w:rPr>
      </w:pPr>
      <w:r w:rsidRPr="0089369D">
        <w:rPr>
          <w:rFonts w:ascii="Arial" w:hAnsi="Arial" w:cs="Arial"/>
          <w:i/>
          <w:sz w:val="20"/>
          <w:szCs w:val="20"/>
        </w:rPr>
        <w:t>See section on ‘Exposure or rights to variable returns’ above.</w:t>
      </w:r>
    </w:p>
    <w:p w:rsidR="0089369D" w:rsidRPr="0089369D" w:rsidRDefault="0089369D" w:rsidP="0089369D">
      <w:pPr>
        <w:autoSpaceDE w:val="0"/>
        <w:autoSpaceDN w:val="0"/>
        <w:adjustRightInd w:val="0"/>
        <w:ind w:left="720"/>
        <w:rPr>
          <w:rFonts w:ascii="Arial" w:hAnsi="Arial" w:cs="Arial"/>
          <w:i/>
          <w:sz w:val="20"/>
          <w:szCs w:val="20"/>
        </w:rPr>
      </w:pPr>
    </w:p>
    <w:p w:rsidR="0089369D" w:rsidRDefault="0089369D" w:rsidP="0089369D">
      <w:pPr>
        <w:ind w:left="720"/>
        <w:rPr>
          <w:rFonts w:ascii="Arial" w:hAnsi="Arial" w:cs="Arial"/>
          <w:sz w:val="20"/>
          <w:szCs w:val="20"/>
        </w:rPr>
      </w:pPr>
      <w:r w:rsidRPr="0089369D">
        <w:rPr>
          <w:rFonts w:ascii="Arial" w:hAnsi="Arial" w:cs="Arial"/>
          <w:i/>
          <w:sz w:val="20"/>
          <w:szCs w:val="20"/>
        </w:rPr>
        <w:t xml:space="preserve">Terms and Conditions to support this point: </w:t>
      </w:r>
      <w:r w:rsidRPr="0089369D">
        <w:rPr>
          <w:rFonts w:ascii="Arial" w:hAnsi="Arial" w:cs="Arial"/>
          <w:sz w:val="20"/>
          <w:szCs w:val="20"/>
        </w:rPr>
        <w:t>6, 7, 8, 9</w:t>
      </w:r>
    </w:p>
    <w:p w:rsidR="0089369D" w:rsidRPr="0089369D" w:rsidRDefault="0089369D" w:rsidP="0089369D">
      <w:pPr>
        <w:ind w:left="720"/>
        <w:rPr>
          <w:rFonts w:ascii="Arial" w:hAnsi="Arial" w:cs="Arial"/>
          <w:i/>
          <w:sz w:val="20"/>
          <w:szCs w:val="20"/>
        </w:rPr>
      </w:pPr>
    </w:p>
    <w:p w:rsidR="0089369D" w:rsidRPr="0089369D" w:rsidRDefault="0089369D" w:rsidP="0089369D">
      <w:pPr>
        <w:pStyle w:val="ListParagraph"/>
        <w:numPr>
          <w:ilvl w:val="0"/>
          <w:numId w:val="49"/>
        </w:numPr>
        <w:autoSpaceDE w:val="0"/>
        <w:autoSpaceDN w:val="0"/>
        <w:adjustRightInd w:val="0"/>
        <w:spacing w:after="0" w:line="240" w:lineRule="auto"/>
        <w:rPr>
          <w:rFonts w:ascii="Arial" w:hAnsi="Arial" w:cs="Arial"/>
          <w:sz w:val="20"/>
          <w:szCs w:val="20"/>
        </w:rPr>
      </w:pPr>
      <w:proofErr w:type="gramStart"/>
      <w:r w:rsidRPr="0089369D">
        <w:rPr>
          <w:rFonts w:ascii="Arial" w:hAnsi="Arial" w:cs="Arial"/>
          <w:sz w:val="20"/>
          <w:szCs w:val="20"/>
        </w:rPr>
        <w:t>the</w:t>
      </w:r>
      <w:proofErr w:type="gramEnd"/>
      <w:r w:rsidRPr="0089369D">
        <w:rPr>
          <w:rFonts w:ascii="Arial" w:hAnsi="Arial" w:cs="Arial"/>
          <w:sz w:val="20"/>
          <w:szCs w:val="20"/>
        </w:rPr>
        <w:t xml:space="preserve"> decision maker's exposure to variability of returns from other interests that it holds in the investee (paragraphs B71 and B72).</w:t>
      </w:r>
    </w:p>
    <w:p w:rsidR="0089369D" w:rsidRPr="0089369D" w:rsidRDefault="0089369D" w:rsidP="0089369D">
      <w:pPr>
        <w:pStyle w:val="ListParagraph"/>
        <w:autoSpaceDE w:val="0"/>
        <w:autoSpaceDN w:val="0"/>
        <w:adjustRightInd w:val="0"/>
        <w:spacing w:after="0" w:line="240" w:lineRule="auto"/>
        <w:rPr>
          <w:rFonts w:ascii="Arial" w:hAnsi="Arial" w:cs="Arial"/>
          <w:sz w:val="20"/>
          <w:szCs w:val="20"/>
        </w:rPr>
      </w:pPr>
    </w:p>
    <w:p w:rsidR="0089369D" w:rsidRPr="0089369D" w:rsidRDefault="0089369D" w:rsidP="0089369D">
      <w:pPr>
        <w:pStyle w:val="ListParagraph"/>
        <w:autoSpaceDE w:val="0"/>
        <w:autoSpaceDN w:val="0"/>
        <w:adjustRightInd w:val="0"/>
        <w:spacing w:after="0" w:line="240" w:lineRule="auto"/>
        <w:rPr>
          <w:rFonts w:ascii="Arial" w:hAnsi="Arial" w:cs="Arial"/>
          <w:i/>
          <w:sz w:val="20"/>
          <w:szCs w:val="20"/>
        </w:rPr>
      </w:pPr>
      <w:r w:rsidRPr="0089369D">
        <w:rPr>
          <w:rFonts w:ascii="Arial" w:hAnsi="Arial" w:cs="Arial"/>
          <w:i/>
          <w:sz w:val="20"/>
          <w:szCs w:val="20"/>
        </w:rPr>
        <w:t xml:space="preserve">See section on ‘Exposure or rights to variable returns’ above.  </w:t>
      </w:r>
    </w:p>
    <w:p w:rsidR="0089369D" w:rsidRPr="0089369D" w:rsidRDefault="0089369D" w:rsidP="0089369D">
      <w:pPr>
        <w:pStyle w:val="ListParagraph"/>
        <w:autoSpaceDE w:val="0"/>
        <w:autoSpaceDN w:val="0"/>
        <w:adjustRightInd w:val="0"/>
        <w:spacing w:after="0" w:line="240" w:lineRule="auto"/>
        <w:rPr>
          <w:rFonts w:ascii="Arial" w:hAnsi="Arial" w:cs="Arial"/>
          <w:i/>
          <w:sz w:val="20"/>
          <w:szCs w:val="20"/>
        </w:rPr>
      </w:pPr>
    </w:p>
    <w:p w:rsidR="0089369D" w:rsidRPr="0089369D" w:rsidRDefault="0089369D" w:rsidP="0089369D">
      <w:pPr>
        <w:ind w:left="720"/>
        <w:rPr>
          <w:rFonts w:ascii="Arial" w:hAnsi="Arial" w:cs="Arial"/>
          <w:sz w:val="20"/>
          <w:szCs w:val="20"/>
        </w:rPr>
      </w:pPr>
      <w:r w:rsidRPr="0089369D">
        <w:rPr>
          <w:rFonts w:ascii="Arial" w:hAnsi="Arial" w:cs="Arial"/>
          <w:sz w:val="20"/>
          <w:szCs w:val="20"/>
        </w:rPr>
        <w:t>OPG will receive a 44% equity injection from the Province of Ontario, indirectly through the Ontario Financing Authority.  Given that currently, the majority (currently 51%) of the Trust debt will be from External Markets and not the Province, it can be argued that OPG did not receive the majority of its interest in the investee as a contribution or loan from the Province.  This shows that OPG is a principal, not a de-facto agent.</w:t>
      </w:r>
    </w:p>
    <w:p w:rsidR="0089369D" w:rsidRPr="0089369D" w:rsidRDefault="0089369D" w:rsidP="0089369D">
      <w:pPr>
        <w:autoSpaceDE w:val="0"/>
        <w:autoSpaceDN w:val="0"/>
        <w:adjustRightInd w:val="0"/>
        <w:rPr>
          <w:rFonts w:ascii="Arial" w:hAnsi="Arial" w:cs="Arial"/>
          <w:i/>
          <w:sz w:val="20"/>
          <w:szCs w:val="20"/>
        </w:rPr>
      </w:pPr>
    </w:p>
    <w:p w:rsidR="0089369D" w:rsidRDefault="0089369D" w:rsidP="0089369D">
      <w:pPr>
        <w:ind w:firstLine="720"/>
        <w:rPr>
          <w:rFonts w:ascii="Arial" w:hAnsi="Arial" w:cs="Arial"/>
          <w:sz w:val="20"/>
          <w:szCs w:val="20"/>
        </w:rPr>
      </w:pPr>
      <w:r w:rsidRPr="0089369D">
        <w:rPr>
          <w:rFonts w:ascii="Arial" w:hAnsi="Arial" w:cs="Arial"/>
          <w:i/>
          <w:sz w:val="20"/>
          <w:szCs w:val="20"/>
        </w:rPr>
        <w:t xml:space="preserve">Terms and Conditions to support this point: </w:t>
      </w:r>
      <w:r w:rsidRPr="0089369D">
        <w:rPr>
          <w:rFonts w:ascii="Arial" w:hAnsi="Arial" w:cs="Arial"/>
          <w:sz w:val="20"/>
          <w:szCs w:val="20"/>
        </w:rPr>
        <w:t>6, 7, 8, 9</w:t>
      </w:r>
    </w:p>
    <w:p w:rsidR="00794A5F" w:rsidRDefault="00794A5F" w:rsidP="0089369D">
      <w:pPr>
        <w:ind w:firstLine="720"/>
        <w:rPr>
          <w:rFonts w:ascii="Arial" w:hAnsi="Arial"/>
          <w:sz w:val="20"/>
        </w:rPr>
      </w:pPr>
    </w:p>
    <w:p w:rsidR="00794A5F" w:rsidRPr="000D5714" w:rsidRDefault="00794A5F" w:rsidP="00794A5F">
      <w:pPr>
        <w:pStyle w:val="CommentText"/>
        <w:rPr>
          <w:rFonts w:ascii="Arial" w:hAnsi="Arial" w:cs="Arial"/>
        </w:rPr>
      </w:pPr>
      <w:r>
        <w:rPr>
          <w:rFonts w:ascii="Arial" w:hAnsi="Arial" w:cs="Arial"/>
          <w:i/>
        </w:rPr>
        <w:t xml:space="preserve">Conclusion: </w:t>
      </w:r>
      <w:r w:rsidR="007C42F5">
        <w:rPr>
          <w:rFonts w:ascii="Arial" w:hAnsi="Arial" w:cs="Arial"/>
        </w:rPr>
        <w:t>OPG is not an agent for the P</w:t>
      </w:r>
      <w:r w:rsidRPr="000D5714">
        <w:rPr>
          <w:rFonts w:ascii="Arial" w:hAnsi="Arial" w:cs="Arial"/>
        </w:rPr>
        <w:t xml:space="preserve">rovince as the arrangement does not provide for the Province to directly absorb any variability associated with the structure.  If the Province decides to intervene at a later </w:t>
      </w:r>
      <w:r>
        <w:rPr>
          <w:rFonts w:ascii="Arial" w:hAnsi="Arial" w:cs="Arial"/>
        </w:rPr>
        <w:t>date</w:t>
      </w:r>
      <w:r w:rsidRPr="000D5714">
        <w:rPr>
          <w:rFonts w:ascii="Arial" w:hAnsi="Arial" w:cs="Arial"/>
        </w:rPr>
        <w:t xml:space="preserve"> due to evolving market conditions, an assessment would be made at that future date.</w:t>
      </w:r>
    </w:p>
    <w:p w:rsidR="00794A5F" w:rsidRDefault="00794A5F" w:rsidP="00AF0D2D">
      <w:pPr>
        <w:autoSpaceDE w:val="0"/>
        <w:autoSpaceDN w:val="0"/>
        <w:adjustRightInd w:val="0"/>
        <w:rPr>
          <w:rFonts w:ascii="Arial" w:hAnsi="Arial" w:cs="Arial"/>
          <w:i/>
          <w:color w:val="000000"/>
          <w:sz w:val="20"/>
          <w:szCs w:val="20"/>
          <w:lang w:val="en-US"/>
        </w:rPr>
      </w:pPr>
      <w:r>
        <w:rPr>
          <w:rFonts w:ascii="Arial" w:hAnsi="Arial" w:cs="Arial"/>
          <w:i/>
          <w:color w:val="000000"/>
          <w:sz w:val="20"/>
          <w:szCs w:val="20"/>
          <w:lang w:val="en-US"/>
        </w:rPr>
        <w:lastRenderedPageBreak/>
        <w:t>Analysis on whether OPG is an agent for ratepayers</w:t>
      </w:r>
    </w:p>
    <w:p w:rsidR="00794A5F" w:rsidRPr="00794A5F" w:rsidRDefault="00794A5F" w:rsidP="00AF0D2D">
      <w:pPr>
        <w:autoSpaceDE w:val="0"/>
        <w:autoSpaceDN w:val="0"/>
        <w:adjustRightInd w:val="0"/>
        <w:rPr>
          <w:rFonts w:ascii="Arial" w:hAnsi="Arial"/>
          <w:i/>
          <w:color w:val="000000"/>
          <w:sz w:val="20"/>
          <w:lang w:val="en-US"/>
        </w:rPr>
      </w:pPr>
    </w:p>
    <w:p w:rsidR="001550DB" w:rsidRDefault="00794A5F" w:rsidP="00AF0D2D">
      <w:pPr>
        <w:autoSpaceDE w:val="0"/>
        <w:autoSpaceDN w:val="0"/>
        <w:adjustRightInd w:val="0"/>
        <w:rPr>
          <w:rFonts w:ascii="Arial" w:hAnsi="Arial" w:cs="Arial"/>
          <w:color w:val="000000"/>
          <w:sz w:val="20"/>
          <w:szCs w:val="20"/>
          <w:lang w:val="en-US"/>
        </w:rPr>
      </w:pPr>
      <w:r>
        <w:rPr>
          <w:rFonts w:ascii="Arial" w:hAnsi="Arial"/>
          <w:color w:val="000000"/>
          <w:sz w:val="20"/>
          <w:lang w:val="en-US"/>
        </w:rPr>
        <w:t xml:space="preserve">OPG </w:t>
      </w:r>
      <w:r>
        <w:rPr>
          <w:rFonts w:ascii="Arial" w:hAnsi="Arial" w:cs="Arial"/>
          <w:color w:val="000000"/>
          <w:sz w:val="20"/>
          <w:szCs w:val="20"/>
          <w:lang w:val="en-US"/>
        </w:rPr>
        <w:t>is not an agent for the ratepayers because OPG has substantive exposure to risk of loss of its own funds.  The ratepayers do not have any of their own funds in any of the subordinated tranches and further, no decision mak</w:t>
      </w:r>
      <w:r w:rsidR="00D34FBD">
        <w:rPr>
          <w:rFonts w:ascii="Arial" w:hAnsi="Arial" w:cs="Arial"/>
          <w:color w:val="000000"/>
          <w:sz w:val="20"/>
          <w:szCs w:val="20"/>
          <w:lang w:val="en-US"/>
        </w:rPr>
        <w:t>ing authority</w:t>
      </w:r>
      <w:r>
        <w:rPr>
          <w:rFonts w:ascii="Arial" w:hAnsi="Arial" w:cs="Arial"/>
          <w:color w:val="000000"/>
          <w:sz w:val="20"/>
          <w:szCs w:val="20"/>
          <w:lang w:val="en-US"/>
        </w:rPr>
        <w:t xml:space="preserve"> is delegated to the ratepayers relating to the relevant activities of the Trust.</w:t>
      </w:r>
    </w:p>
    <w:p w:rsidR="00794A5F" w:rsidRDefault="00794A5F" w:rsidP="00AF0D2D">
      <w:pPr>
        <w:autoSpaceDE w:val="0"/>
        <w:autoSpaceDN w:val="0"/>
        <w:adjustRightInd w:val="0"/>
        <w:rPr>
          <w:rFonts w:ascii="Arial" w:hAnsi="Arial" w:cs="Arial"/>
          <w:color w:val="000000"/>
          <w:sz w:val="20"/>
          <w:szCs w:val="20"/>
          <w:lang w:val="en-US"/>
        </w:rPr>
      </w:pPr>
    </w:p>
    <w:p w:rsidR="00794A5F" w:rsidRPr="00794A5F" w:rsidRDefault="00794A5F" w:rsidP="00794A5F">
      <w:pPr>
        <w:autoSpaceDE w:val="0"/>
        <w:autoSpaceDN w:val="0"/>
        <w:adjustRightInd w:val="0"/>
        <w:rPr>
          <w:rFonts w:ascii="Arial" w:hAnsi="Arial" w:cs="Arial"/>
          <w:i/>
          <w:color w:val="000000"/>
          <w:sz w:val="20"/>
          <w:szCs w:val="20"/>
          <w:lang w:val="en-US"/>
        </w:rPr>
      </w:pPr>
      <w:r w:rsidRPr="00794A5F">
        <w:rPr>
          <w:rFonts w:ascii="Arial" w:hAnsi="Arial" w:cs="Arial"/>
          <w:i/>
          <w:color w:val="000000"/>
          <w:sz w:val="20"/>
          <w:szCs w:val="20"/>
          <w:lang w:val="en-US"/>
        </w:rPr>
        <w:t>Analysis on whether OPG is an agent for the IESO</w:t>
      </w:r>
    </w:p>
    <w:p w:rsidR="00794A5F" w:rsidRDefault="00794A5F" w:rsidP="00AF0D2D">
      <w:pPr>
        <w:autoSpaceDE w:val="0"/>
        <w:autoSpaceDN w:val="0"/>
        <w:adjustRightInd w:val="0"/>
        <w:rPr>
          <w:rFonts w:ascii="Arial" w:hAnsi="Arial"/>
          <w:color w:val="000000"/>
          <w:sz w:val="20"/>
          <w:lang w:val="en-US"/>
        </w:rPr>
      </w:pPr>
    </w:p>
    <w:p w:rsidR="0089369D" w:rsidRPr="00794A5F" w:rsidRDefault="00794A5F" w:rsidP="00794A5F">
      <w:pPr>
        <w:autoSpaceDE w:val="0"/>
        <w:autoSpaceDN w:val="0"/>
        <w:adjustRightInd w:val="0"/>
        <w:rPr>
          <w:rFonts w:ascii="Arial" w:hAnsi="Arial"/>
          <w:sz w:val="20"/>
        </w:rPr>
      </w:pPr>
      <w:r w:rsidRPr="00794A5F">
        <w:rPr>
          <w:rFonts w:ascii="Arial" w:hAnsi="Arial"/>
          <w:sz w:val="20"/>
        </w:rPr>
        <w:t xml:space="preserve">OPG is </w:t>
      </w:r>
      <w:r w:rsidRPr="00794A5F">
        <w:rPr>
          <w:rFonts w:ascii="Arial" w:hAnsi="Arial" w:cs="Arial"/>
          <w:sz w:val="20"/>
          <w:szCs w:val="20"/>
        </w:rPr>
        <w:t>not an agent of the IES</w:t>
      </w:r>
      <w:r w:rsidR="00CE7E79">
        <w:rPr>
          <w:rFonts w:ascii="Arial" w:hAnsi="Arial" w:cs="Arial"/>
          <w:sz w:val="20"/>
          <w:szCs w:val="20"/>
        </w:rPr>
        <w:t>O because the IESO faces no continuing</w:t>
      </w:r>
      <w:r w:rsidRPr="00794A5F">
        <w:rPr>
          <w:rFonts w:ascii="Arial" w:hAnsi="Arial" w:cs="Arial"/>
          <w:sz w:val="20"/>
          <w:szCs w:val="20"/>
        </w:rPr>
        <w:t xml:space="preserve"> risk of loss after sale of the intangible asset to OPG.</w:t>
      </w:r>
      <w:r w:rsidR="000D5714" w:rsidRPr="00794A5F">
        <w:rPr>
          <w:rFonts w:ascii="Arial" w:hAnsi="Arial" w:cs="Arial"/>
          <w:sz w:val="20"/>
          <w:szCs w:val="20"/>
        </w:rPr>
        <w:t xml:space="preserve"> </w:t>
      </w:r>
    </w:p>
    <w:sectPr w:rsidR="0089369D" w:rsidRPr="00794A5F" w:rsidSect="00251955">
      <w:headerReference w:type="even" r:id="rId12"/>
      <w:headerReference w:type="default" r:id="rId13"/>
      <w:footerReference w:type="even" r:id="rId14"/>
      <w:footerReference w:type="default" r:id="rId15"/>
      <w:headerReference w:type="first" r:id="rId16"/>
      <w:footerReference w:type="first" r:id="rId17"/>
      <w:type w:val="oddPage"/>
      <w:pgSz w:w="11906" w:h="16838" w:code="9"/>
      <w:pgMar w:top="1440" w:right="1797" w:bottom="1440" w:left="1797" w:header="720" w:footer="720" w:gutter="0"/>
      <w:pgNumType w:start="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942F45B" w15:done="0"/>
  <w15:commentEx w15:paraId="24107159" w15:done="0"/>
  <w15:commentEx w15:paraId="1B64B39C" w15:done="0"/>
  <w15:commentEx w15:paraId="35F685C0" w15:done="0"/>
  <w15:commentEx w15:paraId="747A24AB" w15:done="0"/>
  <w15:commentEx w15:paraId="3BAB8FE0" w15:done="0"/>
  <w15:commentEx w15:paraId="2601D503" w15:done="0"/>
  <w15:commentEx w15:paraId="78A53F2A" w15:done="0"/>
  <w15:commentEx w15:paraId="6B2B4DAC" w15:done="0"/>
  <w15:commentEx w15:paraId="6CCC2F63" w15:done="0"/>
  <w15:commentEx w15:paraId="60AC0705" w15:done="0"/>
  <w15:commentEx w15:paraId="17463B2C" w15:done="0"/>
  <w15:commentEx w15:paraId="767534FA" w15:done="0"/>
  <w15:commentEx w15:paraId="4D37828E" w15:done="0"/>
  <w15:commentEx w15:paraId="5B434BB5" w15:done="0"/>
  <w15:commentEx w15:paraId="4BE58F62" w15:done="0"/>
  <w15:commentEx w15:paraId="7A79F2E1" w15:done="0"/>
  <w15:commentEx w15:paraId="7E194CFE" w15:done="0"/>
  <w15:commentEx w15:paraId="097E4B71" w15:done="0"/>
  <w15:commentEx w15:paraId="4D20E1D3" w15:done="0"/>
  <w15:commentEx w15:paraId="222AFCCA" w15:done="0"/>
  <w15:commentEx w15:paraId="01844934" w15:done="0"/>
  <w15:commentEx w15:paraId="4AF8F26F" w15:done="0"/>
  <w15:commentEx w15:paraId="4B795C0C" w15:done="0"/>
  <w15:commentEx w15:paraId="4792D07F" w15:done="0"/>
  <w15:commentEx w15:paraId="4DE2D9AB" w15:done="0"/>
  <w15:commentEx w15:paraId="09CD27DB" w15:done="0"/>
  <w15:commentEx w15:paraId="1E7EBAD4" w15:done="0"/>
  <w15:commentEx w15:paraId="7ED20851" w15:done="0"/>
  <w15:commentEx w15:paraId="5A95F932" w15:done="0"/>
  <w15:commentEx w15:paraId="141A0E6B" w15:done="0"/>
  <w15:commentEx w15:paraId="33AFA71E" w15:done="0"/>
  <w15:commentEx w15:paraId="786D08BD" w15:done="0"/>
  <w15:commentEx w15:paraId="4685D10D" w15:done="0"/>
  <w15:commentEx w15:paraId="16B1AA0E" w15:done="0"/>
  <w15:commentEx w15:paraId="38D595C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EC1" w:rsidRDefault="00C77EC1">
      <w:r>
        <w:separator/>
      </w:r>
    </w:p>
  </w:endnote>
  <w:endnote w:type="continuationSeparator" w:id="0">
    <w:p w:rsidR="00C77EC1" w:rsidRDefault="00C77E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16A" w:rsidRDefault="0069016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69024"/>
      <w:docPartObj>
        <w:docPartGallery w:val="Page Numbers (Bottom of Page)"/>
        <w:docPartUnique/>
      </w:docPartObj>
    </w:sdtPr>
    <w:sdtContent>
      <w:p w:rsidR="001550DB" w:rsidRDefault="00D269E3">
        <w:pPr>
          <w:pStyle w:val="Footer"/>
          <w:jc w:val="center"/>
        </w:pPr>
        <w:fldSimple w:instr=" PAGE   \* MERGEFORMAT ">
          <w:r w:rsidR="00754342">
            <w:rPr>
              <w:noProof/>
            </w:rPr>
            <w:t>12</w:t>
          </w:r>
        </w:fldSimple>
      </w:p>
    </w:sdtContent>
  </w:sdt>
  <w:p w:rsidR="001550DB" w:rsidRPr="00C2543D" w:rsidRDefault="001550DB">
    <w:pPr>
      <w:pStyle w:val="Footer"/>
      <w:tabs>
        <w:tab w:val="clear" w:pos="9072"/>
        <w:tab w:val="right" w:pos="7920"/>
      </w:tabs>
      <w:ind w:right="32"/>
      <w:rPr>
        <w:b/>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16A" w:rsidRDefault="006901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EC1" w:rsidRDefault="00C77EC1">
      <w:r>
        <w:separator/>
      </w:r>
    </w:p>
  </w:footnote>
  <w:footnote w:type="continuationSeparator" w:id="0">
    <w:p w:rsidR="00C77EC1" w:rsidRDefault="00C77E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16A" w:rsidRDefault="0069016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0DB" w:rsidRPr="00B25999" w:rsidRDefault="00D269E3">
    <w:pPr>
      <w:pStyle w:val="Header"/>
      <w:pBdr>
        <w:top w:val="single" w:sz="4" w:space="1" w:color="auto"/>
        <w:left w:val="single" w:sz="4" w:space="4" w:color="auto"/>
        <w:bottom w:val="single" w:sz="4" w:space="1" w:color="auto"/>
        <w:right w:val="single" w:sz="4" w:space="4" w:color="auto"/>
      </w:pBdr>
      <w:tabs>
        <w:tab w:val="clear" w:pos="4536"/>
        <w:tab w:val="left" w:pos="4500"/>
      </w:tabs>
      <w:rPr>
        <w:b/>
        <w:sz w:val="20"/>
      </w:rPr>
    </w:pPr>
    <w:sdt>
      <w:sdtPr>
        <w:rPr>
          <w:b/>
          <w:sz w:val="20"/>
        </w:rPr>
        <w:id w:val="455068691"/>
        <w:docPartObj>
          <w:docPartGallery w:val="Watermarks"/>
          <w:docPartUnique/>
        </w:docPartObj>
      </w:sdtPr>
      <w:sdtContent>
        <w:r w:rsidRPr="00D269E3">
          <w:rPr>
            <w:b/>
            <w:noProof/>
            <w:sz w:val="20"/>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615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550DB" w:rsidRPr="00B25999">
      <w:rPr>
        <w:b/>
        <w:sz w:val="20"/>
      </w:rPr>
      <w:t>Draft for Discussion Purposes</w:t>
    </w:r>
    <w:r w:rsidR="001550DB">
      <w:rPr>
        <w:b/>
        <w:sz w:val="20"/>
      </w:rPr>
      <w:t xml:space="preserve"> - CONFIDENTIAL</w:t>
    </w:r>
  </w:p>
  <w:p w:rsidR="001550DB" w:rsidRPr="00B25999" w:rsidRDefault="001550DB" w:rsidP="00C4745A">
    <w:pPr>
      <w:pStyle w:val="Header"/>
      <w:pBdr>
        <w:top w:val="single" w:sz="4" w:space="1" w:color="auto"/>
        <w:left w:val="single" w:sz="4" w:space="4" w:color="auto"/>
        <w:bottom w:val="single" w:sz="4" w:space="1" w:color="auto"/>
        <w:right w:val="single" w:sz="4" w:space="4" w:color="auto"/>
      </w:pBdr>
      <w:tabs>
        <w:tab w:val="clear" w:pos="4536"/>
        <w:tab w:val="left" w:pos="4500"/>
      </w:tabs>
      <w:rPr>
        <w:b/>
        <w:color w:val="0000FF"/>
        <w:sz w:val="20"/>
      </w:rPr>
    </w:pPr>
    <w:r w:rsidRPr="00B25999">
      <w:rPr>
        <w:b/>
        <w:sz w:val="20"/>
      </w:rPr>
      <w:t xml:space="preserve">Accounting Topic Discussion Paper </w:t>
    </w:r>
  </w:p>
  <w:p w:rsidR="001550DB" w:rsidRPr="00B25999" w:rsidRDefault="001550DB" w:rsidP="00C4745A">
    <w:pPr>
      <w:pStyle w:val="Header"/>
      <w:pBdr>
        <w:top w:val="single" w:sz="4" w:space="1" w:color="auto"/>
        <w:left w:val="single" w:sz="4" w:space="4" w:color="auto"/>
        <w:bottom w:val="single" w:sz="4" w:space="1" w:color="auto"/>
        <w:right w:val="single" w:sz="4" w:space="4" w:color="auto"/>
      </w:pBdr>
      <w:tabs>
        <w:tab w:val="clear" w:pos="4536"/>
        <w:tab w:val="left" w:pos="4500"/>
      </w:tabs>
      <w:ind w:left="4320" w:hanging="4320"/>
      <w:rPr>
        <w:b/>
        <w:sz w:val="20"/>
      </w:rPr>
    </w:pPr>
    <w:smartTag w:uri="urn:schemas-microsoft-com:office:smarttags" w:element="State">
      <w:smartTag w:uri="urn:schemas-microsoft-com:office:smarttags" w:element="place">
        <w:r w:rsidRPr="00B25999">
          <w:rPr>
            <w:b/>
            <w:sz w:val="20"/>
          </w:rPr>
          <w:t>Ontario</w:t>
        </w:r>
      </w:smartTag>
    </w:smartTag>
    <w:r w:rsidRPr="00B25999">
      <w:rPr>
        <w:b/>
        <w:sz w:val="20"/>
      </w:rPr>
      <w:t xml:space="preserve"> Power Generation (OPG)</w:t>
    </w:r>
  </w:p>
  <w:p w:rsidR="001550DB" w:rsidRDefault="001550DB">
    <w:pPr>
      <w:pStyle w:val="Header"/>
      <w:tabs>
        <w:tab w:val="clear" w:pos="4536"/>
        <w:tab w:val="left" w:pos="4500"/>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16A" w:rsidRDefault="0069016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509BF"/>
    <w:multiLevelType w:val="hybridMultilevel"/>
    <w:tmpl w:val="1A00DE32"/>
    <w:lvl w:ilvl="0" w:tplc="1009000F">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01">
      <w:start w:val="1"/>
      <w:numFmt w:val="bullet"/>
      <w:lvlText w:val=""/>
      <w:lvlJc w:val="left"/>
      <w:pPr>
        <w:ind w:left="270" w:hanging="180"/>
      </w:pPr>
      <w:rPr>
        <w:rFonts w:ascii="Symbol" w:hAnsi="Symbol" w:hint="default"/>
      </w:rPr>
    </w:lvl>
    <w:lvl w:ilvl="3" w:tplc="10090005">
      <w:start w:val="1"/>
      <w:numFmt w:val="bullet"/>
      <w:lvlText w:val=""/>
      <w:lvlJc w:val="left"/>
      <w:pPr>
        <w:ind w:left="990" w:hanging="360"/>
      </w:pPr>
      <w:rPr>
        <w:rFonts w:ascii="Wingdings" w:hAnsi="Wingdings" w:hint="default"/>
      </w:rPr>
    </w:lvl>
    <w:lvl w:ilvl="4" w:tplc="10090003">
      <w:start w:val="1"/>
      <w:numFmt w:val="bullet"/>
      <w:lvlText w:val="o"/>
      <w:lvlJc w:val="left"/>
      <w:pPr>
        <w:ind w:left="1170" w:hanging="360"/>
      </w:pPr>
      <w:rPr>
        <w:rFonts w:ascii="Courier New" w:hAnsi="Courier New" w:cs="Courier New" w:hint="default"/>
      </w:r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
    <w:nsid w:val="10F7171C"/>
    <w:multiLevelType w:val="hybridMultilevel"/>
    <w:tmpl w:val="A42CB2EA"/>
    <w:lvl w:ilvl="0" w:tplc="10090017">
      <w:start w:val="1"/>
      <w:numFmt w:val="lowerLetter"/>
      <w:lvlText w:val="%1)"/>
      <w:lvlJc w:val="left"/>
      <w:pPr>
        <w:ind w:left="1260" w:hanging="360"/>
      </w:pPr>
    </w:lvl>
    <w:lvl w:ilvl="1" w:tplc="10090019">
      <w:start w:val="1"/>
      <w:numFmt w:val="lowerLetter"/>
      <w:lvlText w:val="%2."/>
      <w:lvlJc w:val="left"/>
      <w:pPr>
        <w:ind w:left="1980" w:hanging="360"/>
      </w:pPr>
    </w:lvl>
    <w:lvl w:ilvl="2" w:tplc="1009001B">
      <w:start w:val="1"/>
      <w:numFmt w:val="lowerRoman"/>
      <w:lvlText w:val="%3."/>
      <w:lvlJc w:val="right"/>
      <w:pPr>
        <w:ind w:left="2700" w:hanging="180"/>
      </w:pPr>
    </w:lvl>
    <w:lvl w:ilvl="3" w:tplc="1009000F" w:tentative="1">
      <w:start w:val="1"/>
      <w:numFmt w:val="decimal"/>
      <w:lvlText w:val="%4."/>
      <w:lvlJc w:val="left"/>
      <w:pPr>
        <w:ind w:left="3420" w:hanging="360"/>
      </w:pPr>
    </w:lvl>
    <w:lvl w:ilvl="4" w:tplc="10090019" w:tentative="1">
      <w:start w:val="1"/>
      <w:numFmt w:val="lowerLetter"/>
      <w:lvlText w:val="%5."/>
      <w:lvlJc w:val="left"/>
      <w:pPr>
        <w:ind w:left="4140" w:hanging="360"/>
      </w:pPr>
    </w:lvl>
    <w:lvl w:ilvl="5" w:tplc="1009001B" w:tentative="1">
      <w:start w:val="1"/>
      <w:numFmt w:val="lowerRoman"/>
      <w:lvlText w:val="%6."/>
      <w:lvlJc w:val="right"/>
      <w:pPr>
        <w:ind w:left="4860" w:hanging="180"/>
      </w:pPr>
    </w:lvl>
    <w:lvl w:ilvl="6" w:tplc="1009000F" w:tentative="1">
      <w:start w:val="1"/>
      <w:numFmt w:val="decimal"/>
      <w:lvlText w:val="%7."/>
      <w:lvlJc w:val="left"/>
      <w:pPr>
        <w:ind w:left="5580" w:hanging="360"/>
      </w:pPr>
    </w:lvl>
    <w:lvl w:ilvl="7" w:tplc="10090019" w:tentative="1">
      <w:start w:val="1"/>
      <w:numFmt w:val="lowerLetter"/>
      <w:lvlText w:val="%8."/>
      <w:lvlJc w:val="left"/>
      <w:pPr>
        <w:ind w:left="6300" w:hanging="360"/>
      </w:pPr>
    </w:lvl>
    <w:lvl w:ilvl="8" w:tplc="1009001B" w:tentative="1">
      <w:start w:val="1"/>
      <w:numFmt w:val="lowerRoman"/>
      <w:lvlText w:val="%9."/>
      <w:lvlJc w:val="right"/>
      <w:pPr>
        <w:ind w:left="7020" w:hanging="180"/>
      </w:pPr>
    </w:lvl>
  </w:abstractNum>
  <w:abstractNum w:abstractNumId="2">
    <w:nsid w:val="163C29F6"/>
    <w:multiLevelType w:val="hybridMultilevel"/>
    <w:tmpl w:val="0394BE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19366070"/>
    <w:multiLevelType w:val="hybridMultilevel"/>
    <w:tmpl w:val="C360F4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1D3D738A"/>
    <w:multiLevelType w:val="hybridMultilevel"/>
    <w:tmpl w:val="85DCAC42"/>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1F942CBF"/>
    <w:multiLevelType w:val="hybridMultilevel"/>
    <w:tmpl w:val="C722E82A"/>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21487540"/>
    <w:multiLevelType w:val="hybridMultilevel"/>
    <w:tmpl w:val="D15AFE7A"/>
    <w:lvl w:ilvl="0" w:tplc="10090011">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nsid w:val="24336B81"/>
    <w:multiLevelType w:val="multilevel"/>
    <w:tmpl w:val="EA2C303A"/>
    <w:lvl w:ilvl="0">
      <w:start w:val="3"/>
      <w:numFmt w:val="lowerLetter"/>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8">
    <w:nsid w:val="25990EDA"/>
    <w:multiLevelType w:val="hybridMultilevel"/>
    <w:tmpl w:val="0BA05B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2A8B5561"/>
    <w:multiLevelType w:val="hybridMultilevel"/>
    <w:tmpl w:val="8910B4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2D461520"/>
    <w:multiLevelType w:val="hybridMultilevel"/>
    <w:tmpl w:val="7292C18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2D53006B"/>
    <w:multiLevelType w:val="hybridMultilevel"/>
    <w:tmpl w:val="7586031A"/>
    <w:lvl w:ilvl="0" w:tplc="10090017">
      <w:start w:val="1"/>
      <w:numFmt w:val="lowerLetter"/>
      <w:lvlText w:val="%1)"/>
      <w:lvlJc w:val="left"/>
      <w:pPr>
        <w:ind w:left="1260" w:hanging="360"/>
      </w:pPr>
    </w:lvl>
    <w:lvl w:ilvl="1" w:tplc="10090019">
      <w:start w:val="1"/>
      <w:numFmt w:val="lowerLetter"/>
      <w:lvlText w:val="%2."/>
      <w:lvlJc w:val="left"/>
      <w:pPr>
        <w:ind w:left="1980" w:hanging="360"/>
      </w:pPr>
    </w:lvl>
    <w:lvl w:ilvl="2" w:tplc="1009001B">
      <w:start w:val="1"/>
      <w:numFmt w:val="lowerRoman"/>
      <w:lvlText w:val="%3."/>
      <w:lvlJc w:val="right"/>
      <w:pPr>
        <w:ind w:left="2700" w:hanging="180"/>
      </w:pPr>
    </w:lvl>
    <w:lvl w:ilvl="3" w:tplc="1009000F" w:tentative="1">
      <w:start w:val="1"/>
      <w:numFmt w:val="decimal"/>
      <w:lvlText w:val="%4."/>
      <w:lvlJc w:val="left"/>
      <w:pPr>
        <w:ind w:left="3420" w:hanging="360"/>
      </w:pPr>
    </w:lvl>
    <w:lvl w:ilvl="4" w:tplc="10090019" w:tentative="1">
      <w:start w:val="1"/>
      <w:numFmt w:val="lowerLetter"/>
      <w:lvlText w:val="%5."/>
      <w:lvlJc w:val="left"/>
      <w:pPr>
        <w:ind w:left="4140" w:hanging="360"/>
      </w:pPr>
    </w:lvl>
    <w:lvl w:ilvl="5" w:tplc="1009001B" w:tentative="1">
      <w:start w:val="1"/>
      <w:numFmt w:val="lowerRoman"/>
      <w:lvlText w:val="%6."/>
      <w:lvlJc w:val="right"/>
      <w:pPr>
        <w:ind w:left="4860" w:hanging="180"/>
      </w:pPr>
    </w:lvl>
    <w:lvl w:ilvl="6" w:tplc="1009000F" w:tentative="1">
      <w:start w:val="1"/>
      <w:numFmt w:val="decimal"/>
      <w:lvlText w:val="%7."/>
      <w:lvlJc w:val="left"/>
      <w:pPr>
        <w:ind w:left="5580" w:hanging="360"/>
      </w:pPr>
    </w:lvl>
    <w:lvl w:ilvl="7" w:tplc="10090019" w:tentative="1">
      <w:start w:val="1"/>
      <w:numFmt w:val="lowerLetter"/>
      <w:lvlText w:val="%8."/>
      <w:lvlJc w:val="left"/>
      <w:pPr>
        <w:ind w:left="6300" w:hanging="360"/>
      </w:pPr>
    </w:lvl>
    <w:lvl w:ilvl="8" w:tplc="1009001B" w:tentative="1">
      <w:start w:val="1"/>
      <w:numFmt w:val="lowerRoman"/>
      <w:lvlText w:val="%9."/>
      <w:lvlJc w:val="right"/>
      <w:pPr>
        <w:ind w:left="7020" w:hanging="180"/>
      </w:pPr>
    </w:lvl>
  </w:abstractNum>
  <w:abstractNum w:abstractNumId="12">
    <w:nsid w:val="2D681F9F"/>
    <w:multiLevelType w:val="hybridMultilevel"/>
    <w:tmpl w:val="81647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300B89"/>
    <w:multiLevelType w:val="hybridMultilevel"/>
    <w:tmpl w:val="7242C6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30973B40"/>
    <w:multiLevelType w:val="hybridMultilevel"/>
    <w:tmpl w:val="F8F8D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D91B4C"/>
    <w:multiLevelType w:val="hybridMultilevel"/>
    <w:tmpl w:val="BB1E039A"/>
    <w:lvl w:ilvl="0" w:tplc="FECC7900">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
    <w:nsid w:val="341E2CA1"/>
    <w:multiLevelType w:val="hybridMultilevel"/>
    <w:tmpl w:val="AB72BFBA"/>
    <w:lvl w:ilvl="0" w:tplc="10090017">
      <w:start w:val="1"/>
      <w:numFmt w:val="lowerLetter"/>
      <w:lvlText w:val="%1)"/>
      <w:lvlJc w:val="left"/>
      <w:pPr>
        <w:ind w:left="1260" w:hanging="360"/>
      </w:pPr>
    </w:lvl>
    <w:lvl w:ilvl="1" w:tplc="10090019">
      <w:start w:val="1"/>
      <w:numFmt w:val="lowerLetter"/>
      <w:lvlText w:val="%2."/>
      <w:lvlJc w:val="left"/>
      <w:pPr>
        <w:ind w:left="1980" w:hanging="360"/>
      </w:pPr>
    </w:lvl>
    <w:lvl w:ilvl="2" w:tplc="10090017">
      <w:start w:val="1"/>
      <w:numFmt w:val="lowerLetter"/>
      <w:lvlText w:val="%3)"/>
      <w:lvlJc w:val="left"/>
      <w:pPr>
        <w:ind w:left="2700" w:hanging="180"/>
      </w:pPr>
    </w:lvl>
    <w:lvl w:ilvl="3" w:tplc="1009000F" w:tentative="1">
      <w:start w:val="1"/>
      <w:numFmt w:val="decimal"/>
      <w:lvlText w:val="%4."/>
      <w:lvlJc w:val="left"/>
      <w:pPr>
        <w:ind w:left="3420" w:hanging="360"/>
      </w:pPr>
    </w:lvl>
    <w:lvl w:ilvl="4" w:tplc="10090019" w:tentative="1">
      <w:start w:val="1"/>
      <w:numFmt w:val="lowerLetter"/>
      <w:lvlText w:val="%5."/>
      <w:lvlJc w:val="left"/>
      <w:pPr>
        <w:ind w:left="4140" w:hanging="360"/>
      </w:pPr>
    </w:lvl>
    <w:lvl w:ilvl="5" w:tplc="1009001B" w:tentative="1">
      <w:start w:val="1"/>
      <w:numFmt w:val="lowerRoman"/>
      <w:lvlText w:val="%6."/>
      <w:lvlJc w:val="right"/>
      <w:pPr>
        <w:ind w:left="4860" w:hanging="180"/>
      </w:pPr>
    </w:lvl>
    <w:lvl w:ilvl="6" w:tplc="1009000F" w:tentative="1">
      <w:start w:val="1"/>
      <w:numFmt w:val="decimal"/>
      <w:lvlText w:val="%7."/>
      <w:lvlJc w:val="left"/>
      <w:pPr>
        <w:ind w:left="5580" w:hanging="360"/>
      </w:pPr>
    </w:lvl>
    <w:lvl w:ilvl="7" w:tplc="10090019" w:tentative="1">
      <w:start w:val="1"/>
      <w:numFmt w:val="lowerLetter"/>
      <w:lvlText w:val="%8."/>
      <w:lvlJc w:val="left"/>
      <w:pPr>
        <w:ind w:left="6300" w:hanging="360"/>
      </w:pPr>
    </w:lvl>
    <w:lvl w:ilvl="8" w:tplc="1009001B" w:tentative="1">
      <w:start w:val="1"/>
      <w:numFmt w:val="lowerRoman"/>
      <w:lvlText w:val="%9."/>
      <w:lvlJc w:val="right"/>
      <w:pPr>
        <w:ind w:left="7020" w:hanging="180"/>
      </w:pPr>
    </w:lvl>
  </w:abstractNum>
  <w:abstractNum w:abstractNumId="17">
    <w:nsid w:val="38472E8D"/>
    <w:multiLevelType w:val="hybridMultilevel"/>
    <w:tmpl w:val="1E04C912"/>
    <w:lvl w:ilvl="0" w:tplc="D3D4FFAE">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3F3C27C2"/>
    <w:multiLevelType w:val="hybridMultilevel"/>
    <w:tmpl w:val="CB2AB2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42FE3CF2"/>
    <w:multiLevelType w:val="hybridMultilevel"/>
    <w:tmpl w:val="22B61BF8"/>
    <w:lvl w:ilvl="0" w:tplc="FE467B5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0">
    <w:nsid w:val="43920771"/>
    <w:multiLevelType w:val="hybridMultilevel"/>
    <w:tmpl w:val="587AB27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43C10514"/>
    <w:multiLevelType w:val="hybridMultilevel"/>
    <w:tmpl w:val="F0D4A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D451A1"/>
    <w:multiLevelType w:val="hybridMultilevel"/>
    <w:tmpl w:val="90686276"/>
    <w:lvl w:ilvl="0" w:tplc="68F03B12">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44037BCE"/>
    <w:multiLevelType w:val="hybridMultilevel"/>
    <w:tmpl w:val="A33CBFFE"/>
    <w:lvl w:ilvl="0" w:tplc="23EA0CB4">
      <w:start w:val="1"/>
      <w:numFmt w:val="decimal"/>
      <w:lvlText w:val="%1."/>
      <w:lvlJc w:val="left"/>
      <w:pPr>
        <w:ind w:left="360" w:hanging="360"/>
      </w:pPr>
      <w:rPr>
        <w:rFonts w:hint="default"/>
        <w:b w:val="0"/>
      </w:rPr>
    </w:lvl>
    <w:lvl w:ilvl="1" w:tplc="10090019">
      <w:start w:val="1"/>
      <w:numFmt w:val="lowerLetter"/>
      <w:lvlText w:val="%2."/>
      <w:lvlJc w:val="left"/>
      <w:pPr>
        <w:ind w:left="1080" w:hanging="360"/>
      </w:pPr>
      <w:rPr>
        <w:b w:val="0"/>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
    <w:nsid w:val="44CE6382"/>
    <w:multiLevelType w:val="hybridMultilevel"/>
    <w:tmpl w:val="849AA6B8"/>
    <w:lvl w:ilvl="0" w:tplc="10090017">
      <w:start w:val="1"/>
      <w:numFmt w:val="lowerLetter"/>
      <w:lvlText w:val="%1)"/>
      <w:lvlJc w:val="left"/>
      <w:pPr>
        <w:ind w:left="1260" w:hanging="360"/>
      </w:pPr>
    </w:lvl>
    <w:lvl w:ilvl="1" w:tplc="10090019" w:tentative="1">
      <w:start w:val="1"/>
      <w:numFmt w:val="lowerLetter"/>
      <w:lvlText w:val="%2."/>
      <w:lvlJc w:val="left"/>
      <w:pPr>
        <w:ind w:left="1980" w:hanging="360"/>
      </w:pPr>
    </w:lvl>
    <w:lvl w:ilvl="2" w:tplc="1009001B" w:tentative="1">
      <w:start w:val="1"/>
      <w:numFmt w:val="lowerRoman"/>
      <w:lvlText w:val="%3."/>
      <w:lvlJc w:val="right"/>
      <w:pPr>
        <w:ind w:left="2700" w:hanging="180"/>
      </w:pPr>
    </w:lvl>
    <w:lvl w:ilvl="3" w:tplc="1009000F" w:tentative="1">
      <w:start w:val="1"/>
      <w:numFmt w:val="decimal"/>
      <w:lvlText w:val="%4."/>
      <w:lvlJc w:val="left"/>
      <w:pPr>
        <w:ind w:left="3420" w:hanging="360"/>
      </w:pPr>
    </w:lvl>
    <w:lvl w:ilvl="4" w:tplc="10090019" w:tentative="1">
      <w:start w:val="1"/>
      <w:numFmt w:val="lowerLetter"/>
      <w:lvlText w:val="%5."/>
      <w:lvlJc w:val="left"/>
      <w:pPr>
        <w:ind w:left="4140" w:hanging="360"/>
      </w:pPr>
    </w:lvl>
    <w:lvl w:ilvl="5" w:tplc="1009001B" w:tentative="1">
      <w:start w:val="1"/>
      <w:numFmt w:val="lowerRoman"/>
      <w:lvlText w:val="%6."/>
      <w:lvlJc w:val="right"/>
      <w:pPr>
        <w:ind w:left="4860" w:hanging="180"/>
      </w:pPr>
    </w:lvl>
    <w:lvl w:ilvl="6" w:tplc="1009000F" w:tentative="1">
      <w:start w:val="1"/>
      <w:numFmt w:val="decimal"/>
      <w:lvlText w:val="%7."/>
      <w:lvlJc w:val="left"/>
      <w:pPr>
        <w:ind w:left="5580" w:hanging="360"/>
      </w:pPr>
    </w:lvl>
    <w:lvl w:ilvl="7" w:tplc="10090019" w:tentative="1">
      <w:start w:val="1"/>
      <w:numFmt w:val="lowerLetter"/>
      <w:lvlText w:val="%8."/>
      <w:lvlJc w:val="left"/>
      <w:pPr>
        <w:ind w:left="6300" w:hanging="360"/>
      </w:pPr>
    </w:lvl>
    <w:lvl w:ilvl="8" w:tplc="1009001B" w:tentative="1">
      <w:start w:val="1"/>
      <w:numFmt w:val="lowerRoman"/>
      <w:lvlText w:val="%9."/>
      <w:lvlJc w:val="right"/>
      <w:pPr>
        <w:ind w:left="7020" w:hanging="180"/>
      </w:pPr>
    </w:lvl>
  </w:abstractNum>
  <w:abstractNum w:abstractNumId="25">
    <w:nsid w:val="46C66084"/>
    <w:multiLevelType w:val="hybridMultilevel"/>
    <w:tmpl w:val="FADC61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nsid w:val="4848332F"/>
    <w:multiLevelType w:val="hybridMultilevel"/>
    <w:tmpl w:val="6A9A26F4"/>
    <w:lvl w:ilvl="0" w:tplc="703E6A8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7">
    <w:nsid w:val="4A8107DA"/>
    <w:multiLevelType w:val="hybridMultilevel"/>
    <w:tmpl w:val="DDCA49A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4ADC0CEA"/>
    <w:multiLevelType w:val="hybridMultilevel"/>
    <w:tmpl w:val="2B6C3DBE"/>
    <w:lvl w:ilvl="0" w:tplc="10090015">
      <w:start w:val="1"/>
      <w:numFmt w:val="upp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4DB03056"/>
    <w:multiLevelType w:val="hybridMultilevel"/>
    <w:tmpl w:val="3B860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804134"/>
    <w:multiLevelType w:val="hybridMultilevel"/>
    <w:tmpl w:val="257089D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37E40AF"/>
    <w:multiLevelType w:val="hybridMultilevel"/>
    <w:tmpl w:val="7550ED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nsid w:val="5BA47E38"/>
    <w:multiLevelType w:val="hybridMultilevel"/>
    <w:tmpl w:val="D6F4D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8644AD"/>
    <w:multiLevelType w:val="hybridMultilevel"/>
    <w:tmpl w:val="B84E03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nsid w:val="5DF0186D"/>
    <w:multiLevelType w:val="hybridMultilevel"/>
    <w:tmpl w:val="94BC833A"/>
    <w:lvl w:ilvl="0" w:tplc="3F226CC8">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60381F0E"/>
    <w:multiLevelType w:val="hybridMultilevel"/>
    <w:tmpl w:val="327C4D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nsid w:val="6230088C"/>
    <w:multiLevelType w:val="hybridMultilevel"/>
    <w:tmpl w:val="0D5030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nsid w:val="63446CEF"/>
    <w:multiLevelType w:val="hybridMultilevel"/>
    <w:tmpl w:val="B63CC5BA"/>
    <w:lvl w:ilvl="0" w:tplc="1CB47812">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nsid w:val="650C57B8"/>
    <w:multiLevelType w:val="hybridMultilevel"/>
    <w:tmpl w:val="FA7294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nsid w:val="67D64C88"/>
    <w:multiLevelType w:val="hybridMultilevel"/>
    <w:tmpl w:val="9D122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7ED4EB1"/>
    <w:multiLevelType w:val="hybridMultilevel"/>
    <w:tmpl w:val="35A68598"/>
    <w:lvl w:ilvl="0" w:tplc="1009000F">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01">
      <w:start w:val="1"/>
      <w:numFmt w:val="bullet"/>
      <w:lvlText w:val=""/>
      <w:lvlJc w:val="left"/>
      <w:pPr>
        <w:ind w:left="270" w:hanging="180"/>
      </w:pPr>
      <w:rPr>
        <w:rFonts w:ascii="Symbol" w:hAnsi="Symbol" w:hint="default"/>
      </w:rPr>
    </w:lvl>
    <w:lvl w:ilvl="3" w:tplc="10090001">
      <w:start w:val="1"/>
      <w:numFmt w:val="bullet"/>
      <w:lvlText w:val=""/>
      <w:lvlJc w:val="left"/>
      <w:pPr>
        <w:ind w:left="990" w:hanging="360"/>
      </w:pPr>
      <w:rPr>
        <w:rFonts w:ascii="Symbol" w:hAnsi="Symbol" w:hint="default"/>
      </w:rPr>
    </w:lvl>
    <w:lvl w:ilvl="4" w:tplc="10090003">
      <w:start w:val="1"/>
      <w:numFmt w:val="bullet"/>
      <w:lvlText w:val="o"/>
      <w:lvlJc w:val="left"/>
      <w:pPr>
        <w:ind w:left="1170" w:hanging="360"/>
      </w:pPr>
      <w:rPr>
        <w:rFonts w:ascii="Courier New" w:hAnsi="Courier New" w:cs="Courier New" w:hint="default"/>
      </w:r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41">
    <w:nsid w:val="68AF45BD"/>
    <w:multiLevelType w:val="hybridMultilevel"/>
    <w:tmpl w:val="5B449E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nsid w:val="69634899"/>
    <w:multiLevelType w:val="hybridMultilevel"/>
    <w:tmpl w:val="C7E099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nsid w:val="6AFE6B3B"/>
    <w:multiLevelType w:val="hybridMultilevel"/>
    <w:tmpl w:val="ED58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3C812E9"/>
    <w:multiLevelType w:val="hybridMultilevel"/>
    <w:tmpl w:val="607CE6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nsid w:val="75E8278E"/>
    <w:multiLevelType w:val="hybridMultilevel"/>
    <w:tmpl w:val="D12E8CE0"/>
    <w:lvl w:ilvl="0" w:tplc="0409000F">
      <w:start w:val="1"/>
      <w:numFmt w:val="decimal"/>
      <w:lvlText w:val="%1."/>
      <w:lvlJc w:val="left"/>
      <w:pPr>
        <w:ind w:left="360" w:hanging="360"/>
      </w:pPr>
      <w:rPr>
        <w:rFonts w:hint="default"/>
      </w:rPr>
    </w:lvl>
    <w:lvl w:ilvl="1" w:tplc="04090019">
      <w:start w:val="1"/>
      <w:numFmt w:val="lowerLetter"/>
      <w:lvlText w:val="%2."/>
      <w:lvlJc w:val="left"/>
      <w:pPr>
        <w:ind w:left="270" w:hanging="360"/>
      </w:pPr>
    </w:lvl>
    <w:lvl w:ilvl="2" w:tplc="DF08F1F0">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840034A"/>
    <w:multiLevelType w:val="hybridMultilevel"/>
    <w:tmpl w:val="AFEEE7E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nsid w:val="785A719E"/>
    <w:multiLevelType w:val="hybridMultilevel"/>
    <w:tmpl w:val="175C9A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nsid w:val="79AE5331"/>
    <w:multiLevelType w:val="hybridMultilevel"/>
    <w:tmpl w:val="96F021B4"/>
    <w:lvl w:ilvl="0" w:tplc="ED18671C">
      <w:start w:val="2"/>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9">
    <w:nsid w:val="7B8310CF"/>
    <w:multiLevelType w:val="hybridMultilevel"/>
    <w:tmpl w:val="36ACBD72"/>
    <w:lvl w:ilvl="0" w:tplc="0409000F">
      <w:start w:val="1"/>
      <w:numFmt w:val="decimal"/>
      <w:lvlText w:val="%1."/>
      <w:lvlJc w:val="left"/>
      <w:pPr>
        <w:ind w:left="360" w:hanging="360"/>
      </w:pPr>
      <w:rPr>
        <w:rFonts w:hint="default"/>
      </w:rPr>
    </w:lvl>
    <w:lvl w:ilvl="1" w:tplc="10090001">
      <w:start w:val="1"/>
      <w:numFmt w:val="bullet"/>
      <w:lvlText w:val=""/>
      <w:lvlJc w:val="left"/>
      <w:pPr>
        <w:ind w:left="270" w:hanging="360"/>
      </w:pPr>
      <w:rPr>
        <w:rFonts w:ascii="Symbol" w:hAnsi="Symbol" w:hint="default"/>
      </w:rPr>
    </w:lvl>
    <w:lvl w:ilvl="2" w:tplc="10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7BCE62CA"/>
    <w:multiLevelType w:val="hybridMultilevel"/>
    <w:tmpl w:val="CE5E6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6"/>
  </w:num>
  <w:num w:numId="3">
    <w:abstractNumId w:val="41"/>
  </w:num>
  <w:num w:numId="4">
    <w:abstractNumId w:val="35"/>
  </w:num>
  <w:num w:numId="5">
    <w:abstractNumId w:val="22"/>
  </w:num>
  <w:num w:numId="6">
    <w:abstractNumId w:val="39"/>
  </w:num>
  <w:num w:numId="7">
    <w:abstractNumId w:val="21"/>
  </w:num>
  <w:num w:numId="8">
    <w:abstractNumId w:val="29"/>
  </w:num>
  <w:num w:numId="9">
    <w:abstractNumId w:val="43"/>
  </w:num>
  <w:num w:numId="10">
    <w:abstractNumId w:val="12"/>
  </w:num>
  <w:num w:numId="11">
    <w:abstractNumId w:val="32"/>
  </w:num>
  <w:num w:numId="12">
    <w:abstractNumId w:val="36"/>
  </w:num>
  <w:num w:numId="13">
    <w:abstractNumId w:val="28"/>
  </w:num>
  <w:num w:numId="14">
    <w:abstractNumId w:val="23"/>
  </w:num>
  <w:num w:numId="15">
    <w:abstractNumId w:val="26"/>
  </w:num>
  <w:num w:numId="16">
    <w:abstractNumId w:val="20"/>
  </w:num>
  <w:num w:numId="17">
    <w:abstractNumId w:val="33"/>
  </w:num>
  <w:num w:numId="18">
    <w:abstractNumId w:val="2"/>
  </w:num>
  <w:num w:numId="19">
    <w:abstractNumId w:val="15"/>
  </w:num>
  <w:num w:numId="20">
    <w:abstractNumId w:val="48"/>
  </w:num>
  <w:num w:numId="21">
    <w:abstractNumId w:val="37"/>
  </w:num>
  <w:num w:numId="22">
    <w:abstractNumId w:val="17"/>
  </w:num>
  <w:num w:numId="23">
    <w:abstractNumId w:val="7"/>
  </w:num>
  <w:num w:numId="24">
    <w:abstractNumId w:val="45"/>
  </w:num>
  <w:num w:numId="25">
    <w:abstractNumId w:val="30"/>
  </w:num>
  <w:num w:numId="26">
    <w:abstractNumId w:val="50"/>
  </w:num>
  <w:num w:numId="27">
    <w:abstractNumId w:val="14"/>
  </w:num>
  <w:num w:numId="28">
    <w:abstractNumId w:val="8"/>
  </w:num>
  <w:num w:numId="29">
    <w:abstractNumId w:val="31"/>
  </w:num>
  <w:num w:numId="30">
    <w:abstractNumId w:val="9"/>
  </w:num>
  <w:num w:numId="31">
    <w:abstractNumId w:val="3"/>
  </w:num>
  <w:num w:numId="32">
    <w:abstractNumId w:val="38"/>
  </w:num>
  <w:num w:numId="33">
    <w:abstractNumId w:val="40"/>
  </w:num>
  <w:num w:numId="34">
    <w:abstractNumId w:val="0"/>
  </w:num>
  <w:num w:numId="35">
    <w:abstractNumId w:val="4"/>
  </w:num>
  <w:num w:numId="36">
    <w:abstractNumId w:val="18"/>
  </w:num>
  <w:num w:numId="37">
    <w:abstractNumId w:val="24"/>
  </w:num>
  <w:num w:numId="38">
    <w:abstractNumId w:val="49"/>
  </w:num>
  <w:num w:numId="39">
    <w:abstractNumId w:val="16"/>
  </w:num>
  <w:num w:numId="40">
    <w:abstractNumId w:val="11"/>
  </w:num>
  <w:num w:numId="41">
    <w:abstractNumId w:val="1"/>
  </w:num>
  <w:num w:numId="42">
    <w:abstractNumId w:val="44"/>
  </w:num>
  <w:num w:numId="43">
    <w:abstractNumId w:val="13"/>
  </w:num>
  <w:num w:numId="44">
    <w:abstractNumId w:val="19"/>
  </w:num>
  <w:num w:numId="45">
    <w:abstractNumId w:val="47"/>
  </w:num>
  <w:num w:numId="46">
    <w:abstractNumId w:val="6"/>
  </w:num>
  <w:num w:numId="47">
    <w:abstractNumId w:val="25"/>
  </w:num>
  <w:num w:numId="48">
    <w:abstractNumId w:val="42"/>
  </w:num>
  <w:num w:numId="49">
    <w:abstractNumId w:val="27"/>
  </w:num>
  <w:num w:numId="50">
    <w:abstractNumId w:val="5"/>
  </w:num>
  <w:num w:numId="51">
    <w:abstractNumId w:val="34"/>
  </w:num>
  <w:numIdMacAtCleanup w:val="4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ney Doyle">
    <w15:presenceInfo w15:providerId="AD" w15:userId="S-1-5-21-117609710-287218729-725345543-3257"/>
  </w15:person>
  <w15:person w15:author="Tracy Brennan">
    <w15:presenceInfo w15:providerId="AD" w15:userId="S-1-5-21-117609710-287218729-725345543-284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6156" fillcolor="white">
      <v:fill color="white"/>
    </o:shapedefaults>
    <o:shapelayout v:ext="edit">
      <o:idmap v:ext="edit" data="6"/>
    </o:shapelayout>
  </w:hdrShapeDefaults>
  <w:footnotePr>
    <w:footnote w:id="-1"/>
    <w:footnote w:id="0"/>
  </w:footnotePr>
  <w:endnotePr>
    <w:endnote w:id="-1"/>
    <w:endnote w:id="0"/>
  </w:endnotePr>
  <w:compat/>
  <w:rsids>
    <w:rsidRoot w:val="006A3F60"/>
    <w:rsid w:val="000013C6"/>
    <w:rsid w:val="00004702"/>
    <w:rsid w:val="00004BAE"/>
    <w:rsid w:val="000059D2"/>
    <w:rsid w:val="00012649"/>
    <w:rsid w:val="00012B9E"/>
    <w:rsid w:val="00014F19"/>
    <w:rsid w:val="00022E50"/>
    <w:rsid w:val="00024091"/>
    <w:rsid w:val="00027211"/>
    <w:rsid w:val="0002785E"/>
    <w:rsid w:val="00027EF3"/>
    <w:rsid w:val="00033338"/>
    <w:rsid w:val="0003594C"/>
    <w:rsid w:val="0004003F"/>
    <w:rsid w:val="000409EE"/>
    <w:rsid w:val="00042B31"/>
    <w:rsid w:val="00050867"/>
    <w:rsid w:val="000548B0"/>
    <w:rsid w:val="00063D65"/>
    <w:rsid w:val="000642DB"/>
    <w:rsid w:val="00065412"/>
    <w:rsid w:val="00067E70"/>
    <w:rsid w:val="00072088"/>
    <w:rsid w:val="00073771"/>
    <w:rsid w:val="0008084A"/>
    <w:rsid w:val="00082C16"/>
    <w:rsid w:val="00082D2F"/>
    <w:rsid w:val="00082E9A"/>
    <w:rsid w:val="0008415B"/>
    <w:rsid w:val="0008496D"/>
    <w:rsid w:val="00084A22"/>
    <w:rsid w:val="00085C95"/>
    <w:rsid w:val="000A040B"/>
    <w:rsid w:val="000A1396"/>
    <w:rsid w:val="000A40BD"/>
    <w:rsid w:val="000A4105"/>
    <w:rsid w:val="000A4455"/>
    <w:rsid w:val="000A6EAF"/>
    <w:rsid w:val="000B09A2"/>
    <w:rsid w:val="000B4228"/>
    <w:rsid w:val="000B7C48"/>
    <w:rsid w:val="000B7F4A"/>
    <w:rsid w:val="000C4795"/>
    <w:rsid w:val="000D2071"/>
    <w:rsid w:val="000D339B"/>
    <w:rsid w:val="000D5714"/>
    <w:rsid w:val="000D6131"/>
    <w:rsid w:val="000E03F4"/>
    <w:rsid w:val="000E7851"/>
    <w:rsid w:val="000F19CA"/>
    <w:rsid w:val="000F2266"/>
    <w:rsid w:val="000F3C50"/>
    <w:rsid w:val="001006C2"/>
    <w:rsid w:val="00103D38"/>
    <w:rsid w:val="00106F8E"/>
    <w:rsid w:val="00110227"/>
    <w:rsid w:val="0011038A"/>
    <w:rsid w:val="0011120F"/>
    <w:rsid w:val="00112845"/>
    <w:rsid w:val="00112BC4"/>
    <w:rsid w:val="001130AB"/>
    <w:rsid w:val="00113C86"/>
    <w:rsid w:val="0011449A"/>
    <w:rsid w:val="0011699E"/>
    <w:rsid w:val="00116C3D"/>
    <w:rsid w:val="00120271"/>
    <w:rsid w:val="001218A8"/>
    <w:rsid w:val="00121B12"/>
    <w:rsid w:val="001223A5"/>
    <w:rsid w:val="001230CD"/>
    <w:rsid w:val="001237F4"/>
    <w:rsid w:val="0012536E"/>
    <w:rsid w:val="001257AF"/>
    <w:rsid w:val="001274A9"/>
    <w:rsid w:val="00130619"/>
    <w:rsid w:val="00131B97"/>
    <w:rsid w:val="00131DD7"/>
    <w:rsid w:val="0013380D"/>
    <w:rsid w:val="00135ADD"/>
    <w:rsid w:val="001362F6"/>
    <w:rsid w:val="001405AD"/>
    <w:rsid w:val="00144DDF"/>
    <w:rsid w:val="001504EA"/>
    <w:rsid w:val="00151827"/>
    <w:rsid w:val="00152273"/>
    <w:rsid w:val="00152371"/>
    <w:rsid w:val="001550DB"/>
    <w:rsid w:val="00155690"/>
    <w:rsid w:val="00156F7B"/>
    <w:rsid w:val="00161780"/>
    <w:rsid w:val="00162B26"/>
    <w:rsid w:val="001712FE"/>
    <w:rsid w:val="001764A4"/>
    <w:rsid w:val="0018112E"/>
    <w:rsid w:val="00183302"/>
    <w:rsid w:val="00187D1A"/>
    <w:rsid w:val="00196A55"/>
    <w:rsid w:val="001A2EDF"/>
    <w:rsid w:val="001A703F"/>
    <w:rsid w:val="001B4033"/>
    <w:rsid w:val="001B459E"/>
    <w:rsid w:val="001B4D94"/>
    <w:rsid w:val="001B68D9"/>
    <w:rsid w:val="001B76DF"/>
    <w:rsid w:val="001C3223"/>
    <w:rsid w:val="001C4140"/>
    <w:rsid w:val="001C45A1"/>
    <w:rsid w:val="001D00B6"/>
    <w:rsid w:val="001D1BD3"/>
    <w:rsid w:val="001D2DF9"/>
    <w:rsid w:val="001D777B"/>
    <w:rsid w:val="001E06AC"/>
    <w:rsid w:val="001E21DA"/>
    <w:rsid w:val="001E3A12"/>
    <w:rsid w:val="001E5FEB"/>
    <w:rsid w:val="001F021D"/>
    <w:rsid w:val="001F1E78"/>
    <w:rsid w:val="001F471E"/>
    <w:rsid w:val="001F6BFE"/>
    <w:rsid w:val="00204638"/>
    <w:rsid w:val="002049CF"/>
    <w:rsid w:val="00205E64"/>
    <w:rsid w:val="00207B1C"/>
    <w:rsid w:val="00214802"/>
    <w:rsid w:val="00215198"/>
    <w:rsid w:val="00216E80"/>
    <w:rsid w:val="00217A61"/>
    <w:rsid w:val="00220005"/>
    <w:rsid w:val="00224E57"/>
    <w:rsid w:val="002257FC"/>
    <w:rsid w:val="00226406"/>
    <w:rsid w:val="00232293"/>
    <w:rsid w:val="0023375A"/>
    <w:rsid w:val="002422B6"/>
    <w:rsid w:val="00242CA5"/>
    <w:rsid w:val="00242FD4"/>
    <w:rsid w:val="00243C17"/>
    <w:rsid w:val="00247EA6"/>
    <w:rsid w:val="00250387"/>
    <w:rsid w:val="00251955"/>
    <w:rsid w:val="00252EBA"/>
    <w:rsid w:val="00252F47"/>
    <w:rsid w:val="00255083"/>
    <w:rsid w:val="002550CA"/>
    <w:rsid w:val="0025668C"/>
    <w:rsid w:val="0025742A"/>
    <w:rsid w:val="00261845"/>
    <w:rsid w:val="00261921"/>
    <w:rsid w:val="002629E0"/>
    <w:rsid w:val="0026370A"/>
    <w:rsid w:val="002639BD"/>
    <w:rsid w:val="0026697C"/>
    <w:rsid w:val="002711D2"/>
    <w:rsid w:val="00272382"/>
    <w:rsid w:val="00273652"/>
    <w:rsid w:val="0027392E"/>
    <w:rsid w:val="00283220"/>
    <w:rsid w:val="0028612C"/>
    <w:rsid w:val="00287608"/>
    <w:rsid w:val="00287DFB"/>
    <w:rsid w:val="002909BA"/>
    <w:rsid w:val="00293221"/>
    <w:rsid w:val="0029336E"/>
    <w:rsid w:val="00297701"/>
    <w:rsid w:val="002A3DA7"/>
    <w:rsid w:val="002A523B"/>
    <w:rsid w:val="002A5D57"/>
    <w:rsid w:val="002A6708"/>
    <w:rsid w:val="002A7882"/>
    <w:rsid w:val="002B1AFF"/>
    <w:rsid w:val="002B2DA8"/>
    <w:rsid w:val="002B6BA4"/>
    <w:rsid w:val="002B7DD7"/>
    <w:rsid w:val="002C2AFA"/>
    <w:rsid w:val="002C324D"/>
    <w:rsid w:val="002C4AC6"/>
    <w:rsid w:val="002D06A0"/>
    <w:rsid w:val="002D0A98"/>
    <w:rsid w:val="002D1925"/>
    <w:rsid w:val="002D1DD5"/>
    <w:rsid w:val="002D2A3C"/>
    <w:rsid w:val="002D3818"/>
    <w:rsid w:val="002D4A85"/>
    <w:rsid w:val="002D6948"/>
    <w:rsid w:val="002D7966"/>
    <w:rsid w:val="002E134A"/>
    <w:rsid w:val="002E242F"/>
    <w:rsid w:val="002E2CE4"/>
    <w:rsid w:val="002E5677"/>
    <w:rsid w:val="002E720F"/>
    <w:rsid w:val="002F3216"/>
    <w:rsid w:val="002F4C09"/>
    <w:rsid w:val="002F5072"/>
    <w:rsid w:val="002F695A"/>
    <w:rsid w:val="002F6BAA"/>
    <w:rsid w:val="00300625"/>
    <w:rsid w:val="003007E3"/>
    <w:rsid w:val="0030082C"/>
    <w:rsid w:val="00301572"/>
    <w:rsid w:val="00301956"/>
    <w:rsid w:val="00303503"/>
    <w:rsid w:val="003044A6"/>
    <w:rsid w:val="003067E9"/>
    <w:rsid w:val="00306FD2"/>
    <w:rsid w:val="00310107"/>
    <w:rsid w:val="003117C7"/>
    <w:rsid w:val="00312A79"/>
    <w:rsid w:val="003136AD"/>
    <w:rsid w:val="003140CD"/>
    <w:rsid w:val="00316B65"/>
    <w:rsid w:val="00325E5D"/>
    <w:rsid w:val="00334932"/>
    <w:rsid w:val="00334F2B"/>
    <w:rsid w:val="003402E8"/>
    <w:rsid w:val="00341454"/>
    <w:rsid w:val="003429B1"/>
    <w:rsid w:val="00344261"/>
    <w:rsid w:val="00344443"/>
    <w:rsid w:val="00344BEA"/>
    <w:rsid w:val="00345DA6"/>
    <w:rsid w:val="00350824"/>
    <w:rsid w:val="00351CC3"/>
    <w:rsid w:val="00352C0E"/>
    <w:rsid w:val="003574A4"/>
    <w:rsid w:val="0036129C"/>
    <w:rsid w:val="00363849"/>
    <w:rsid w:val="0036493B"/>
    <w:rsid w:val="00365D7E"/>
    <w:rsid w:val="003669A0"/>
    <w:rsid w:val="00370353"/>
    <w:rsid w:val="00370448"/>
    <w:rsid w:val="00370ACC"/>
    <w:rsid w:val="0037493E"/>
    <w:rsid w:val="00376D32"/>
    <w:rsid w:val="003770EF"/>
    <w:rsid w:val="00383577"/>
    <w:rsid w:val="00385414"/>
    <w:rsid w:val="00385B77"/>
    <w:rsid w:val="003860CA"/>
    <w:rsid w:val="0039054A"/>
    <w:rsid w:val="00391698"/>
    <w:rsid w:val="00391DD1"/>
    <w:rsid w:val="0039279D"/>
    <w:rsid w:val="00392EDF"/>
    <w:rsid w:val="00393AB8"/>
    <w:rsid w:val="00393E7E"/>
    <w:rsid w:val="003953CC"/>
    <w:rsid w:val="003959C7"/>
    <w:rsid w:val="00396268"/>
    <w:rsid w:val="003A124F"/>
    <w:rsid w:val="003A1B73"/>
    <w:rsid w:val="003A282B"/>
    <w:rsid w:val="003A289C"/>
    <w:rsid w:val="003A4A8C"/>
    <w:rsid w:val="003A4EFA"/>
    <w:rsid w:val="003A6B76"/>
    <w:rsid w:val="003B09A2"/>
    <w:rsid w:val="003B0EC1"/>
    <w:rsid w:val="003B17C2"/>
    <w:rsid w:val="003B6112"/>
    <w:rsid w:val="003C1383"/>
    <w:rsid w:val="003C18BD"/>
    <w:rsid w:val="003C356B"/>
    <w:rsid w:val="003C4F04"/>
    <w:rsid w:val="003C673B"/>
    <w:rsid w:val="003D041B"/>
    <w:rsid w:val="003D2BB0"/>
    <w:rsid w:val="003D4105"/>
    <w:rsid w:val="003D6C22"/>
    <w:rsid w:val="003D6E7E"/>
    <w:rsid w:val="003D76BE"/>
    <w:rsid w:val="003D7BAE"/>
    <w:rsid w:val="003E2CB6"/>
    <w:rsid w:val="003E38C6"/>
    <w:rsid w:val="003E4CCA"/>
    <w:rsid w:val="003F188B"/>
    <w:rsid w:val="003F1CDE"/>
    <w:rsid w:val="003F4118"/>
    <w:rsid w:val="003F73FF"/>
    <w:rsid w:val="00403F2F"/>
    <w:rsid w:val="00404C60"/>
    <w:rsid w:val="00407A0C"/>
    <w:rsid w:val="00410123"/>
    <w:rsid w:val="00410956"/>
    <w:rsid w:val="00423E77"/>
    <w:rsid w:val="0042413F"/>
    <w:rsid w:val="00424170"/>
    <w:rsid w:val="004250F2"/>
    <w:rsid w:val="0043016E"/>
    <w:rsid w:val="00432F04"/>
    <w:rsid w:val="00434855"/>
    <w:rsid w:val="00437F0C"/>
    <w:rsid w:val="0044065D"/>
    <w:rsid w:val="004407CF"/>
    <w:rsid w:val="00440E7F"/>
    <w:rsid w:val="00442C24"/>
    <w:rsid w:val="00442C5A"/>
    <w:rsid w:val="00443D4D"/>
    <w:rsid w:val="004445FD"/>
    <w:rsid w:val="00444BC2"/>
    <w:rsid w:val="004536CD"/>
    <w:rsid w:val="00454155"/>
    <w:rsid w:val="00460B9F"/>
    <w:rsid w:val="0046126F"/>
    <w:rsid w:val="00461F80"/>
    <w:rsid w:val="00464429"/>
    <w:rsid w:val="00464D41"/>
    <w:rsid w:val="00466F29"/>
    <w:rsid w:val="00467CEE"/>
    <w:rsid w:val="0047035B"/>
    <w:rsid w:val="00473B55"/>
    <w:rsid w:val="00477152"/>
    <w:rsid w:val="00477418"/>
    <w:rsid w:val="00477F26"/>
    <w:rsid w:val="00480070"/>
    <w:rsid w:val="00480F22"/>
    <w:rsid w:val="00481261"/>
    <w:rsid w:val="0048781F"/>
    <w:rsid w:val="00490D16"/>
    <w:rsid w:val="00491E9D"/>
    <w:rsid w:val="004948B6"/>
    <w:rsid w:val="00494937"/>
    <w:rsid w:val="00495287"/>
    <w:rsid w:val="004957F5"/>
    <w:rsid w:val="004A151C"/>
    <w:rsid w:val="004A68D1"/>
    <w:rsid w:val="004A791A"/>
    <w:rsid w:val="004B406B"/>
    <w:rsid w:val="004B5DB5"/>
    <w:rsid w:val="004B6DFD"/>
    <w:rsid w:val="004B7ADF"/>
    <w:rsid w:val="004B7BB7"/>
    <w:rsid w:val="004C12A3"/>
    <w:rsid w:val="004C193B"/>
    <w:rsid w:val="004C1F1E"/>
    <w:rsid w:val="004C7432"/>
    <w:rsid w:val="004D003D"/>
    <w:rsid w:val="004D236D"/>
    <w:rsid w:val="004D3EDF"/>
    <w:rsid w:val="004D4004"/>
    <w:rsid w:val="004D53E2"/>
    <w:rsid w:val="004D76A5"/>
    <w:rsid w:val="004E5CD4"/>
    <w:rsid w:val="004E5E19"/>
    <w:rsid w:val="004E74BE"/>
    <w:rsid w:val="004F0E42"/>
    <w:rsid w:val="004F3600"/>
    <w:rsid w:val="004F5AE0"/>
    <w:rsid w:val="0050137B"/>
    <w:rsid w:val="0050147C"/>
    <w:rsid w:val="00501C4A"/>
    <w:rsid w:val="005028F5"/>
    <w:rsid w:val="0050313B"/>
    <w:rsid w:val="00504BD6"/>
    <w:rsid w:val="00510366"/>
    <w:rsid w:val="005144B9"/>
    <w:rsid w:val="00514586"/>
    <w:rsid w:val="005145C7"/>
    <w:rsid w:val="00517C64"/>
    <w:rsid w:val="00522C58"/>
    <w:rsid w:val="0052585A"/>
    <w:rsid w:val="00526F58"/>
    <w:rsid w:val="00530652"/>
    <w:rsid w:val="00531A2B"/>
    <w:rsid w:val="00532BA7"/>
    <w:rsid w:val="00533AF0"/>
    <w:rsid w:val="005340D9"/>
    <w:rsid w:val="0053451A"/>
    <w:rsid w:val="005378A4"/>
    <w:rsid w:val="00537FE7"/>
    <w:rsid w:val="00540592"/>
    <w:rsid w:val="005437CF"/>
    <w:rsid w:val="00546128"/>
    <w:rsid w:val="00546851"/>
    <w:rsid w:val="00546ED4"/>
    <w:rsid w:val="00550A64"/>
    <w:rsid w:val="00552C80"/>
    <w:rsid w:val="00553912"/>
    <w:rsid w:val="005572B0"/>
    <w:rsid w:val="005670C7"/>
    <w:rsid w:val="00571617"/>
    <w:rsid w:val="0057212A"/>
    <w:rsid w:val="0057297A"/>
    <w:rsid w:val="00574384"/>
    <w:rsid w:val="00575638"/>
    <w:rsid w:val="005768F2"/>
    <w:rsid w:val="00580018"/>
    <w:rsid w:val="005801A2"/>
    <w:rsid w:val="005851A9"/>
    <w:rsid w:val="0059299D"/>
    <w:rsid w:val="005932D5"/>
    <w:rsid w:val="0059464D"/>
    <w:rsid w:val="0059551D"/>
    <w:rsid w:val="0059718A"/>
    <w:rsid w:val="005A2FF5"/>
    <w:rsid w:val="005A4A6C"/>
    <w:rsid w:val="005A5763"/>
    <w:rsid w:val="005A6F17"/>
    <w:rsid w:val="005A6FE4"/>
    <w:rsid w:val="005A74F1"/>
    <w:rsid w:val="005C1677"/>
    <w:rsid w:val="005C27B1"/>
    <w:rsid w:val="005C71C9"/>
    <w:rsid w:val="005D0135"/>
    <w:rsid w:val="005D14AF"/>
    <w:rsid w:val="005D37AD"/>
    <w:rsid w:val="005D60E5"/>
    <w:rsid w:val="005D6ADF"/>
    <w:rsid w:val="005D6E69"/>
    <w:rsid w:val="005E0A53"/>
    <w:rsid w:val="005F0EED"/>
    <w:rsid w:val="005F1BCC"/>
    <w:rsid w:val="005F4349"/>
    <w:rsid w:val="005F6E5A"/>
    <w:rsid w:val="006018AC"/>
    <w:rsid w:val="00602259"/>
    <w:rsid w:val="0060456C"/>
    <w:rsid w:val="0060783F"/>
    <w:rsid w:val="006129B6"/>
    <w:rsid w:val="00612C2D"/>
    <w:rsid w:val="00614BD1"/>
    <w:rsid w:val="00617B7C"/>
    <w:rsid w:val="00617E27"/>
    <w:rsid w:val="00622284"/>
    <w:rsid w:val="00624707"/>
    <w:rsid w:val="00624DEA"/>
    <w:rsid w:val="00625185"/>
    <w:rsid w:val="006259E7"/>
    <w:rsid w:val="00627C0E"/>
    <w:rsid w:val="00630460"/>
    <w:rsid w:val="00631909"/>
    <w:rsid w:val="0063421A"/>
    <w:rsid w:val="00640097"/>
    <w:rsid w:val="00640E21"/>
    <w:rsid w:val="00643CD6"/>
    <w:rsid w:val="00647DCA"/>
    <w:rsid w:val="00650984"/>
    <w:rsid w:val="006520A3"/>
    <w:rsid w:val="00652AA5"/>
    <w:rsid w:val="00652E8B"/>
    <w:rsid w:val="00653156"/>
    <w:rsid w:val="00653E8C"/>
    <w:rsid w:val="006557F0"/>
    <w:rsid w:val="006570EA"/>
    <w:rsid w:val="00662B02"/>
    <w:rsid w:val="00663AB9"/>
    <w:rsid w:val="006640EF"/>
    <w:rsid w:val="00673D23"/>
    <w:rsid w:val="00674EC5"/>
    <w:rsid w:val="00677F0A"/>
    <w:rsid w:val="006804E6"/>
    <w:rsid w:val="00680B67"/>
    <w:rsid w:val="00681E46"/>
    <w:rsid w:val="00686AFC"/>
    <w:rsid w:val="0069016A"/>
    <w:rsid w:val="006916C9"/>
    <w:rsid w:val="006917E7"/>
    <w:rsid w:val="00691E88"/>
    <w:rsid w:val="0069226A"/>
    <w:rsid w:val="00693395"/>
    <w:rsid w:val="006937C5"/>
    <w:rsid w:val="00694078"/>
    <w:rsid w:val="00696E57"/>
    <w:rsid w:val="006A15B4"/>
    <w:rsid w:val="006A16F9"/>
    <w:rsid w:val="006A1B1E"/>
    <w:rsid w:val="006A3F60"/>
    <w:rsid w:val="006B0DBA"/>
    <w:rsid w:val="006B0DD0"/>
    <w:rsid w:val="006B1455"/>
    <w:rsid w:val="006B21CD"/>
    <w:rsid w:val="006C5619"/>
    <w:rsid w:val="006C5D8A"/>
    <w:rsid w:val="006D08A2"/>
    <w:rsid w:val="006D096B"/>
    <w:rsid w:val="006D31E9"/>
    <w:rsid w:val="006D39B1"/>
    <w:rsid w:val="006D6565"/>
    <w:rsid w:val="006D678F"/>
    <w:rsid w:val="006D6AFF"/>
    <w:rsid w:val="006D6F42"/>
    <w:rsid w:val="006E31D4"/>
    <w:rsid w:val="006E70E6"/>
    <w:rsid w:val="006F41AE"/>
    <w:rsid w:val="006F53DC"/>
    <w:rsid w:val="006F7F9C"/>
    <w:rsid w:val="00701AF9"/>
    <w:rsid w:val="00705A09"/>
    <w:rsid w:val="007102BC"/>
    <w:rsid w:val="00716299"/>
    <w:rsid w:val="00720558"/>
    <w:rsid w:val="007207E6"/>
    <w:rsid w:val="00723608"/>
    <w:rsid w:val="00725C19"/>
    <w:rsid w:val="00731805"/>
    <w:rsid w:val="00735C4A"/>
    <w:rsid w:val="0073767E"/>
    <w:rsid w:val="00737804"/>
    <w:rsid w:val="0074100B"/>
    <w:rsid w:val="0074130A"/>
    <w:rsid w:val="00744233"/>
    <w:rsid w:val="00745E40"/>
    <w:rsid w:val="00746C23"/>
    <w:rsid w:val="00746F66"/>
    <w:rsid w:val="007479E7"/>
    <w:rsid w:val="00751FEB"/>
    <w:rsid w:val="00753D4A"/>
    <w:rsid w:val="00754342"/>
    <w:rsid w:val="00755CDE"/>
    <w:rsid w:val="00760F38"/>
    <w:rsid w:val="00764118"/>
    <w:rsid w:val="0076462D"/>
    <w:rsid w:val="007676B8"/>
    <w:rsid w:val="007701B4"/>
    <w:rsid w:val="0077101C"/>
    <w:rsid w:val="007734C8"/>
    <w:rsid w:val="00773825"/>
    <w:rsid w:val="00774259"/>
    <w:rsid w:val="007813BF"/>
    <w:rsid w:val="007813CA"/>
    <w:rsid w:val="0078200F"/>
    <w:rsid w:val="00783128"/>
    <w:rsid w:val="00783C38"/>
    <w:rsid w:val="00791DB1"/>
    <w:rsid w:val="00794A5F"/>
    <w:rsid w:val="00795412"/>
    <w:rsid w:val="007A0F15"/>
    <w:rsid w:val="007A19AC"/>
    <w:rsid w:val="007A313F"/>
    <w:rsid w:val="007A4047"/>
    <w:rsid w:val="007A453B"/>
    <w:rsid w:val="007A5970"/>
    <w:rsid w:val="007B1F4E"/>
    <w:rsid w:val="007B56E5"/>
    <w:rsid w:val="007C0A0A"/>
    <w:rsid w:val="007C2AEE"/>
    <w:rsid w:val="007C2FCE"/>
    <w:rsid w:val="007C31CA"/>
    <w:rsid w:val="007C3201"/>
    <w:rsid w:val="007C35F7"/>
    <w:rsid w:val="007C42F5"/>
    <w:rsid w:val="007C558E"/>
    <w:rsid w:val="007C6F24"/>
    <w:rsid w:val="007C7256"/>
    <w:rsid w:val="007D0B46"/>
    <w:rsid w:val="007D13F0"/>
    <w:rsid w:val="007D226A"/>
    <w:rsid w:val="007D467F"/>
    <w:rsid w:val="007D48BD"/>
    <w:rsid w:val="007D4A38"/>
    <w:rsid w:val="007D6BED"/>
    <w:rsid w:val="007E242C"/>
    <w:rsid w:val="007E37E1"/>
    <w:rsid w:val="007E7231"/>
    <w:rsid w:val="007E7C0F"/>
    <w:rsid w:val="007F0ECE"/>
    <w:rsid w:val="007F334C"/>
    <w:rsid w:val="007F399F"/>
    <w:rsid w:val="007F5DE8"/>
    <w:rsid w:val="007F6194"/>
    <w:rsid w:val="007F68FB"/>
    <w:rsid w:val="007F6F9D"/>
    <w:rsid w:val="00800DF2"/>
    <w:rsid w:val="00803A25"/>
    <w:rsid w:val="00805CA6"/>
    <w:rsid w:val="00805E5D"/>
    <w:rsid w:val="0080604D"/>
    <w:rsid w:val="00812B86"/>
    <w:rsid w:val="0081466B"/>
    <w:rsid w:val="00814B64"/>
    <w:rsid w:val="00816957"/>
    <w:rsid w:val="0082285F"/>
    <w:rsid w:val="00826CE6"/>
    <w:rsid w:val="00831466"/>
    <w:rsid w:val="00836C7E"/>
    <w:rsid w:val="00836E7A"/>
    <w:rsid w:val="008420FF"/>
    <w:rsid w:val="00842828"/>
    <w:rsid w:val="00843879"/>
    <w:rsid w:val="00844529"/>
    <w:rsid w:val="00845870"/>
    <w:rsid w:val="00845BC7"/>
    <w:rsid w:val="00845C15"/>
    <w:rsid w:val="00846C6F"/>
    <w:rsid w:val="00852253"/>
    <w:rsid w:val="008534C0"/>
    <w:rsid w:val="00854190"/>
    <w:rsid w:val="0085434F"/>
    <w:rsid w:val="00856188"/>
    <w:rsid w:val="00862E40"/>
    <w:rsid w:val="0086404D"/>
    <w:rsid w:val="00864D97"/>
    <w:rsid w:val="00867D9C"/>
    <w:rsid w:val="00871CD4"/>
    <w:rsid w:val="00873E33"/>
    <w:rsid w:val="00874544"/>
    <w:rsid w:val="00876CCB"/>
    <w:rsid w:val="00884068"/>
    <w:rsid w:val="00884095"/>
    <w:rsid w:val="008861FF"/>
    <w:rsid w:val="00886635"/>
    <w:rsid w:val="0089047B"/>
    <w:rsid w:val="008905AC"/>
    <w:rsid w:val="00891AE4"/>
    <w:rsid w:val="0089336D"/>
    <w:rsid w:val="0089369D"/>
    <w:rsid w:val="00894214"/>
    <w:rsid w:val="008A0DF8"/>
    <w:rsid w:val="008A5275"/>
    <w:rsid w:val="008B0265"/>
    <w:rsid w:val="008B03B4"/>
    <w:rsid w:val="008B184B"/>
    <w:rsid w:val="008B1917"/>
    <w:rsid w:val="008B4683"/>
    <w:rsid w:val="008B7234"/>
    <w:rsid w:val="008B7F57"/>
    <w:rsid w:val="008C24F1"/>
    <w:rsid w:val="008C28B8"/>
    <w:rsid w:val="008C3F35"/>
    <w:rsid w:val="008C5105"/>
    <w:rsid w:val="008C6102"/>
    <w:rsid w:val="008D563E"/>
    <w:rsid w:val="008E18EE"/>
    <w:rsid w:val="008E7CC7"/>
    <w:rsid w:val="008F2413"/>
    <w:rsid w:val="008F33D8"/>
    <w:rsid w:val="008F45D3"/>
    <w:rsid w:val="008F73ED"/>
    <w:rsid w:val="00902A0D"/>
    <w:rsid w:val="00903B99"/>
    <w:rsid w:val="009063A9"/>
    <w:rsid w:val="009165D6"/>
    <w:rsid w:val="00917515"/>
    <w:rsid w:val="00921A56"/>
    <w:rsid w:val="00923DB8"/>
    <w:rsid w:val="00924A2E"/>
    <w:rsid w:val="00931948"/>
    <w:rsid w:val="0093220A"/>
    <w:rsid w:val="00936131"/>
    <w:rsid w:val="00936FE6"/>
    <w:rsid w:val="009377D4"/>
    <w:rsid w:val="009434CC"/>
    <w:rsid w:val="00944A5C"/>
    <w:rsid w:val="00947615"/>
    <w:rsid w:val="00950C44"/>
    <w:rsid w:val="00954B25"/>
    <w:rsid w:val="00960771"/>
    <w:rsid w:val="00960C4B"/>
    <w:rsid w:val="00960EAC"/>
    <w:rsid w:val="00963897"/>
    <w:rsid w:val="00963B5C"/>
    <w:rsid w:val="00965DEC"/>
    <w:rsid w:val="009751CA"/>
    <w:rsid w:val="009833EC"/>
    <w:rsid w:val="009851D6"/>
    <w:rsid w:val="00985A0A"/>
    <w:rsid w:val="00985E48"/>
    <w:rsid w:val="00990AF9"/>
    <w:rsid w:val="009916E3"/>
    <w:rsid w:val="00991A4E"/>
    <w:rsid w:val="00992124"/>
    <w:rsid w:val="00992290"/>
    <w:rsid w:val="00993F5B"/>
    <w:rsid w:val="00994904"/>
    <w:rsid w:val="00994FF3"/>
    <w:rsid w:val="009A0137"/>
    <w:rsid w:val="009A1F9B"/>
    <w:rsid w:val="009A2EC4"/>
    <w:rsid w:val="009A6515"/>
    <w:rsid w:val="009B00AB"/>
    <w:rsid w:val="009B0251"/>
    <w:rsid w:val="009B02C5"/>
    <w:rsid w:val="009B07AA"/>
    <w:rsid w:val="009B1427"/>
    <w:rsid w:val="009B15F2"/>
    <w:rsid w:val="009B2A87"/>
    <w:rsid w:val="009C0E46"/>
    <w:rsid w:val="009C2DC8"/>
    <w:rsid w:val="009C3A03"/>
    <w:rsid w:val="009C622F"/>
    <w:rsid w:val="009C6D1F"/>
    <w:rsid w:val="009C7227"/>
    <w:rsid w:val="009C7DF4"/>
    <w:rsid w:val="009D2038"/>
    <w:rsid w:val="009D3CF1"/>
    <w:rsid w:val="009D5C6F"/>
    <w:rsid w:val="009D6051"/>
    <w:rsid w:val="009E0653"/>
    <w:rsid w:val="009E5363"/>
    <w:rsid w:val="009E6554"/>
    <w:rsid w:val="009E65CB"/>
    <w:rsid w:val="009F032D"/>
    <w:rsid w:val="009F3F88"/>
    <w:rsid w:val="009F75BF"/>
    <w:rsid w:val="00A00C5C"/>
    <w:rsid w:val="00A02D2F"/>
    <w:rsid w:val="00A05EEB"/>
    <w:rsid w:val="00A1021B"/>
    <w:rsid w:val="00A1035F"/>
    <w:rsid w:val="00A10A78"/>
    <w:rsid w:val="00A12645"/>
    <w:rsid w:val="00A179F2"/>
    <w:rsid w:val="00A23F6C"/>
    <w:rsid w:val="00A24386"/>
    <w:rsid w:val="00A247CA"/>
    <w:rsid w:val="00A24E6D"/>
    <w:rsid w:val="00A2548F"/>
    <w:rsid w:val="00A3135D"/>
    <w:rsid w:val="00A315A9"/>
    <w:rsid w:val="00A32FC0"/>
    <w:rsid w:val="00A357F2"/>
    <w:rsid w:val="00A361E3"/>
    <w:rsid w:val="00A3771A"/>
    <w:rsid w:val="00A4251E"/>
    <w:rsid w:val="00A43B9A"/>
    <w:rsid w:val="00A43CE2"/>
    <w:rsid w:val="00A44012"/>
    <w:rsid w:val="00A47E3C"/>
    <w:rsid w:val="00A500DE"/>
    <w:rsid w:val="00A52AF6"/>
    <w:rsid w:val="00A52CDF"/>
    <w:rsid w:val="00A54C3C"/>
    <w:rsid w:val="00A657C9"/>
    <w:rsid w:val="00A66860"/>
    <w:rsid w:val="00A70032"/>
    <w:rsid w:val="00A711A4"/>
    <w:rsid w:val="00A717D8"/>
    <w:rsid w:val="00A71F10"/>
    <w:rsid w:val="00A7294E"/>
    <w:rsid w:val="00A73487"/>
    <w:rsid w:val="00A74933"/>
    <w:rsid w:val="00A750C8"/>
    <w:rsid w:val="00A8066D"/>
    <w:rsid w:val="00A81C2C"/>
    <w:rsid w:val="00A81D6D"/>
    <w:rsid w:val="00A92675"/>
    <w:rsid w:val="00A938B9"/>
    <w:rsid w:val="00A94B29"/>
    <w:rsid w:val="00A960B0"/>
    <w:rsid w:val="00A9640C"/>
    <w:rsid w:val="00A96B72"/>
    <w:rsid w:val="00AA13DE"/>
    <w:rsid w:val="00AA2BA9"/>
    <w:rsid w:val="00AA38E2"/>
    <w:rsid w:val="00AA5A5A"/>
    <w:rsid w:val="00AA5E40"/>
    <w:rsid w:val="00AA6C8D"/>
    <w:rsid w:val="00AB022F"/>
    <w:rsid w:val="00AB12B6"/>
    <w:rsid w:val="00AB13FB"/>
    <w:rsid w:val="00AB1862"/>
    <w:rsid w:val="00AB28E4"/>
    <w:rsid w:val="00AB296B"/>
    <w:rsid w:val="00AB728C"/>
    <w:rsid w:val="00AC0C84"/>
    <w:rsid w:val="00AC11E2"/>
    <w:rsid w:val="00AC28B6"/>
    <w:rsid w:val="00AC2A3C"/>
    <w:rsid w:val="00AC3930"/>
    <w:rsid w:val="00AC49F9"/>
    <w:rsid w:val="00AC6C96"/>
    <w:rsid w:val="00AD0ECC"/>
    <w:rsid w:val="00AD2AA0"/>
    <w:rsid w:val="00AD30DF"/>
    <w:rsid w:val="00AD66E1"/>
    <w:rsid w:val="00AD6BA6"/>
    <w:rsid w:val="00AD7E43"/>
    <w:rsid w:val="00AE6AC8"/>
    <w:rsid w:val="00AE70F3"/>
    <w:rsid w:val="00AF0D2D"/>
    <w:rsid w:val="00AF3280"/>
    <w:rsid w:val="00AF3E79"/>
    <w:rsid w:val="00AF5F44"/>
    <w:rsid w:val="00B00772"/>
    <w:rsid w:val="00B03ACE"/>
    <w:rsid w:val="00B05BD7"/>
    <w:rsid w:val="00B0744D"/>
    <w:rsid w:val="00B11787"/>
    <w:rsid w:val="00B16BC6"/>
    <w:rsid w:val="00B16FA9"/>
    <w:rsid w:val="00B170AF"/>
    <w:rsid w:val="00B171AE"/>
    <w:rsid w:val="00B1756F"/>
    <w:rsid w:val="00B204AB"/>
    <w:rsid w:val="00B20815"/>
    <w:rsid w:val="00B211D4"/>
    <w:rsid w:val="00B21851"/>
    <w:rsid w:val="00B2256A"/>
    <w:rsid w:val="00B25999"/>
    <w:rsid w:val="00B30421"/>
    <w:rsid w:val="00B315A6"/>
    <w:rsid w:val="00B33828"/>
    <w:rsid w:val="00B338B6"/>
    <w:rsid w:val="00B35190"/>
    <w:rsid w:val="00B37591"/>
    <w:rsid w:val="00B439D1"/>
    <w:rsid w:val="00B50102"/>
    <w:rsid w:val="00B552B6"/>
    <w:rsid w:val="00B56655"/>
    <w:rsid w:val="00B57A0A"/>
    <w:rsid w:val="00B62AD9"/>
    <w:rsid w:val="00B62C65"/>
    <w:rsid w:val="00B64289"/>
    <w:rsid w:val="00B6493A"/>
    <w:rsid w:val="00B658BA"/>
    <w:rsid w:val="00B6659F"/>
    <w:rsid w:val="00B677F9"/>
    <w:rsid w:val="00B71687"/>
    <w:rsid w:val="00B72570"/>
    <w:rsid w:val="00B7291B"/>
    <w:rsid w:val="00B740A1"/>
    <w:rsid w:val="00B754A4"/>
    <w:rsid w:val="00B83578"/>
    <w:rsid w:val="00B83F02"/>
    <w:rsid w:val="00B84816"/>
    <w:rsid w:val="00B90CFA"/>
    <w:rsid w:val="00B92403"/>
    <w:rsid w:val="00B9254B"/>
    <w:rsid w:val="00B92E9C"/>
    <w:rsid w:val="00B952EE"/>
    <w:rsid w:val="00B97950"/>
    <w:rsid w:val="00BA0F2D"/>
    <w:rsid w:val="00BA248D"/>
    <w:rsid w:val="00BA264D"/>
    <w:rsid w:val="00BA3D59"/>
    <w:rsid w:val="00BA4EA2"/>
    <w:rsid w:val="00BA5CED"/>
    <w:rsid w:val="00BB120A"/>
    <w:rsid w:val="00BB369C"/>
    <w:rsid w:val="00BB3F2B"/>
    <w:rsid w:val="00BB41B5"/>
    <w:rsid w:val="00BB54FB"/>
    <w:rsid w:val="00BB59B5"/>
    <w:rsid w:val="00BB7950"/>
    <w:rsid w:val="00BB7F68"/>
    <w:rsid w:val="00BC1D40"/>
    <w:rsid w:val="00BC3586"/>
    <w:rsid w:val="00BC4662"/>
    <w:rsid w:val="00BC4E01"/>
    <w:rsid w:val="00BC69AF"/>
    <w:rsid w:val="00BD0C72"/>
    <w:rsid w:val="00BD2CC4"/>
    <w:rsid w:val="00BD53F3"/>
    <w:rsid w:val="00BE14E5"/>
    <w:rsid w:val="00BE285C"/>
    <w:rsid w:val="00BE31B5"/>
    <w:rsid w:val="00BE33E0"/>
    <w:rsid w:val="00BE3413"/>
    <w:rsid w:val="00BE4B9B"/>
    <w:rsid w:val="00BE5046"/>
    <w:rsid w:val="00BE55A9"/>
    <w:rsid w:val="00BE6947"/>
    <w:rsid w:val="00BE7E49"/>
    <w:rsid w:val="00BF2E26"/>
    <w:rsid w:val="00BF35EC"/>
    <w:rsid w:val="00BF728D"/>
    <w:rsid w:val="00C01CF7"/>
    <w:rsid w:val="00C02D75"/>
    <w:rsid w:val="00C037A8"/>
    <w:rsid w:val="00C044BB"/>
    <w:rsid w:val="00C059CB"/>
    <w:rsid w:val="00C05C68"/>
    <w:rsid w:val="00C10868"/>
    <w:rsid w:val="00C11407"/>
    <w:rsid w:val="00C11973"/>
    <w:rsid w:val="00C149A0"/>
    <w:rsid w:val="00C149CB"/>
    <w:rsid w:val="00C16329"/>
    <w:rsid w:val="00C204D3"/>
    <w:rsid w:val="00C205E3"/>
    <w:rsid w:val="00C22492"/>
    <w:rsid w:val="00C23087"/>
    <w:rsid w:val="00C2543D"/>
    <w:rsid w:val="00C25598"/>
    <w:rsid w:val="00C25691"/>
    <w:rsid w:val="00C30F56"/>
    <w:rsid w:val="00C35B93"/>
    <w:rsid w:val="00C36E9E"/>
    <w:rsid w:val="00C377E0"/>
    <w:rsid w:val="00C411BA"/>
    <w:rsid w:val="00C41862"/>
    <w:rsid w:val="00C465FC"/>
    <w:rsid w:val="00C46A1C"/>
    <w:rsid w:val="00C46D9D"/>
    <w:rsid w:val="00C47139"/>
    <w:rsid w:val="00C4745A"/>
    <w:rsid w:val="00C47FD9"/>
    <w:rsid w:val="00C528F1"/>
    <w:rsid w:val="00C568D5"/>
    <w:rsid w:val="00C57B83"/>
    <w:rsid w:val="00C61E1C"/>
    <w:rsid w:val="00C72F54"/>
    <w:rsid w:val="00C7652B"/>
    <w:rsid w:val="00C77429"/>
    <w:rsid w:val="00C77EC1"/>
    <w:rsid w:val="00C84F70"/>
    <w:rsid w:val="00C85F68"/>
    <w:rsid w:val="00C87CC7"/>
    <w:rsid w:val="00C9145E"/>
    <w:rsid w:val="00C91B84"/>
    <w:rsid w:val="00C92EAA"/>
    <w:rsid w:val="00C93D6F"/>
    <w:rsid w:val="00C93E11"/>
    <w:rsid w:val="00C95781"/>
    <w:rsid w:val="00C95DD2"/>
    <w:rsid w:val="00CA0C00"/>
    <w:rsid w:val="00CA1692"/>
    <w:rsid w:val="00CA188C"/>
    <w:rsid w:val="00CA3FEE"/>
    <w:rsid w:val="00CA4556"/>
    <w:rsid w:val="00CA4E82"/>
    <w:rsid w:val="00CA515C"/>
    <w:rsid w:val="00CB15DC"/>
    <w:rsid w:val="00CB1A94"/>
    <w:rsid w:val="00CB24BA"/>
    <w:rsid w:val="00CB435C"/>
    <w:rsid w:val="00CC0CBA"/>
    <w:rsid w:val="00CC17E6"/>
    <w:rsid w:val="00CC2476"/>
    <w:rsid w:val="00CD0407"/>
    <w:rsid w:val="00CD0B0F"/>
    <w:rsid w:val="00CD2189"/>
    <w:rsid w:val="00CD3F82"/>
    <w:rsid w:val="00CD48BD"/>
    <w:rsid w:val="00CD7851"/>
    <w:rsid w:val="00CE0BB0"/>
    <w:rsid w:val="00CE68AB"/>
    <w:rsid w:val="00CE7C88"/>
    <w:rsid w:val="00CE7E79"/>
    <w:rsid w:val="00CF117F"/>
    <w:rsid w:val="00CF6946"/>
    <w:rsid w:val="00CF75D6"/>
    <w:rsid w:val="00D00BD4"/>
    <w:rsid w:val="00D016BB"/>
    <w:rsid w:val="00D01DBF"/>
    <w:rsid w:val="00D01F78"/>
    <w:rsid w:val="00D02091"/>
    <w:rsid w:val="00D04562"/>
    <w:rsid w:val="00D04E9E"/>
    <w:rsid w:val="00D056C1"/>
    <w:rsid w:val="00D0713C"/>
    <w:rsid w:val="00D14028"/>
    <w:rsid w:val="00D14E27"/>
    <w:rsid w:val="00D164E9"/>
    <w:rsid w:val="00D16501"/>
    <w:rsid w:val="00D22DED"/>
    <w:rsid w:val="00D242EC"/>
    <w:rsid w:val="00D250DB"/>
    <w:rsid w:val="00D269E3"/>
    <w:rsid w:val="00D273E1"/>
    <w:rsid w:val="00D30363"/>
    <w:rsid w:val="00D309FA"/>
    <w:rsid w:val="00D30DD8"/>
    <w:rsid w:val="00D31B95"/>
    <w:rsid w:val="00D32DDC"/>
    <w:rsid w:val="00D34EAF"/>
    <w:rsid w:val="00D34FBD"/>
    <w:rsid w:val="00D3523B"/>
    <w:rsid w:val="00D35A48"/>
    <w:rsid w:val="00D4180F"/>
    <w:rsid w:val="00D44D61"/>
    <w:rsid w:val="00D45980"/>
    <w:rsid w:val="00D50FFB"/>
    <w:rsid w:val="00D52DB9"/>
    <w:rsid w:val="00D5402C"/>
    <w:rsid w:val="00D54480"/>
    <w:rsid w:val="00D5494B"/>
    <w:rsid w:val="00D567FA"/>
    <w:rsid w:val="00D57547"/>
    <w:rsid w:val="00D57790"/>
    <w:rsid w:val="00D64677"/>
    <w:rsid w:val="00D66D26"/>
    <w:rsid w:val="00D66E2E"/>
    <w:rsid w:val="00D6743D"/>
    <w:rsid w:val="00D70A66"/>
    <w:rsid w:val="00D73993"/>
    <w:rsid w:val="00D858B2"/>
    <w:rsid w:val="00D93E80"/>
    <w:rsid w:val="00D94F7F"/>
    <w:rsid w:val="00DA3160"/>
    <w:rsid w:val="00DA3A3A"/>
    <w:rsid w:val="00DA68D1"/>
    <w:rsid w:val="00DA77C2"/>
    <w:rsid w:val="00DB0178"/>
    <w:rsid w:val="00DB068B"/>
    <w:rsid w:val="00DB0733"/>
    <w:rsid w:val="00DB3085"/>
    <w:rsid w:val="00DB3418"/>
    <w:rsid w:val="00DB3864"/>
    <w:rsid w:val="00DB3FA4"/>
    <w:rsid w:val="00DB4FBE"/>
    <w:rsid w:val="00DC0A03"/>
    <w:rsid w:val="00DC10DC"/>
    <w:rsid w:val="00DC136B"/>
    <w:rsid w:val="00DC52F3"/>
    <w:rsid w:val="00DC6775"/>
    <w:rsid w:val="00DD3529"/>
    <w:rsid w:val="00DD6A43"/>
    <w:rsid w:val="00DD7021"/>
    <w:rsid w:val="00DE058F"/>
    <w:rsid w:val="00DE08E9"/>
    <w:rsid w:val="00DE0997"/>
    <w:rsid w:val="00DE0CBC"/>
    <w:rsid w:val="00DE1E3F"/>
    <w:rsid w:val="00DE1ED9"/>
    <w:rsid w:val="00DF1455"/>
    <w:rsid w:val="00DF204D"/>
    <w:rsid w:val="00DF2AD8"/>
    <w:rsid w:val="00DF5C42"/>
    <w:rsid w:val="00DF63F5"/>
    <w:rsid w:val="00DF695F"/>
    <w:rsid w:val="00DF6C1C"/>
    <w:rsid w:val="00E02DDF"/>
    <w:rsid w:val="00E04378"/>
    <w:rsid w:val="00E0516C"/>
    <w:rsid w:val="00E057B3"/>
    <w:rsid w:val="00E079C8"/>
    <w:rsid w:val="00E10560"/>
    <w:rsid w:val="00E11B88"/>
    <w:rsid w:val="00E1221F"/>
    <w:rsid w:val="00E13E50"/>
    <w:rsid w:val="00E159FE"/>
    <w:rsid w:val="00E173E2"/>
    <w:rsid w:val="00E20EB0"/>
    <w:rsid w:val="00E23CE2"/>
    <w:rsid w:val="00E23F18"/>
    <w:rsid w:val="00E24078"/>
    <w:rsid w:val="00E27989"/>
    <w:rsid w:val="00E30CDC"/>
    <w:rsid w:val="00E34C2E"/>
    <w:rsid w:val="00E35FD5"/>
    <w:rsid w:val="00E43611"/>
    <w:rsid w:val="00E443ED"/>
    <w:rsid w:val="00E50B15"/>
    <w:rsid w:val="00E51513"/>
    <w:rsid w:val="00E5220A"/>
    <w:rsid w:val="00E53265"/>
    <w:rsid w:val="00E54786"/>
    <w:rsid w:val="00E562E8"/>
    <w:rsid w:val="00E572FD"/>
    <w:rsid w:val="00E57A1A"/>
    <w:rsid w:val="00E6175E"/>
    <w:rsid w:val="00E617E8"/>
    <w:rsid w:val="00E6229E"/>
    <w:rsid w:val="00E623F0"/>
    <w:rsid w:val="00E62F88"/>
    <w:rsid w:val="00E65939"/>
    <w:rsid w:val="00E6727A"/>
    <w:rsid w:val="00E70EA2"/>
    <w:rsid w:val="00E7118E"/>
    <w:rsid w:val="00E729F5"/>
    <w:rsid w:val="00E7343A"/>
    <w:rsid w:val="00E75044"/>
    <w:rsid w:val="00E75B33"/>
    <w:rsid w:val="00E767C4"/>
    <w:rsid w:val="00E77EC5"/>
    <w:rsid w:val="00E80674"/>
    <w:rsid w:val="00E815D9"/>
    <w:rsid w:val="00E82524"/>
    <w:rsid w:val="00E90802"/>
    <w:rsid w:val="00E92130"/>
    <w:rsid w:val="00E92C86"/>
    <w:rsid w:val="00E94204"/>
    <w:rsid w:val="00E94379"/>
    <w:rsid w:val="00E94AE8"/>
    <w:rsid w:val="00E95D8A"/>
    <w:rsid w:val="00EA0303"/>
    <w:rsid w:val="00EA18AC"/>
    <w:rsid w:val="00EA240B"/>
    <w:rsid w:val="00EA2E39"/>
    <w:rsid w:val="00EA58B7"/>
    <w:rsid w:val="00EB019B"/>
    <w:rsid w:val="00EB0D91"/>
    <w:rsid w:val="00EB1568"/>
    <w:rsid w:val="00EB36B5"/>
    <w:rsid w:val="00EB68C1"/>
    <w:rsid w:val="00EB7883"/>
    <w:rsid w:val="00EC0728"/>
    <w:rsid w:val="00EC0C8F"/>
    <w:rsid w:val="00EC142C"/>
    <w:rsid w:val="00EC3D2D"/>
    <w:rsid w:val="00EC4B13"/>
    <w:rsid w:val="00EC5AAE"/>
    <w:rsid w:val="00ED0228"/>
    <w:rsid w:val="00ED0CC6"/>
    <w:rsid w:val="00ED23DB"/>
    <w:rsid w:val="00ED2E0F"/>
    <w:rsid w:val="00ED4FCE"/>
    <w:rsid w:val="00ED6AE1"/>
    <w:rsid w:val="00ED6B62"/>
    <w:rsid w:val="00EE0A19"/>
    <w:rsid w:val="00EE0B6E"/>
    <w:rsid w:val="00EE1A02"/>
    <w:rsid w:val="00EE345C"/>
    <w:rsid w:val="00EE77FB"/>
    <w:rsid w:val="00EE7A2D"/>
    <w:rsid w:val="00EF1A21"/>
    <w:rsid w:val="00EF1AC7"/>
    <w:rsid w:val="00EF34E7"/>
    <w:rsid w:val="00EF3FA5"/>
    <w:rsid w:val="00EF4148"/>
    <w:rsid w:val="00EF55FE"/>
    <w:rsid w:val="00EF6763"/>
    <w:rsid w:val="00F004E4"/>
    <w:rsid w:val="00F008CF"/>
    <w:rsid w:val="00F07520"/>
    <w:rsid w:val="00F10178"/>
    <w:rsid w:val="00F103B7"/>
    <w:rsid w:val="00F1213D"/>
    <w:rsid w:val="00F13FA2"/>
    <w:rsid w:val="00F145C4"/>
    <w:rsid w:val="00F21549"/>
    <w:rsid w:val="00F22721"/>
    <w:rsid w:val="00F24EC5"/>
    <w:rsid w:val="00F269BE"/>
    <w:rsid w:val="00F3066A"/>
    <w:rsid w:val="00F31B0F"/>
    <w:rsid w:val="00F343D3"/>
    <w:rsid w:val="00F3644C"/>
    <w:rsid w:val="00F4273E"/>
    <w:rsid w:val="00F433BB"/>
    <w:rsid w:val="00F4500E"/>
    <w:rsid w:val="00F46FED"/>
    <w:rsid w:val="00F51472"/>
    <w:rsid w:val="00F51621"/>
    <w:rsid w:val="00F52799"/>
    <w:rsid w:val="00F55725"/>
    <w:rsid w:val="00F56446"/>
    <w:rsid w:val="00F601E0"/>
    <w:rsid w:val="00F629B8"/>
    <w:rsid w:val="00F652C1"/>
    <w:rsid w:val="00F6566A"/>
    <w:rsid w:val="00F65728"/>
    <w:rsid w:val="00F720A4"/>
    <w:rsid w:val="00F72AAB"/>
    <w:rsid w:val="00F7475B"/>
    <w:rsid w:val="00F765AA"/>
    <w:rsid w:val="00F76ECE"/>
    <w:rsid w:val="00F80A3E"/>
    <w:rsid w:val="00F81AC2"/>
    <w:rsid w:val="00F8267D"/>
    <w:rsid w:val="00F910F3"/>
    <w:rsid w:val="00F9458B"/>
    <w:rsid w:val="00F949C7"/>
    <w:rsid w:val="00F95ACB"/>
    <w:rsid w:val="00F9676E"/>
    <w:rsid w:val="00F97D4E"/>
    <w:rsid w:val="00FA0673"/>
    <w:rsid w:val="00FA0D58"/>
    <w:rsid w:val="00FA3490"/>
    <w:rsid w:val="00FA41EE"/>
    <w:rsid w:val="00FA6570"/>
    <w:rsid w:val="00FB1397"/>
    <w:rsid w:val="00FB4E60"/>
    <w:rsid w:val="00FB720E"/>
    <w:rsid w:val="00FC0C2F"/>
    <w:rsid w:val="00FC367E"/>
    <w:rsid w:val="00FC4171"/>
    <w:rsid w:val="00FD12DB"/>
    <w:rsid w:val="00FD1BA3"/>
    <w:rsid w:val="00FD2C0F"/>
    <w:rsid w:val="00FD3A2E"/>
    <w:rsid w:val="00FD4862"/>
    <w:rsid w:val="00FD5475"/>
    <w:rsid w:val="00FD7BEA"/>
    <w:rsid w:val="00FE20B2"/>
    <w:rsid w:val="00FE47D9"/>
    <w:rsid w:val="00FF1A7E"/>
    <w:rsid w:val="00FF1B0A"/>
    <w:rsid w:val="00FF32DA"/>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615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105"/>
    <w:rPr>
      <w:sz w:val="24"/>
      <w:szCs w:val="24"/>
      <w:lang w:val="en-GB" w:eastAsia="en-US"/>
    </w:rPr>
  </w:style>
  <w:style w:type="paragraph" w:styleId="Heading1">
    <w:name w:val="heading 1"/>
    <w:basedOn w:val="Normal"/>
    <w:next w:val="Normal"/>
    <w:qFormat/>
    <w:rsid w:val="008C5105"/>
    <w:pPr>
      <w:keepNext/>
      <w:outlineLvl w:val="0"/>
    </w:pPr>
    <w:rPr>
      <w:b/>
      <w:bCs/>
    </w:rPr>
  </w:style>
  <w:style w:type="paragraph" w:styleId="Heading2">
    <w:name w:val="heading 2"/>
    <w:basedOn w:val="Normal"/>
    <w:next w:val="Normal"/>
    <w:qFormat/>
    <w:rsid w:val="008C5105"/>
    <w:pPr>
      <w:keepNext/>
      <w:outlineLvl w:val="1"/>
    </w:pPr>
    <w:rPr>
      <w:b/>
      <w:bCs/>
      <w:color w:val="0000FF"/>
      <w:sz w:val="28"/>
    </w:rPr>
  </w:style>
  <w:style w:type="paragraph" w:styleId="Heading3">
    <w:name w:val="heading 3"/>
    <w:basedOn w:val="Normal"/>
    <w:next w:val="Normal"/>
    <w:qFormat/>
    <w:rsid w:val="008C5105"/>
    <w:pPr>
      <w:keepNext/>
      <w:outlineLvl w:val="2"/>
    </w:pPr>
    <w:rPr>
      <w:b/>
      <w:i/>
    </w:rPr>
  </w:style>
  <w:style w:type="paragraph" w:styleId="Heading4">
    <w:name w:val="heading 4"/>
    <w:basedOn w:val="Normal"/>
    <w:next w:val="Normal"/>
    <w:qFormat/>
    <w:rsid w:val="008C5105"/>
    <w:pPr>
      <w:keepNext/>
      <w:outlineLvl w:val="3"/>
    </w:pPr>
    <w:rPr>
      <w:i/>
      <w:lang w:val="nl-NL"/>
    </w:rPr>
  </w:style>
  <w:style w:type="paragraph" w:styleId="Heading5">
    <w:name w:val="heading 5"/>
    <w:basedOn w:val="Normal"/>
    <w:next w:val="Normal"/>
    <w:qFormat/>
    <w:rsid w:val="008C5105"/>
    <w:pPr>
      <w:keepNext/>
      <w:jc w:val="center"/>
      <w:outlineLvl w:val="4"/>
    </w:pPr>
    <w:rPr>
      <w:b/>
    </w:rPr>
  </w:style>
  <w:style w:type="paragraph" w:styleId="Heading6">
    <w:name w:val="heading 6"/>
    <w:basedOn w:val="Normal"/>
    <w:next w:val="Normal"/>
    <w:qFormat/>
    <w:rsid w:val="008C5105"/>
    <w:pPr>
      <w:keepNext/>
      <w:jc w:val="center"/>
      <w:outlineLvl w:val="5"/>
    </w:pPr>
    <w:rPr>
      <w:b/>
      <w:bCs/>
      <w:sz w:val="28"/>
    </w:rPr>
  </w:style>
  <w:style w:type="paragraph" w:styleId="Heading7">
    <w:name w:val="heading 7"/>
    <w:basedOn w:val="Normal"/>
    <w:next w:val="Normal"/>
    <w:qFormat/>
    <w:rsid w:val="008C5105"/>
    <w:pPr>
      <w:keepNext/>
      <w:outlineLvl w:val="6"/>
    </w:pPr>
    <w:rPr>
      <w:i/>
      <w:color w:val="000000"/>
      <w:lang w:val="en-US"/>
    </w:rPr>
  </w:style>
  <w:style w:type="paragraph" w:styleId="Heading8">
    <w:name w:val="heading 8"/>
    <w:basedOn w:val="Normal"/>
    <w:next w:val="Normal"/>
    <w:qFormat/>
    <w:rsid w:val="008C5105"/>
    <w:pPr>
      <w:keepNext/>
      <w:outlineLvl w:val="7"/>
    </w:pPr>
  </w:style>
  <w:style w:type="paragraph" w:styleId="Heading9">
    <w:name w:val="heading 9"/>
    <w:basedOn w:val="Normal"/>
    <w:next w:val="Normal"/>
    <w:qFormat/>
    <w:rsid w:val="008C5105"/>
    <w:pPr>
      <w:keepNext/>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C5105"/>
    <w:pPr>
      <w:tabs>
        <w:tab w:val="center" w:pos="4536"/>
        <w:tab w:val="right" w:pos="9072"/>
      </w:tabs>
    </w:pPr>
  </w:style>
  <w:style w:type="paragraph" w:styleId="Footer">
    <w:name w:val="footer"/>
    <w:basedOn w:val="Normal"/>
    <w:link w:val="FooterChar"/>
    <w:uiPriority w:val="99"/>
    <w:rsid w:val="008C5105"/>
    <w:pPr>
      <w:tabs>
        <w:tab w:val="center" w:pos="4536"/>
        <w:tab w:val="right" w:pos="9072"/>
      </w:tabs>
    </w:pPr>
  </w:style>
  <w:style w:type="character" w:styleId="PageNumber">
    <w:name w:val="page number"/>
    <w:basedOn w:val="DefaultParagraphFont"/>
    <w:rsid w:val="008C5105"/>
  </w:style>
  <w:style w:type="paragraph" w:styleId="BodyText">
    <w:name w:val="Body Text"/>
    <w:basedOn w:val="Normal"/>
    <w:rsid w:val="008C5105"/>
    <w:pPr>
      <w:spacing w:after="260" w:line="260" w:lineRule="atLeast"/>
    </w:pPr>
    <w:rPr>
      <w:sz w:val="20"/>
      <w:szCs w:val="20"/>
    </w:rPr>
  </w:style>
  <w:style w:type="paragraph" w:customStyle="1" w:styleId="TableLine">
    <w:name w:val="TableLine"/>
    <w:basedOn w:val="Normal"/>
    <w:rsid w:val="008C5105"/>
    <w:pPr>
      <w:pBdr>
        <w:top w:val="single" w:sz="4" w:space="1" w:color="auto"/>
      </w:pBdr>
      <w:spacing w:before="110" w:after="50"/>
      <w:ind w:left="113" w:right="113"/>
    </w:pPr>
    <w:rPr>
      <w:snapToGrid w:val="0"/>
      <w:color w:val="FFFFFF"/>
      <w:sz w:val="2"/>
      <w:szCs w:val="20"/>
    </w:rPr>
  </w:style>
  <w:style w:type="paragraph" w:styleId="FootnoteText">
    <w:name w:val="footnote text"/>
    <w:basedOn w:val="Normal"/>
    <w:semiHidden/>
    <w:rsid w:val="008C5105"/>
    <w:rPr>
      <w:sz w:val="20"/>
      <w:szCs w:val="20"/>
    </w:rPr>
  </w:style>
  <w:style w:type="paragraph" w:customStyle="1" w:styleId="table">
    <w:name w:val="table"/>
    <w:basedOn w:val="BodyText"/>
    <w:rsid w:val="008C5105"/>
    <w:pPr>
      <w:spacing w:before="60" w:after="120" w:line="240" w:lineRule="auto"/>
    </w:pPr>
    <w:rPr>
      <w:sz w:val="18"/>
    </w:rPr>
  </w:style>
  <w:style w:type="paragraph" w:styleId="BodyText2">
    <w:name w:val="Body Text 2"/>
    <w:basedOn w:val="Normal"/>
    <w:rsid w:val="008C5105"/>
    <w:pPr>
      <w:autoSpaceDE w:val="0"/>
      <w:autoSpaceDN w:val="0"/>
      <w:adjustRightInd w:val="0"/>
      <w:spacing w:line="240" w:lineRule="atLeast"/>
    </w:pPr>
    <w:rPr>
      <w:color w:val="000000"/>
      <w:szCs w:val="20"/>
      <w:lang w:val="en-US"/>
    </w:rPr>
  </w:style>
  <w:style w:type="paragraph" w:styleId="BodyText3">
    <w:name w:val="Body Text 3"/>
    <w:basedOn w:val="Normal"/>
    <w:rsid w:val="008C5105"/>
    <w:rPr>
      <w:rFonts w:ascii="Helv" w:hAnsi="Helv"/>
      <w:color w:val="000000"/>
      <w:sz w:val="20"/>
      <w:szCs w:val="20"/>
      <w:lang w:val="en-US"/>
    </w:rPr>
  </w:style>
  <w:style w:type="paragraph" w:styleId="BodyTextIndent">
    <w:name w:val="Body Text Indent"/>
    <w:basedOn w:val="Normal"/>
    <w:rsid w:val="008C5105"/>
    <w:pPr>
      <w:autoSpaceDE w:val="0"/>
      <w:autoSpaceDN w:val="0"/>
      <w:adjustRightInd w:val="0"/>
      <w:spacing w:after="120" w:line="240" w:lineRule="atLeast"/>
      <w:ind w:left="720" w:hanging="360"/>
    </w:pPr>
    <w:rPr>
      <w:color w:val="000000"/>
      <w:szCs w:val="20"/>
      <w:lang w:val="en-US"/>
    </w:rPr>
  </w:style>
  <w:style w:type="paragraph" w:customStyle="1" w:styleId="BodySingle">
    <w:name w:val="Body Single"/>
    <w:basedOn w:val="BodyText"/>
    <w:rsid w:val="008C5105"/>
    <w:pPr>
      <w:spacing w:after="0"/>
    </w:pPr>
  </w:style>
  <w:style w:type="paragraph" w:styleId="List">
    <w:name w:val="List"/>
    <w:basedOn w:val="Normal"/>
    <w:rsid w:val="008C5105"/>
    <w:pPr>
      <w:spacing w:after="260" w:line="260" w:lineRule="atLeast"/>
      <w:ind w:left="595" w:hanging="595"/>
    </w:pPr>
    <w:rPr>
      <w:sz w:val="20"/>
      <w:szCs w:val="20"/>
    </w:rPr>
  </w:style>
  <w:style w:type="paragraph" w:customStyle="1" w:styleId="SolutionHeader1">
    <w:name w:val="Solution Header 1"/>
    <w:basedOn w:val="Normal"/>
    <w:rsid w:val="008C5105"/>
    <w:pPr>
      <w:spacing w:after="360"/>
      <w:jc w:val="both"/>
    </w:pPr>
    <w:rPr>
      <w:rFonts w:ascii="Arial" w:hAnsi="Arial"/>
      <w:b/>
      <w:bCs/>
      <w:szCs w:val="20"/>
    </w:rPr>
  </w:style>
  <w:style w:type="paragraph" w:customStyle="1" w:styleId="SolutionHeader3">
    <w:name w:val="Solution Header 3"/>
    <w:basedOn w:val="Normal"/>
    <w:autoRedefine/>
    <w:rsid w:val="008C5105"/>
    <w:pPr>
      <w:spacing w:before="120" w:after="240"/>
      <w:jc w:val="both"/>
    </w:pPr>
    <w:rPr>
      <w:rFonts w:ascii="Arial" w:hAnsi="Arial"/>
      <w:b/>
      <w:bCs/>
      <w:szCs w:val="20"/>
    </w:rPr>
  </w:style>
  <w:style w:type="character" w:styleId="FootnoteReference">
    <w:name w:val="footnote reference"/>
    <w:semiHidden/>
    <w:rsid w:val="008C5105"/>
    <w:rPr>
      <w:vertAlign w:val="superscript"/>
    </w:rPr>
  </w:style>
  <w:style w:type="paragraph" w:styleId="BodyTextIndent2">
    <w:name w:val="Body Text Indent 2"/>
    <w:basedOn w:val="Normal"/>
    <w:rsid w:val="008C5105"/>
    <w:pPr>
      <w:ind w:left="900" w:hanging="900"/>
    </w:pPr>
    <w:rPr>
      <w:b/>
      <w:bCs/>
    </w:rPr>
  </w:style>
  <w:style w:type="paragraph" w:styleId="BodyTextIndent3">
    <w:name w:val="Body Text Indent 3"/>
    <w:basedOn w:val="Normal"/>
    <w:rsid w:val="008C5105"/>
    <w:pPr>
      <w:autoSpaceDE w:val="0"/>
      <w:autoSpaceDN w:val="0"/>
      <w:adjustRightInd w:val="0"/>
      <w:spacing w:line="240" w:lineRule="atLeast"/>
      <w:ind w:left="70"/>
    </w:pPr>
    <w:rPr>
      <w:color w:val="000000"/>
      <w:szCs w:val="20"/>
      <w:lang w:val="en-US"/>
    </w:rPr>
  </w:style>
  <w:style w:type="paragraph" w:customStyle="1" w:styleId="Blockquote">
    <w:name w:val="Blockquote"/>
    <w:basedOn w:val="Normal"/>
    <w:rsid w:val="008C5105"/>
    <w:pPr>
      <w:spacing w:before="100" w:after="100"/>
      <w:ind w:left="360" w:right="360"/>
    </w:pPr>
    <w:rPr>
      <w:snapToGrid w:val="0"/>
      <w:lang w:val="nl-NL"/>
    </w:rPr>
  </w:style>
  <w:style w:type="character" w:styleId="Hyperlink">
    <w:name w:val="Hyperlink"/>
    <w:rsid w:val="008C5105"/>
    <w:rPr>
      <w:color w:val="0000FF"/>
      <w:u w:val="single"/>
    </w:rPr>
  </w:style>
  <w:style w:type="paragraph" w:styleId="BalloonText">
    <w:name w:val="Balloon Text"/>
    <w:basedOn w:val="Normal"/>
    <w:semiHidden/>
    <w:rsid w:val="008C5105"/>
    <w:rPr>
      <w:rFonts w:ascii="Tahoma" w:hAnsi="Tahoma" w:cs="Tahoma"/>
      <w:sz w:val="16"/>
      <w:szCs w:val="16"/>
    </w:rPr>
  </w:style>
  <w:style w:type="character" w:styleId="FollowedHyperlink">
    <w:name w:val="FollowedHyperlink"/>
    <w:rsid w:val="008C5105"/>
    <w:rPr>
      <w:color w:val="800080"/>
      <w:u w:val="single"/>
    </w:rPr>
  </w:style>
  <w:style w:type="paragraph" w:styleId="NormalWeb">
    <w:name w:val="Normal (Web)"/>
    <w:basedOn w:val="Normal"/>
    <w:uiPriority w:val="99"/>
    <w:rsid w:val="008C5105"/>
    <w:pPr>
      <w:spacing w:before="100" w:after="100"/>
    </w:pPr>
    <w:rPr>
      <w:sz w:val="20"/>
      <w:lang w:val="en-US"/>
    </w:rPr>
  </w:style>
  <w:style w:type="character" w:styleId="Emphasis">
    <w:name w:val="Emphasis"/>
    <w:uiPriority w:val="20"/>
    <w:qFormat/>
    <w:rsid w:val="003860CA"/>
    <w:rPr>
      <w:i/>
      <w:iCs/>
    </w:rPr>
  </w:style>
  <w:style w:type="paragraph" w:customStyle="1" w:styleId="Indent2">
    <w:name w:val="Indent 2"/>
    <w:basedOn w:val="Normal"/>
    <w:rsid w:val="009F3F88"/>
    <w:pPr>
      <w:spacing w:after="260" w:line="260" w:lineRule="atLeast"/>
      <w:ind w:left="864"/>
    </w:pPr>
    <w:rPr>
      <w:sz w:val="22"/>
      <w:szCs w:val="22"/>
      <w:lang w:val="en-CA"/>
    </w:rPr>
  </w:style>
  <w:style w:type="character" w:styleId="CommentReference">
    <w:name w:val="annotation reference"/>
    <w:uiPriority w:val="99"/>
    <w:semiHidden/>
    <w:rsid w:val="00B25999"/>
    <w:rPr>
      <w:sz w:val="16"/>
      <w:szCs w:val="16"/>
    </w:rPr>
  </w:style>
  <w:style w:type="paragraph" w:styleId="CommentText">
    <w:name w:val="annotation text"/>
    <w:basedOn w:val="Normal"/>
    <w:link w:val="CommentTextChar"/>
    <w:uiPriority w:val="99"/>
    <w:semiHidden/>
    <w:rsid w:val="00B25999"/>
    <w:rPr>
      <w:sz w:val="20"/>
      <w:szCs w:val="20"/>
    </w:rPr>
  </w:style>
  <w:style w:type="paragraph" w:styleId="CommentSubject">
    <w:name w:val="annotation subject"/>
    <w:basedOn w:val="CommentText"/>
    <w:next w:val="CommentText"/>
    <w:semiHidden/>
    <w:rsid w:val="00B25999"/>
    <w:rPr>
      <w:b/>
      <w:bCs/>
    </w:rPr>
  </w:style>
  <w:style w:type="paragraph" w:styleId="NoSpacing">
    <w:name w:val="No Spacing"/>
    <w:link w:val="NoSpacingChar"/>
    <w:uiPriority w:val="1"/>
    <w:qFormat/>
    <w:rsid w:val="00F51621"/>
    <w:rPr>
      <w:rFonts w:ascii="Calibri" w:hAnsi="Calibri"/>
      <w:sz w:val="22"/>
      <w:szCs w:val="22"/>
      <w:lang w:val="en-US" w:eastAsia="en-US"/>
    </w:rPr>
  </w:style>
  <w:style w:type="character" w:customStyle="1" w:styleId="NoSpacingChar">
    <w:name w:val="No Spacing Char"/>
    <w:link w:val="NoSpacing"/>
    <w:uiPriority w:val="1"/>
    <w:rsid w:val="00F51621"/>
    <w:rPr>
      <w:rFonts w:ascii="Calibri" w:hAnsi="Calibri"/>
      <w:sz w:val="22"/>
      <w:szCs w:val="22"/>
      <w:lang w:bidi="ar-SA"/>
    </w:rPr>
  </w:style>
  <w:style w:type="paragraph" w:customStyle="1" w:styleId="fasbh22">
    <w:name w:val="fasbh22"/>
    <w:basedOn w:val="Normal"/>
    <w:rsid w:val="00404C60"/>
    <w:pPr>
      <w:spacing w:before="45" w:after="240"/>
    </w:pPr>
    <w:rPr>
      <w:lang w:val="en-US"/>
    </w:rPr>
  </w:style>
  <w:style w:type="character" w:customStyle="1" w:styleId="fragmentlabel">
    <w:name w:val="fragmentlabel"/>
    <w:rsid w:val="00404C60"/>
  </w:style>
  <w:style w:type="character" w:customStyle="1" w:styleId="transitiondate">
    <w:name w:val="transitiondate"/>
    <w:rsid w:val="00404C60"/>
  </w:style>
  <w:style w:type="character" w:customStyle="1" w:styleId="transitionguidance">
    <w:name w:val="transitionguidance"/>
    <w:rsid w:val="00404C60"/>
  </w:style>
  <w:style w:type="character" w:customStyle="1" w:styleId="codificationsourcestart1">
    <w:name w:val="codificationsourcestart1"/>
    <w:rsid w:val="00404C60"/>
    <w:rPr>
      <w:vanish/>
      <w:webHidden w:val="0"/>
      <w:specVanish w:val="0"/>
    </w:rPr>
  </w:style>
  <w:style w:type="character" w:customStyle="1" w:styleId="codificationsourcelink1">
    <w:name w:val="codificationsourcelink1"/>
    <w:rsid w:val="00404C60"/>
    <w:rPr>
      <w:vanish/>
      <w:webHidden w:val="0"/>
      <w:specVanish w:val="0"/>
    </w:rPr>
  </w:style>
  <w:style w:type="character" w:customStyle="1" w:styleId="codificationsourceend1">
    <w:name w:val="codificationsourceend1"/>
    <w:rsid w:val="00404C60"/>
    <w:rPr>
      <w:vanish/>
      <w:webHidden w:val="0"/>
      <w:specVanish w:val="0"/>
    </w:rPr>
  </w:style>
  <w:style w:type="paragraph" w:customStyle="1" w:styleId="fasbh32">
    <w:name w:val="fasbh32"/>
    <w:basedOn w:val="Normal"/>
    <w:rsid w:val="00300625"/>
    <w:pPr>
      <w:spacing w:before="45" w:after="240"/>
    </w:pPr>
    <w:rPr>
      <w:lang w:val="en-US"/>
    </w:rPr>
  </w:style>
  <w:style w:type="paragraph" w:customStyle="1" w:styleId="publicationdate1">
    <w:name w:val="publicationdate1"/>
    <w:basedOn w:val="Normal"/>
    <w:rsid w:val="00300625"/>
    <w:pPr>
      <w:spacing w:after="45" w:line="360" w:lineRule="atLeast"/>
    </w:pPr>
    <w:rPr>
      <w:color w:val="404041"/>
      <w:sz w:val="17"/>
      <w:szCs w:val="17"/>
      <w:lang w:val="en-US"/>
    </w:rPr>
  </w:style>
  <w:style w:type="paragraph" w:styleId="ListParagraph">
    <w:name w:val="List Paragraph"/>
    <w:basedOn w:val="Normal"/>
    <w:uiPriority w:val="34"/>
    <w:qFormat/>
    <w:rsid w:val="00B552B6"/>
    <w:pPr>
      <w:spacing w:after="160" w:line="259" w:lineRule="auto"/>
      <w:ind w:left="720"/>
      <w:contextualSpacing/>
    </w:pPr>
    <w:rPr>
      <w:rFonts w:ascii="Calibri" w:eastAsia="Calibri" w:hAnsi="Calibri"/>
      <w:sz w:val="22"/>
      <w:szCs w:val="22"/>
      <w:lang w:val="en-US"/>
    </w:rPr>
  </w:style>
  <w:style w:type="table" w:styleId="TableGrid">
    <w:name w:val="Table Grid"/>
    <w:basedOn w:val="TableNormal"/>
    <w:uiPriority w:val="59"/>
    <w:rsid w:val="00B552B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TextChar">
    <w:name w:val="Comment Text Char"/>
    <w:link w:val="CommentText"/>
    <w:uiPriority w:val="99"/>
    <w:semiHidden/>
    <w:rsid w:val="00287608"/>
    <w:rPr>
      <w:lang w:val="en-GB"/>
    </w:rPr>
  </w:style>
  <w:style w:type="paragraph" w:customStyle="1" w:styleId="Default">
    <w:name w:val="Default"/>
    <w:rsid w:val="00B62C65"/>
    <w:pPr>
      <w:autoSpaceDE w:val="0"/>
      <w:autoSpaceDN w:val="0"/>
      <w:adjustRightInd w:val="0"/>
    </w:pPr>
    <w:rPr>
      <w:rFonts w:eastAsia="Calibri"/>
      <w:color w:val="000000"/>
      <w:sz w:val="24"/>
      <w:szCs w:val="24"/>
      <w:lang w:eastAsia="en-US"/>
    </w:rPr>
  </w:style>
  <w:style w:type="character" w:customStyle="1" w:styleId="apple-converted-space">
    <w:name w:val="apple-converted-space"/>
    <w:rsid w:val="00643CD6"/>
  </w:style>
  <w:style w:type="character" w:styleId="Strong">
    <w:name w:val="Strong"/>
    <w:uiPriority w:val="22"/>
    <w:qFormat/>
    <w:rsid w:val="009D2038"/>
    <w:rPr>
      <w:b/>
      <w:bCs/>
    </w:rPr>
  </w:style>
  <w:style w:type="character" w:customStyle="1" w:styleId="no">
    <w:name w:val="no"/>
    <w:rsid w:val="009D2038"/>
  </w:style>
  <w:style w:type="paragraph" w:customStyle="1" w:styleId="indent1">
    <w:name w:val="indent1"/>
    <w:basedOn w:val="Normal"/>
    <w:rsid w:val="009D2038"/>
    <w:pPr>
      <w:spacing w:before="100" w:beforeAutospacing="1" w:after="100" w:afterAutospacing="1"/>
    </w:pPr>
    <w:rPr>
      <w:lang w:val="en-US"/>
    </w:rPr>
  </w:style>
  <w:style w:type="character" w:customStyle="1" w:styleId="FooterChar">
    <w:name w:val="Footer Char"/>
    <w:basedOn w:val="DefaultParagraphFont"/>
    <w:link w:val="Footer"/>
    <w:uiPriority w:val="99"/>
    <w:rsid w:val="001F021D"/>
    <w:rPr>
      <w:sz w:val="24"/>
      <w:szCs w:val="24"/>
      <w:lang w:val="en-GB" w:eastAsia="en-US"/>
    </w:rPr>
  </w:style>
  <w:style w:type="paragraph" w:styleId="Revision">
    <w:name w:val="Revision"/>
    <w:hidden/>
    <w:uiPriority w:val="99"/>
    <w:semiHidden/>
    <w:rsid w:val="002A7882"/>
    <w:rPr>
      <w:sz w:val="24"/>
      <w:szCs w:val="24"/>
      <w:lang w:val="en-GB" w:eastAsia="en-US"/>
    </w:rPr>
  </w:style>
</w:styles>
</file>

<file path=word/webSettings.xml><?xml version="1.0" encoding="utf-8"?>
<w:webSettings xmlns:r="http://schemas.openxmlformats.org/officeDocument/2006/relationships" xmlns:w="http://schemas.openxmlformats.org/wordprocessingml/2006/main">
  <w:divs>
    <w:div w:id="41292952">
      <w:bodyDiv w:val="1"/>
      <w:marLeft w:val="0"/>
      <w:marRight w:val="0"/>
      <w:marTop w:val="0"/>
      <w:marBottom w:val="0"/>
      <w:divBdr>
        <w:top w:val="none" w:sz="0" w:space="0" w:color="auto"/>
        <w:left w:val="none" w:sz="0" w:space="0" w:color="auto"/>
        <w:bottom w:val="none" w:sz="0" w:space="0" w:color="auto"/>
        <w:right w:val="none" w:sz="0" w:space="0" w:color="auto"/>
      </w:divBdr>
      <w:divsChild>
        <w:div w:id="214973281">
          <w:marLeft w:val="0"/>
          <w:marRight w:val="0"/>
          <w:marTop w:val="0"/>
          <w:marBottom w:val="0"/>
          <w:divBdr>
            <w:top w:val="none" w:sz="0" w:space="0" w:color="auto"/>
            <w:left w:val="none" w:sz="0" w:space="0" w:color="auto"/>
            <w:bottom w:val="none" w:sz="0" w:space="0" w:color="auto"/>
            <w:right w:val="none" w:sz="0" w:space="0" w:color="auto"/>
          </w:divBdr>
          <w:divsChild>
            <w:div w:id="1182357734">
              <w:marLeft w:val="0"/>
              <w:marRight w:val="0"/>
              <w:marTop w:val="0"/>
              <w:marBottom w:val="0"/>
              <w:divBdr>
                <w:top w:val="single" w:sz="24" w:space="5" w:color="602320"/>
                <w:left w:val="none" w:sz="0" w:space="0" w:color="auto"/>
                <w:bottom w:val="none" w:sz="0" w:space="0" w:color="auto"/>
                <w:right w:val="none" w:sz="0" w:space="0" w:color="auto"/>
              </w:divBdr>
              <w:divsChild>
                <w:div w:id="845637441">
                  <w:marLeft w:val="0"/>
                  <w:marRight w:val="0"/>
                  <w:marTop w:val="0"/>
                  <w:marBottom w:val="0"/>
                  <w:divBdr>
                    <w:top w:val="none" w:sz="0" w:space="0" w:color="auto"/>
                    <w:left w:val="none" w:sz="0" w:space="0" w:color="auto"/>
                    <w:bottom w:val="none" w:sz="0" w:space="0" w:color="auto"/>
                    <w:right w:val="none" w:sz="0" w:space="0" w:color="auto"/>
                  </w:divBdr>
                  <w:divsChild>
                    <w:div w:id="1868907072">
                      <w:marLeft w:val="0"/>
                      <w:marRight w:val="0"/>
                      <w:marTop w:val="0"/>
                      <w:marBottom w:val="0"/>
                      <w:divBdr>
                        <w:top w:val="none" w:sz="0" w:space="0" w:color="auto"/>
                        <w:left w:val="none" w:sz="0" w:space="0" w:color="auto"/>
                        <w:bottom w:val="none" w:sz="0" w:space="0" w:color="auto"/>
                        <w:right w:val="none" w:sz="0" w:space="0" w:color="auto"/>
                      </w:divBdr>
                      <w:divsChild>
                        <w:div w:id="171266343">
                          <w:marLeft w:val="0"/>
                          <w:marRight w:val="0"/>
                          <w:marTop w:val="0"/>
                          <w:marBottom w:val="0"/>
                          <w:divBdr>
                            <w:top w:val="none" w:sz="0" w:space="0" w:color="auto"/>
                            <w:left w:val="none" w:sz="0" w:space="0" w:color="auto"/>
                            <w:bottom w:val="none" w:sz="0" w:space="0" w:color="auto"/>
                            <w:right w:val="none" w:sz="0" w:space="0" w:color="auto"/>
                          </w:divBdr>
                          <w:divsChild>
                            <w:div w:id="454492847">
                              <w:marLeft w:val="0"/>
                              <w:marRight w:val="0"/>
                              <w:marTop w:val="0"/>
                              <w:marBottom w:val="240"/>
                              <w:divBdr>
                                <w:top w:val="none" w:sz="0" w:space="0" w:color="auto"/>
                                <w:left w:val="none" w:sz="0" w:space="0" w:color="auto"/>
                                <w:bottom w:val="none" w:sz="0" w:space="0" w:color="auto"/>
                                <w:right w:val="none" w:sz="0" w:space="0" w:color="auto"/>
                              </w:divBdr>
                              <w:divsChild>
                                <w:div w:id="1739478536">
                                  <w:marLeft w:val="0"/>
                                  <w:marRight w:val="0"/>
                                  <w:marTop w:val="0"/>
                                  <w:marBottom w:val="0"/>
                                  <w:divBdr>
                                    <w:top w:val="none" w:sz="0" w:space="0" w:color="auto"/>
                                    <w:left w:val="none" w:sz="0" w:space="0" w:color="auto"/>
                                    <w:bottom w:val="none" w:sz="0" w:space="0" w:color="auto"/>
                                    <w:right w:val="none" w:sz="0" w:space="0" w:color="auto"/>
                                  </w:divBdr>
                                  <w:divsChild>
                                    <w:div w:id="1062680669">
                                      <w:marLeft w:val="0"/>
                                      <w:marRight w:val="0"/>
                                      <w:marTop w:val="0"/>
                                      <w:marBottom w:val="0"/>
                                      <w:divBdr>
                                        <w:top w:val="none" w:sz="0" w:space="0" w:color="auto"/>
                                        <w:left w:val="none" w:sz="0" w:space="0" w:color="auto"/>
                                        <w:bottom w:val="none" w:sz="0" w:space="0" w:color="auto"/>
                                        <w:right w:val="none" w:sz="0" w:space="0" w:color="auto"/>
                                      </w:divBdr>
                                      <w:divsChild>
                                        <w:div w:id="1822767199">
                                          <w:marLeft w:val="0"/>
                                          <w:marRight w:val="0"/>
                                          <w:marTop w:val="0"/>
                                          <w:marBottom w:val="0"/>
                                          <w:divBdr>
                                            <w:top w:val="none" w:sz="0" w:space="0" w:color="auto"/>
                                            <w:left w:val="none" w:sz="0" w:space="0" w:color="auto"/>
                                            <w:bottom w:val="none" w:sz="0" w:space="0" w:color="auto"/>
                                            <w:right w:val="none" w:sz="0" w:space="0" w:color="auto"/>
                                          </w:divBdr>
                                          <w:divsChild>
                                            <w:div w:id="725883205">
                                              <w:marLeft w:val="0"/>
                                              <w:marRight w:val="0"/>
                                              <w:marTop w:val="0"/>
                                              <w:marBottom w:val="0"/>
                                              <w:divBdr>
                                                <w:top w:val="none" w:sz="0" w:space="0" w:color="auto"/>
                                                <w:left w:val="none" w:sz="0" w:space="0" w:color="auto"/>
                                                <w:bottom w:val="none" w:sz="0" w:space="0" w:color="auto"/>
                                                <w:right w:val="none" w:sz="0" w:space="0" w:color="auto"/>
                                              </w:divBdr>
                                              <w:divsChild>
                                                <w:div w:id="256132142">
                                                  <w:marLeft w:val="0"/>
                                                  <w:marRight w:val="0"/>
                                                  <w:marTop w:val="0"/>
                                                  <w:marBottom w:val="0"/>
                                                  <w:divBdr>
                                                    <w:top w:val="none" w:sz="0" w:space="0" w:color="auto"/>
                                                    <w:left w:val="none" w:sz="0" w:space="0" w:color="auto"/>
                                                    <w:bottom w:val="none" w:sz="0" w:space="0" w:color="auto"/>
                                                    <w:right w:val="none" w:sz="0" w:space="0" w:color="auto"/>
                                                  </w:divBdr>
                                                  <w:divsChild>
                                                    <w:div w:id="46682072">
                                                      <w:marLeft w:val="0"/>
                                                      <w:marRight w:val="0"/>
                                                      <w:marTop w:val="0"/>
                                                      <w:marBottom w:val="0"/>
                                                      <w:divBdr>
                                                        <w:top w:val="none" w:sz="0" w:space="0" w:color="auto"/>
                                                        <w:left w:val="none" w:sz="0" w:space="0" w:color="auto"/>
                                                        <w:bottom w:val="none" w:sz="0" w:space="0" w:color="auto"/>
                                                        <w:right w:val="none" w:sz="0" w:space="0" w:color="auto"/>
                                                      </w:divBdr>
                                                      <w:divsChild>
                                                        <w:div w:id="843126038">
                                                          <w:marLeft w:val="0"/>
                                                          <w:marRight w:val="0"/>
                                                          <w:marTop w:val="0"/>
                                                          <w:marBottom w:val="0"/>
                                                          <w:divBdr>
                                                            <w:top w:val="single" w:sz="2" w:space="0" w:color="auto"/>
                                                            <w:left w:val="single" w:sz="6" w:space="0" w:color="auto"/>
                                                            <w:bottom w:val="single" w:sz="6" w:space="0" w:color="auto"/>
                                                            <w:right w:val="single" w:sz="6" w:space="0" w:color="auto"/>
                                                          </w:divBdr>
                                                        </w:div>
                                                      </w:divsChild>
                                                    </w:div>
                                                    <w:div w:id="132331688">
                                                      <w:marLeft w:val="0"/>
                                                      <w:marRight w:val="0"/>
                                                      <w:marTop w:val="0"/>
                                                      <w:marBottom w:val="0"/>
                                                      <w:divBdr>
                                                        <w:top w:val="none" w:sz="0" w:space="0" w:color="auto"/>
                                                        <w:left w:val="none" w:sz="0" w:space="0" w:color="auto"/>
                                                        <w:bottom w:val="none" w:sz="0" w:space="0" w:color="auto"/>
                                                        <w:right w:val="none" w:sz="0" w:space="0" w:color="auto"/>
                                                      </w:divBdr>
                                                      <w:divsChild>
                                                        <w:div w:id="783814604">
                                                          <w:marLeft w:val="0"/>
                                                          <w:marRight w:val="0"/>
                                                          <w:marTop w:val="0"/>
                                                          <w:marBottom w:val="0"/>
                                                          <w:divBdr>
                                                            <w:top w:val="single" w:sz="2"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sChild>
                    </w:div>
                  </w:divsChild>
                </w:div>
              </w:divsChild>
            </w:div>
          </w:divsChild>
        </w:div>
      </w:divsChild>
    </w:div>
    <w:div w:id="182669381">
      <w:bodyDiv w:val="1"/>
      <w:marLeft w:val="0"/>
      <w:marRight w:val="0"/>
      <w:marTop w:val="0"/>
      <w:marBottom w:val="0"/>
      <w:divBdr>
        <w:top w:val="none" w:sz="0" w:space="0" w:color="auto"/>
        <w:left w:val="none" w:sz="0" w:space="0" w:color="auto"/>
        <w:bottom w:val="none" w:sz="0" w:space="0" w:color="auto"/>
        <w:right w:val="none" w:sz="0" w:space="0" w:color="auto"/>
      </w:divBdr>
      <w:divsChild>
        <w:div w:id="1812359111">
          <w:marLeft w:val="0"/>
          <w:marRight w:val="0"/>
          <w:marTop w:val="0"/>
          <w:marBottom w:val="0"/>
          <w:divBdr>
            <w:top w:val="none" w:sz="0" w:space="0" w:color="auto"/>
            <w:left w:val="none" w:sz="0" w:space="0" w:color="auto"/>
            <w:bottom w:val="none" w:sz="0" w:space="0" w:color="auto"/>
            <w:right w:val="none" w:sz="0" w:space="0" w:color="auto"/>
          </w:divBdr>
          <w:divsChild>
            <w:div w:id="1419210689">
              <w:marLeft w:val="0"/>
              <w:marRight w:val="0"/>
              <w:marTop w:val="0"/>
              <w:marBottom w:val="0"/>
              <w:divBdr>
                <w:top w:val="none" w:sz="0" w:space="0" w:color="auto"/>
                <w:left w:val="none" w:sz="0" w:space="0" w:color="auto"/>
                <w:bottom w:val="none" w:sz="0" w:space="0" w:color="auto"/>
                <w:right w:val="none" w:sz="0" w:space="0" w:color="auto"/>
              </w:divBdr>
            </w:div>
            <w:div w:id="1599867514">
              <w:marLeft w:val="0"/>
              <w:marRight w:val="0"/>
              <w:marTop w:val="0"/>
              <w:marBottom w:val="0"/>
              <w:divBdr>
                <w:top w:val="none" w:sz="0" w:space="0" w:color="auto"/>
                <w:left w:val="none" w:sz="0" w:space="0" w:color="auto"/>
                <w:bottom w:val="none" w:sz="0" w:space="0" w:color="auto"/>
                <w:right w:val="none" w:sz="0" w:space="0" w:color="auto"/>
              </w:divBdr>
            </w:div>
          </w:divsChild>
        </w:div>
        <w:div w:id="1991253121">
          <w:marLeft w:val="0"/>
          <w:marRight w:val="0"/>
          <w:marTop w:val="0"/>
          <w:marBottom w:val="0"/>
          <w:divBdr>
            <w:top w:val="none" w:sz="0" w:space="0" w:color="auto"/>
            <w:left w:val="none" w:sz="0" w:space="0" w:color="auto"/>
            <w:bottom w:val="none" w:sz="0" w:space="0" w:color="auto"/>
            <w:right w:val="none" w:sz="0" w:space="0" w:color="auto"/>
          </w:divBdr>
          <w:divsChild>
            <w:div w:id="328169724">
              <w:marLeft w:val="0"/>
              <w:marRight w:val="0"/>
              <w:marTop w:val="0"/>
              <w:marBottom w:val="0"/>
              <w:divBdr>
                <w:top w:val="none" w:sz="0" w:space="0" w:color="auto"/>
                <w:left w:val="none" w:sz="0" w:space="0" w:color="auto"/>
                <w:bottom w:val="none" w:sz="0" w:space="0" w:color="auto"/>
                <w:right w:val="none" w:sz="0" w:space="0" w:color="auto"/>
              </w:divBdr>
            </w:div>
            <w:div w:id="417555019">
              <w:marLeft w:val="0"/>
              <w:marRight w:val="0"/>
              <w:marTop w:val="0"/>
              <w:marBottom w:val="0"/>
              <w:divBdr>
                <w:top w:val="none" w:sz="0" w:space="0" w:color="auto"/>
                <w:left w:val="none" w:sz="0" w:space="0" w:color="auto"/>
                <w:bottom w:val="none" w:sz="0" w:space="0" w:color="auto"/>
                <w:right w:val="none" w:sz="0" w:space="0" w:color="auto"/>
              </w:divBdr>
            </w:div>
            <w:div w:id="442111991">
              <w:marLeft w:val="0"/>
              <w:marRight w:val="0"/>
              <w:marTop w:val="0"/>
              <w:marBottom w:val="0"/>
              <w:divBdr>
                <w:top w:val="none" w:sz="0" w:space="0" w:color="auto"/>
                <w:left w:val="none" w:sz="0" w:space="0" w:color="auto"/>
                <w:bottom w:val="none" w:sz="0" w:space="0" w:color="auto"/>
                <w:right w:val="none" w:sz="0" w:space="0" w:color="auto"/>
              </w:divBdr>
            </w:div>
            <w:div w:id="1679846461">
              <w:marLeft w:val="0"/>
              <w:marRight w:val="0"/>
              <w:marTop w:val="0"/>
              <w:marBottom w:val="0"/>
              <w:divBdr>
                <w:top w:val="none" w:sz="0" w:space="0" w:color="auto"/>
                <w:left w:val="none" w:sz="0" w:space="0" w:color="auto"/>
                <w:bottom w:val="none" w:sz="0" w:space="0" w:color="auto"/>
                <w:right w:val="none" w:sz="0" w:space="0" w:color="auto"/>
              </w:divBdr>
            </w:div>
            <w:div w:id="1807578167">
              <w:marLeft w:val="0"/>
              <w:marRight w:val="0"/>
              <w:marTop w:val="0"/>
              <w:marBottom w:val="0"/>
              <w:divBdr>
                <w:top w:val="none" w:sz="0" w:space="0" w:color="auto"/>
                <w:left w:val="none" w:sz="0" w:space="0" w:color="auto"/>
                <w:bottom w:val="none" w:sz="0" w:space="0" w:color="auto"/>
                <w:right w:val="none" w:sz="0" w:space="0" w:color="auto"/>
              </w:divBdr>
            </w:div>
            <w:div w:id="1896115608">
              <w:marLeft w:val="0"/>
              <w:marRight w:val="0"/>
              <w:marTop w:val="0"/>
              <w:marBottom w:val="0"/>
              <w:divBdr>
                <w:top w:val="none" w:sz="0" w:space="0" w:color="auto"/>
                <w:left w:val="none" w:sz="0" w:space="0" w:color="auto"/>
                <w:bottom w:val="none" w:sz="0" w:space="0" w:color="auto"/>
                <w:right w:val="none" w:sz="0" w:space="0" w:color="auto"/>
              </w:divBdr>
            </w:div>
            <w:div w:id="2068139171">
              <w:marLeft w:val="0"/>
              <w:marRight w:val="0"/>
              <w:marTop w:val="0"/>
              <w:marBottom w:val="0"/>
              <w:divBdr>
                <w:top w:val="none" w:sz="0" w:space="0" w:color="auto"/>
                <w:left w:val="none" w:sz="0" w:space="0" w:color="auto"/>
                <w:bottom w:val="none" w:sz="0" w:space="0" w:color="auto"/>
                <w:right w:val="none" w:sz="0" w:space="0" w:color="auto"/>
              </w:divBdr>
            </w:div>
            <w:div w:id="2074808751">
              <w:marLeft w:val="0"/>
              <w:marRight w:val="0"/>
              <w:marTop w:val="0"/>
              <w:marBottom w:val="0"/>
              <w:divBdr>
                <w:top w:val="none" w:sz="0" w:space="0" w:color="auto"/>
                <w:left w:val="none" w:sz="0" w:space="0" w:color="auto"/>
                <w:bottom w:val="none" w:sz="0" w:space="0" w:color="auto"/>
                <w:right w:val="none" w:sz="0" w:space="0" w:color="auto"/>
              </w:divBdr>
            </w:div>
            <w:div w:id="208714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744290">
      <w:bodyDiv w:val="1"/>
      <w:marLeft w:val="0"/>
      <w:marRight w:val="0"/>
      <w:marTop w:val="0"/>
      <w:marBottom w:val="0"/>
      <w:divBdr>
        <w:top w:val="none" w:sz="0" w:space="0" w:color="auto"/>
        <w:left w:val="none" w:sz="0" w:space="0" w:color="auto"/>
        <w:bottom w:val="none" w:sz="0" w:space="0" w:color="auto"/>
        <w:right w:val="none" w:sz="0" w:space="0" w:color="auto"/>
      </w:divBdr>
      <w:divsChild>
        <w:div w:id="1578319253">
          <w:marLeft w:val="0"/>
          <w:marRight w:val="0"/>
          <w:marTop w:val="0"/>
          <w:marBottom w:val="0"/>
          <w:divBdr>
            <w:top w:val="none" w:sz="0" w:space="0" w:color="auto"/>
            <w:left w:val="none" w:sz="0" w:space="0" w:color="auto"/>
            <w:bottom w:val="none" w:sz="0" w:space="0" w:color="auto"/>
            <w:right w:val="none" w:sz="0" w:space="0" w:color="auto"/>
          </w:divBdr>
          <w:divsChild>
            <w:div w:id="1001153228">
              <w:marLeft w:val="0"/>
              <w:marRight w:val="0"/>
              <w:marTop w:val="0"/>
              <w:marBottom w:val="0"/>
              <w:divBdr>
                <w:top w:val="single" w:sz="24" w:space="5" w:color="602320"/>
                <w:left w:val="none" w:sz="0" w:space="0" w:color="auto"/>
                <w:bottom w:val="none" w:sz="0" w:space="0" w:color="auto"/>
                <w:right w:val="none" w:sz="0" w:space="0" w:color="auto"/>
              </w:divBdr>
              <w:divsChild>
                <w:div w:id="640814262">
                  <w:marLeft w:val="0"/>
                  <w:marRight w:val="0"/>
                  <w:marTop w:val="0"/>
                  <w:marBottom w:val="0"/>
                  <w:divBdr>
                    <w:top w:val="none" w:sz="0" w:space="0" w:color="auto"/>
                    <w:left w:val="none" w:sz="0" w:space="0" w:color="auto"/>
                    <w:bottom w:val="none" w:sz="0" w:space="0" w:color="auto"/>
                    <w:right w:val="none" w:sz="0" w:space="0" w:color="auto"/>
                  </w:divBdr>
                  <w:divsChild>
                    <w:div w:id="1841432160">
                      <w:marLeft w:val="0"/>
                      <w:marRight w:val="0"/>
                      <w:marTop w:val="0"/>
                      <w:marBottom w:val="0"/>
                      <w:divBdr>
                        <w:top w:val="none" w:sz="0" w:space="0" w:color="auto"/>
                        <w:left w:val="none" w:sz="0" w:space="0" w:color="auto"/>
                        <w:bottom w:val="none" w:sz="0" w:space="0" w:color="auto"/>
                        <w:right w:val="none" w:sz="0" w:space="0" w:color="auto"/>
                      </w:divBdr>
                      <w:divsChild>
                        <w:div w:id="456220034">
                          <w:marLeft w:val="0"/>
                          <w:marRight w:val="0"/>
                          <w:marTop w:val="0"/>
                          <w:marBottom w:val="0"/>
                          <w:divBdr>
                            <w:top w:val="none" w:sz="0" w:space="0" w:color="auto"/>
                            <w:left w:val="none" w:sz="0" w:space="0" w:color="auto"/>
                            <w:bottom w:val="none" w:sz="0" w:space="0" w:color="auto"/>
                            <w:right w:val="none" w:sz="0" w:space="0" w:color="auto"/>
                          </w:divBdr>
                          <w:divsChild>
                            <w:div w:id="1502235651">
                              <w:marLeft w:val="0"/>
                              <w:marRight w:val="0"/>
                              <w:marTop w:val="0"/>
                              <w:marBottom w:val="240"/>
                              <w:divBdr>
                                <w:top w:val="none" w:sz="0" w:space="0" w:color="auto"/>
                                <w:left w:val="none" w:sz="0" w:space="0" w:color="auto"/>
                                <w:bottom w:val="none" w:sz="0" w:space="0" w:color="auto"/>
                                <w:right w:val="none" w:sz="0" w:space="0" w:color="auto"/>
                              </w:divBdr>
                              <w:divsChild>
                                <w:div w:id="191572146">
                                  <w:marLeft w:val="0"/>
                                  <w:marRight w:val="0"/>
                                  <w:marTop w:val="0"/>
                                  <w:marBottom w:val="0"/>
                                  <w:divBdr>
                                    <w:top w:val="none" w:sz="0" w:space="0" w:color="auto"/>
                                    <w:left w:val="none" w:sz="0" w:space="0" w:color="auto"/>
                                    <w:bottom w:val="none" w:sz="0" w:space="0" w:color="auto"/>
                                    <w:right w:val="none" w:sz="0" w:space="0" w:color="auto"/>
                                  </w:divBdr>
                                  <w:divsChild>
                                    <w:div w:id="1167786261">
                                      <w:marLeft w:val="0"/>
                                      <w:marRight w:val="0"/>
                                      <w:marTop w:val="0"/>
                                      <w:marBottom w:val="0"/>
                                      <w:divBdr>
                                        <w:top w:val="none" w:sz="0" w:space="0" w:color="auto"/>
                                        <w:left w:val="none" w:sz="0" w:space="0" w:color="auto"/>
                                        <w:bottom w:val="none" w:sz="0" w:space="0" w:color="auto"/>
                                        <w:right w:val="none" w:sz="0" w:space="0" w:color="auto"/>
                                      </w:divBdr>
                                      <w:divsChild>
                                        <w:div w:id="948051778">
                                          <w:marLeft w:val="0"/>
                                          <w:marRight w:val="0"/>
                                          <w:marTop w:val="0"/>
                                          <w:marBottom w:val="0"/>
                                          <w:divBdr>
                                            <w:top w:val="none" w:sz="0" w:space="0" w:color="auto"/>
                                            <w:left w:val="none" w:sz="0" w:space="0" w:color="auto"/>
                                            <w:bottom w:val="none" w:sz="0" w:space="0" w:color="auto"/>
                                            <w:right w:val="none" w:sz="0" w:space="0" w:color="auto"/>
                                          </w:divBdr>
                                          <w:divsChild>
                                            <w:div w:id="25641083">
                                              <w:marLeft w:val="0"/>
                                              <w:marRight w:val="0"/>
                                              <w:marTop w:val="0"/>
                                              <w:marBottom w:val="0"/>
                                              <w:divBdr>
                                                <w:top w:val="none" w:sz="0" w:space="0" w:color="auto"/>
                                                <w:left w:val="none" w:sz="0" w:space="0" w:color="auto"/>
                                                <w:bottom w:val="none" w:sz="0" w:space="0" w:color="auto"/>
                                                <w:right w:val="none" w:sz="0" w:space="0" w:color="auto"/>
                                              </w:divBdr>
                                              <w:divsChild>
                                                <w:div w:id="603928570">
                                                  <w:marLeft w:val="0"/>
                                                  <w:marRight w:val="0"/>
                                                  <w:marTop w:val="0"/>
                                                  <w:marBottom w:val="0"/>
                                                  <w:divBdr>
                                                    <w:top w:val="none" w:sz="0" w:space="0" w:color="auto"/>
                                                    <w:left w:val="none" w:sz="0" w:space="0" w:color="auto"/>
                                                    <w:bottom w:val="none" w:sz="0" w:space="0" w:color="auto"/>
                                                    <w:right w:val="none" w:sz="0" w:space="0" w:color="auto"/>
                                                  </w:divBdr>
                                                  <w:divsChild>
                                                    <w:div w:id="179199175">
                                                      <w:marLeft w:val="0"/>
                                                      <w:marRight w:val="0"/>
                                                      <w:marTop w:val="0"/>
                                                      <w:marBottom w:val="0"/>
                                                      <w:divBdr>
                                                        <w:top w:val="none" w:sz="0" w:space="0" w:color="auto"/>
                                                        <w:left w:val="none" w:sz="0" w:space="0" w:color="auto"/>
                                                        <w:bottom w:val="none" w:sz="0" w:space="0" w:color="auto"/>
                                                        <w:right w:val="none" w:sz="0" w:space="0" w:color="auto"/>
                                                      </w:divBdr>
                                                    </w:div>
                                                    <w:div w:id="589629547">
                                                      <w:marLeft w:val="0"/>
                                                      <w:marRight w:val="0"/>
                                                      <w:marTop w:val="0"/>
                                                      <w:marBottom w:val="0"/>
                                                      <w:divBdr>
                                                        <w:top w:val="none" w:sz="0" w:space="0" w:color="auto"/>
                                                        <w:left w:val="none" w:sz="0" w:space="0" w:color="auto"/>
                                                        <w:bottom w:val="none" w:sz="0" w:space="0" w:color="auto"/>
                                                        <w:right w:val="none" w:sz="0" w:space="0" w:color="auto"/>
                                                      </w:divBdr>
                                                    </w:div>
                                                    <w:div w:id="620962280">
                                                      <w:marLeft w:val="0"/>
                                                      <w:marRight w:val="0"/>
                                                      <w:marTop w:val="0"/>
                                                      <w:marBottom w:val="0"/>
                                                      <w:divBdr>
                                                        <w:top w:val="none" w:sz="0" w:space="0" w:color="auto"/>
                                                        <w:left w:val="none" w:sz="0" w:space="0" w:color="auto"/>
                                                        <w:bottom w:val="none" w:sz="0" w:space="0" w:color="auto"/>
                                                        <w:right w:val="none" w:sz="0" w:space="0" w:color="auto"/>
                                                      </w:divBdr>
                                                    </w:div>
                                                    <w:div w:id="718015982">
                                                      <w:marLeft w:val="0"/>
                                                      <w:marRight w:val="0"/>
                                                      <w:marTop w:val="0"/>
                                                      <w:marBottom w:val="0"/>
                                                      <w:divBdr>
                                                        <w:top w:val="none" w:sz="0" w:space="0" w:color="auto"/>
                                                        <w:left w:val="none" w:sz="0" w:space="0" w:color="auto"/>
                                                        <w:bottom w:val="none" w:sz="0" w:space="0" w:color="auto"/>
                                                        <w:right w:val="none" w:sz="0" w:space="0" w:color="auto"/>
                                                      </w:divBdr>
                                                    </w:div>
                                                    <w:div w:id="724793827">
                                                      <w:marLeft w:val="0"/>
                                                      <w:marRight w:val="0"/>
                                                      <w:marTop w:val="0"/>
                                                      <w:marBottom w:val="0"/>
                                                      <w:divBdr>
                                                        <w:top w:val="none" w:sz="0" w:space="0" w:color="auto"/>
                                                        <w:left w:val="none" w:sz="0" w:space="0" w:color="auto"/>
                                                        <w:bottom w:val="none" w:sz="0" w:space="0" w:color="auto"/>
                                                        <w:right w:val="none" w:sz="0" w:space="0" w:color="auto"/>
                                                      </w:divBdr>
                                                    </w:div>
                                                    <w:div w:id="734281013">
                                                      <w:marLeft w:val="0"/>
                                                      <w:marRight w:val="0"/>
                                                      <w:marTop w:val="0"/>
                                                      <w:marBottom w:val="0"/>
                                                      <w:divBdr>
                                                        <w:top w:val="none" w:sz="0" w:space="0" w:color="auto"/>
                                                        <w:left w:val="none" w:sz="0" w:space="0" w:color="auto"/>
                                                        <w:bottom w:val="none" w:sz="0" w:space="0" w:color="auto"/>
                                                        <w:right w:val="none" w:sz="0" w:space="0" w:color="auto"/>
                                                      </w:divBdr>
                                                    </w:div>
                                                    <w:div w:id="984627169">
                                                      <w:marLeft w:val="0"/>
                                                      <w:marRight w:val="0"/>
                                                      <w:marTop w:val="0"/>
                                                      <w:marBottom w:val="0"/>
                                                      <w:divBdr>
                                                        <w:top w:val="none" w:sz="0" w:space="0" w:color="auto"/>
                                                        <w:left w:val="none" w:sz="0" w:space="0" w:color="auto"/>
                                                        <w:bottom w:val="none" w:sz="0" w:space="0" w:color="auto"/>
                                                        <w:right w:val="none" w:sz="0" w:space="0" w:color="auto"/>
                                                      </w:divBdr>
                                                    </w:div>
                                                    <w:div w:id="1340352635">
                                                      <w:marLeft w:val="0"/>
                                                      <w:marRight w:val="0"/>
                                                      <w:marTop w:val="0"/>
                                                      <w:marBottom w:val="0"/>
                                                      <w:divBdr>
                                                        <w:top w:val="none" w:sz="0" w:space="0" w:color="auto"/>
                                                        <w:left w:val="none" w:sz="0" w:space="0" w:color="auto"/>
                                                        <w:bottom w:val="none" w:sz="0" w:space="0" w:color="auto"/>
                                                        <w:right w:val="none" w:sz="0" w:space="0" w:color="auto"/>
                                                      </w:divBdr>
                                                    </w:div>
                                                    <w:div w:id="1364134630">
                                                      <w:marLeft w:val="0"/>
                                                      <w:marRight w:val="0"/>
                                                      <w:marTop w:val="0"/>
                                                      <w:marBottom w:val="0"/>
                                                      <w:divBdr>
                                                        <w:top w:val="none" w:sz="0" w:space="0" w:color="auto"/>
                                                        <w:left w:val="none" w:sz="0" w:space="0" w:color="auto"/>
                                                        <w:bottom w:val="none" w:sz="0" w:space="0" w:color="auto"/>
                                                        <w:right w:val="none" w:sz="0" w:space="0" w:color="auto"/>
                                                      </w:divBdr>
                                                    </w:div>
                                                    <w:div w:id="1471899049">
                                                      <w:marLeft w:val="0"/>
                                                      <w:marRight w:val="0"/>
                                                      <w:marTop w:val="0"/>
                                                      <w:marBottom w:val="0"/>
                                                      <w:divBdr>
                                                        <w:top w:val="none" w:sz="0" w:space="0" w:color="auto"/>
                                                        <w:left w:val="none" w:sz="0" w:space="0" w:color="auto"/>
                                                        <w:bottom w:val="none" w:sz="0" w:space="0" w:color="auto"/>
                                                        <w:right w:val="none" w:sz="0" w:space="0" w:color="auto"/>
                                                      </w:divBdr>
                                                    </w:div>
                                                    <w:div w:id="1838305084">
                                                      <w:marLeft w:val="0"/>
                                                      <w:marRight w:val="0"/>
                                                      <w:marTop w:val="0"/>
                                                      <w:marBottom w:val="0"/>
                                                      <w:divBdr>
                                                        <w:top w:val="none" w:sz="0" w:space="0" w:color="auto"/>
                                                        <w:left w:val="none" w:sz="0" w:space="0" w:color="auto"/>
                                                        <w:bottom w:val="none" w:sz="0" w:space="0" w:color="auto"/>
                                                        <w:right w:val="none" w:sz="0" w:space="0" w:color="auto"/>
                                                      </w:divBdr>
                                                    </w:div>
                                                    <w:div w:id="1947615871">
                                                      <w:marLeft w:val="0"/>
                                                      <w:marRight w:val="0"/>
                                                      <w:marTop w:val="0"/>
                                                      <w:marBottom w:val="0"/>
                                                      <w:divBdr>
                                                        <w:top w:val="none" w:sz="0" w:space="0" w:color="auto"/>
                                                        <w:left w:val="none" w:sz="0" w:space="0" w:color="auto"/>
                                                        <w:bottom w:val="none" w:sz="0" w:space="0" w:color="auto"/>
                                                        <w:right w:val="none" w:sz="0" w:space="0" w:color="auto"/>
                                                      </w:divBdr>
                                                    </w:div>
                                                    <w:div w:id="20590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5227566">
      <w:bodyDiv w:val="1"/>
      <w:marLeft w:val="0"/>
      <w:marRight w:val="0"/>
      <w:marTop w:val="0"/>
      <w:marBottom w:val="0"/>
      <w:divBdr>
        <w:top w:val="none" w:sz="0" w:space="0" w:color="auto"/>
        <w:left w:val="none" w:sz="0" w:space="0" w:color="auto"/>
        <w:bottom w:val="none" w:sz="0" w:space="0" w:color="auto"/>
        <w:right w:val="none" w:sz="0" w:space="0" w:color="auto"/>
      </w:divBdr>
    </w:div>
    <w:div w:id="484784088">
      <w:bodyDiv w:val="1"/>
      <w:marLeft w:val="0"/>
      <w:marRight w:val="0"/>
      <w:marTop w:val="0"/>
      <w:marBottom w:val="0"/>
      <w:divBdr>
        <w:top w:val="none" w:sz="0" w:space="0" w:color="auto"/>
        <w:left w:val="none" w:sz="0" w:space="0" w:color="auto"/>
        <w:bottom w:val="none" w:sz="0" w:space="0" w:color="auto"/>
        <w:right w:val="none" w:sz="0" w:space="0" w:color="auto"/>
      </w:divBdr>
    </w:div>
    <w:div w:id="603923395">
      <w:bodyDiv w:val="1"/>
      <w:marLeft w:val="0"/>
      <w:marRight w:val="0"/>
      <w:marTop w:val="0"/>
      <w:marBottom w:val="0"/>
      <w:divBdr>
        <w:top w:val="none" w:sz="0" w:space="0" w:color="auto"/>
        <w:left w:val="none" w:sz="0" w:space="0" w:color="auto"/>
        <w:bottom w:val="none" w:sz="0" w:space="0" w:color="auto"/>
        <w:right w:val="none" w:sz="0" w:space="0" w:color="auto"/>
      </w:divBdr>
    </w:div>
    <w:div w:id="771895036">
      <w:bodyDiv w:val="1"/>
      <w:marLeft w:val="0"/>
      <w:marRight w:val="0"/>
      <w:marTop w:val="0"/>
      <w:marBottom w:val="0"/>
      <w:divBdr>
        <w:top w:val="none" w:sz="0" w:space="0" w:color="auto"/>
        <w:left w:val="none" w:sz="0" w:space="0" w:color="auto"/>
        <w:bottom w:val="none" w:sz="0" w:space="0" w:color="auto"/>
        <w:right w:val="none" w:sz="0" w:space="0" w:color="auto"/>
      </w:divBdr>
      <w:divsChild>
        <w:div w:id="1156073525">
          <w:marLeft w:val="0"/>
          <w:marRight w:val="0"/>
          <w:marTop w:val="0"/>
          <w:marBottom w:val="0"/>
          <w:divBdr>
            <w:top w:val="none" w:sz="0" w:space="0" w:color="auto"/>
            <w:left w:val="none" w:sz="0" w:space="0" w:color="auto"/>
            <w:bottom w:val="none" w:sz="0" w:space="0" w:color="auto"/>
            <w:right w:val="none" w:sz="0" w:space="0" w:color="auto"/>
          </w:divBdr>
          <w:divsChild>
            <w:div w:id="2005816408">
              <w:marLeft w:val="0"/>
              <w:marRight w:val="0"/>
              <w:marTop w:val="0"/>
              <w:marBottom w:val="0"/>
              <w:divBdr>
                <w:top w:val="single" w:sz="24" w:space="5" w:color="602320"/>
                <w:left w:val="none" w:sz="0" w:space="0" w:color="auto"/>
                <w:bottom w:val="none" w:sz="0" w:space="0" w:color="auto"/>
                <w:right w:val="none" w:sz="0" w:space="0" w:color="auto"/>
              </w:divBdr>
              <w:divsChild>
                <w:div w:id="1464932500">
                  <w:marLeft w:val="0"/>
                  <w:marRight w:val="0"/>
                  <w:marTop w:val="0"/>
                  <w:marBottom w:val="0"/>
                  <w:divBdr>
                    <w:top w:val="none" w:sz="0" w:space="0" w:color="auto"/>
                    <w:left w:val="none" w:sz="0" w:space="0" w:color="auto"/>
                    <w:bottom w:val="none" w:sz="0" w:space="0" w:color="auto"/>
                    <w:right w:val="none" w:sz="0" w:space="0" w:color="auto"/>
                  </w:divBdr>
                  <w:divsChild>
                    <w:div w:id="1954046852">
                      <w:marLeft w:val="0"/>
                      <w:marRight w:val="0"/>
                      <w:marTop w:val="0"/>
                      <w:marBottom w:val="0"/>
                      <w:divBdr>
                        <w:top w:val="none" w:sz="0" w:space="0" w:color="auto"/>
                        <w:left w:val="none" w:sz="0" w:space="0" w:color="auto"/>
                        <w:bottom w:val="none" w:sz="0" w:space="0" w:color="auto"/>
                        <w:right w:val="none" w:sz="0" w:space="0" w:color="auto"/>
                      </w:divBdr>
                      <w:divsChild>
                        <w:div w:id="1314941826">
                          <w:marLeft w:val="0"/>
                          <w:marRight w:val="0"/>
                          <w:marTop w:val="0"/>
                          <w:marBottom w:val="0"/>
                          <w:divBdr>
                            <w:top w:val="none" w:sz="0" w:space="0" w:color="auto"/>
                            <w:left w:val="none" w:sz="0" w:space="0" w:color="auto"/>
                            <w:bottom w:val="none" w:sz="0" w:space="0" w:color="auto"/>
                            <w:right w:val="none" w:sz="0" w:space="0" w:color="auto"/>
                          </w:divBdr>
                          <w:divsChild>
                            <w:div w:id="352848915">
                              <w:marLeft w:val="0"/>
                              <w:marRight w:val="0"/>
                              <w:marTop w:val="0"/>
                              <w:marBottom w:val="240"/>
                              <w:divBdr>
                                <w:top w:val="none" w:sz="0" w:space="0" w:color="auto"/>
                                <w:left w:val="none" w:sz="0" w:space="0" w:color="auto"/>
                                <w:bottom w:val="none" w:sz="0" w:space="0" w:color="auto"/>
                                <w:right w:val="none" w:sz="0" w:space="0" w:color="auto"/>
                              </w:divBdr>
                              <w:divsChild>
                                <w:div w:id="136849435">
                                  <w:marLeft w:val="0"/>
                                  <w:marRight w:val="0"/>
                                  <w:marTop w:val="0"/>
                                  <w:marBottom w:val="0"/>
                                  <w:divBdr>
                                    <w:top w:val="none" w:sz="0" w:space="0" w:color="auto"/>
                                    <w:left w:val="none" w:sz="0" w:space="0" w:color="auto"/>
                                    <w:bottom w:val="none" w:sz="0" w:space="0" w:color="auto"/>
                                    <w:right w:val="none" w:sz="0" w:space="0" w:color="auto"/>
                                  </w:divBdr>
                                  <w:divsChild>
                                    <w:div w:id="996760879">
                                      <w:marLeft w:val="0"/>
                                      <w:marRight w:val="0"/>
                                      <w:marTop w:val="0"/>
                                      <w:marBottom w:val="0"/>
                                      <w:divBdr>
                                        <w:top w:val="none" w:sz="0" w:space="0" w:color="auto"/>
                                        <w:left w:val="none" w:sz="0" w:space="0" w:color="auto"/>
                                        <w:bottom w:val="none" w:sz="0" w:space="0" w:color="auto"/>
                                        <w:right w:val="none" w:sz="0" w:space="0" w:color="auto"/>
                                      </w:divBdr>
                                      <w:divsChild>
                                        <w:div w:id="942419873">
                                          <w:marLeft w:val="0"/>
                                          <w:marRight w:val="0"/>
                                          <w:marTop w:val="0"/>
                                          <w:marBottom w:val="0"/>
                                          <w:divBdr>
                                            <w:top w:val="none" w:sz="0" w:space="0" w:color="auto"/>
                                            <w:left w:val="none" w:sz="0" w:space="0" w:color="auto"/>
                                            <w:bottom w:val="none" w:sz="0" w:space="0" w:color="auto"/>
                                            <w:right w:val="none" w:sz="0" w:space="0" w:color="auto"/>
                                          </w:divBdr>
                                          <w:divsChild>
                                            <w:div w:id="832139987">
                                              <w:marLeft w:val="0"/>
                                              <w:marRight w:val="0"/>
                                              <w:marTop w:val="0"/>
                                              <w:marBottom w:val="0"/>
                                              <w:divBdr>
                                                <w:top w:val="none" w:sz="0" w:space="0" w:color="auto"/>
                                                <w:left w:val="none" w:sz="0" w:space="0" w:color="auto"/>
                                                <w:bottom w:val="none" w:sz="0" w:space="0" w:color="auto"/>
                                                <w:right w:val="none" w:sz="0" w:space="0" w:color="auto"/>
                                              </w:divBdr>
                                              <w:divsChild>
                                                <w:div w:id="880243226">
                                                  <w:marLeft w:val="0"/>
                                                  <w:marRight w:val="0"/>
                                                  <w:marTop w:val="0"/>
                                                  <w:marBottom w:val="0"/>
                                                  <w:divBdr>
                                                    <w:top w:val="none" w:sz="0" w:space="0" w:color="auto"/>
                                                    <w:left w:val="none" w:sz="0" w:space="0" w:color="auto"/>
                                                    <w:bottom w:val="none" w:sz="0" w:space="0" w:color="auto"/>
                                                    <w:right w:val="none" w:sz="0" w:space="0" w:color="auto"/>
                                                  </w:divBdr>
                                                  <w:divsChild>
                                                    <w:div w:id="963580647">
                                                      <w:marLeft w:val="0"/>
                                                      <w:marRight w:val="0"/>
                                                      <w:marTop w:val="0"/>
                                                      <w:marBottom w:val="0"/>
                                                      <w:divBdr>
                                                        <w:top w:val="single" w:sz="2" w:space="0" w:color="auto"/>
                                                        <w:left w:val="single" w:sz="6" w:space="0" w:color="auto"/>
                                                        <w:bottom w:val="single" w:sz="6" w:space="0" w:color="auto"/>
                                                        <w:right w:val="single" w:sz="6" w:space="0" w:color="auto"/>
                                                      </w:divBdr>
                                                    </w:div>
                                                  </w:divsChild>
                                                </w:div>
                                                <w:div w:id="1846941142">
                                                  <w:marLeft w:val="0"/>
                                                  <w:marRight w:val="0"/>
                                                  <w:marTop w:val="0"/>
                                                  <w:marBottom w:val="0"/>
                                                  <w:divBdr>
                                                    <w:top w:val="none" w:sz="0" w:space="0" w:color="auto"/>
                                                    <w:left w:val="none" w:sz="0" w:space="0" w:color="auto"/>
                                                    <w:bottom w:val="none" w:sz="0" w:space="0" w:color="auto"/>
                                                    <w:right w:val="none" w:sz="0" w:space="0" w:color="auto"/>
                                                  </w:divBdr>
                                                  <w:divsChild>
                                                    <w:div w:id="1344165286">
                                                      <w:marLeft w:val="0"/>
                                                      <w:marRight w:val="0"/>
                                                      <w:marTop w:val="0"/>
                                                      <w:marBottom w:val="0"/>
                                                      <w:divBdr>
                                                        <w:top w:val="single" w:sz="2" w:space="0" w:color="auto"/>
                                                        <w:left w:val="single" w:sz="6" w:space="0" w:color="auto"/>
                                                        <w:bottom w:val="single" w:sz="6" w:space="0" w:color="auto"/>
                                                        <w:right w:val="single" w:sz="6" w:space="0" w:color="auto"/>
                                                      </w:divBdr>
                                                      <w:divsChild>
                                                        <w:div w:id="823085994">
                                                          <w:marLeft w:val="0"/>
                                                          <w:marRight w:val="0"/>
                                                          <w:marTop w:val="0"/>
                                                          <w:marBottom w:val="0"/>
                                                          <w:divBdr>
                                                            <w:top w:val="none" w:sz="0" w:space="0" w:color="auto"/>
                                                            <w:left w:val="none" w:sz="0" w:space="0" w:color="auto"/>
                                                            <w:bottom w:val="none" w:sz="0" w:space="0" w:color="auto"/>
                                                            <w:right w:val="none" w:sz="0" w:space="0" w:color="auto"/>
                                                          </w:divBdr>
                                                        </w:div>
                                                        <w:div w:id="1717044774">
                                                          <w:marLeft w:val="0"/>
                                                          <w:marRight w:val="0"/>
                                                          <w:marTop w:val="0"/>
                                                          <w:marBottom w:val="0"/>
                                                          <w:divBdr>
                                                            <w:top w:val="none" w:sz="0" w:space="0" w:color="auto"/>
                                                            <w:left w:val="none" w:sz="0" w:space="0" w:color="auto"/>
                                                            <w:bottom w:val="none" w:sz="0" w:space="0" w:color="auto"/>
                                                            <w:right w:val="none" w:sz="0" w:space="0" w:color="auto"/>
                                                          </w:divBdr>
                                                        </w:div>
                                                        <w:div w:id="199020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89085350">
      <w:bodyDiv w:val="1"/>
      <w:marLeft w:val="0"/>
      <w:marRight w:val="0"/>
      <w:marTop w:val="0"/>
      <w:marBottom w:val="0"/>
      <w:divBdr>
        <w:top w:val="none" w:sz="0" w:space="0" w:color="auto"/>
        <w:left w:val="none" w:sz="0" w:space="0" w:color="auto"/>
        <w:bottom w:val="none" w:sz="0" w:space="0" w:color="auto"/>
        <w:right w:val="none" w:sz="0" w:space="0" w:color="auto"/>
      </w:divBdr>
      <w:divsChild>
        <w:div w:id="1858496027">
          <w:marLeft w:val="0"/>
          <w:marRight w:val="0"/>
          <w:marTop w:val="0"/>
          <w:marBottom w:val="0"/>
          <w:divBdr>
            <w:top w:val="none" w:sz="0" w:space="0" w:color="auto"/>
            <w:left w:val="none" w:sz="0" w:space="0" w:color="auto"/>
            <w:bottom w:val="none" w:sz="0" w:space="0" w:color="auto"/>
            <w:right w:val="none" w:sz="0" w:space="0" w:color="auto"/>
          </w:divBdr>
          <w:divsChild>
            <w:div w:id="1990939920">
              <w:marLeft w:val="0"/>
              <w:marRight w:val="0"/>
              <w:marTop w:val="0"/>
              <w:marBottom w:val="0"/>
              <w:divBdr>
                <w:top w:val="single" w:sz="24" w:space="5" w:color="602320"/>
                <w:left w:val="none" w:sz="0" w:space="0" w:color="auto"/>
                <w:bottom w:val="none" w:sz="0" w:space="0" w:color="auto"/>
                <w:right w:val="none" w:sz="0" w:space="0" w:color="auto"/>
              </w:divBdr>
              <w:divsChild>
                <w:div w:id="207180338">
                  <w:marLeft w:val="0"/>
                  <w:marRight w:val="0"/>
                  <w:marTop w:val="0"/>
                  <w:marBottom w:val="0"/>
                  <w:divBdr>
                    <w:top w:val="none" w:sz="0" w:space="0" w:color="auto"/>
                    <w:left w:val="none" w:sz="0" w:space="0" w:color="auto"/>
                    <w:bottom w:val="none" w:sz="0" w:space="0" w:color="auto"/>
                    <w:right w:val="none" w:sz="0" w:space="0" w:color="auto"/>
                  </w:divBdr>
                  <w:divsChild>
                    <w:div w:id="1050568381">
                      <w:marLeft w:val="0"/>
                      <w:marRight w:val="0"/>
                      <w:marTop w:val="0"/>
                      <w:marBottom w:val="0"/>
                      <w:divBdr>
                        <w:top w:val="none" w:sz="0" w:space="0" w:color="auto"/>
                        <w:left w:val="none" w:sz="0" w:space="0" w:color="auto"/>
                        <w:bottom w:val="none" w:sz="0" w:space="0" w:color="auto"/>
                        <w:right w:val="none" w:sz="0" w:space="0" w:color="auto"/>
                      </w:divBdr>
                      <w:divsChild>
                        <w:div w:id="434905279">
                          <w:marLeft w:val="0"/>
                          <w:marRight w:val="0"/>
                          <w:marTop w:val="0"/>
                          <w:marBottom w:val="0"/>
                          <w:divBdr>
                            <w:top w:val="none" w:sz="0" w:space="0" w:color="auto"/>
                            <w:left w:val="none" w:sz="0" w:space="0" w:color="auto"/>
                            <w:bottom w:val="none" w:sz="0" w:space="0" w:color="auto"/>
                            <w:right w:val="none" w:sz="0" w:space="0" w:color="auto"/>
                          </w:divBdr>
                          <w:divsChild>
                            <w:div w:id="261228041">
                              <w:marLeft w:val="0"/>
                              <w:marRight w:val="0"/>
                              <w:marTop w:val="0"/>
                              <w:marBottom w:val="240"/>
                              <w:divBdr>
                                <w:top w:val="none" w:sz="0" w:space="0" w:color="auto"/>
                                <w:left w:val="none" w:sz="0" w:space="0" w:color="auto"/>
                                <w:bottom w:val="none" w:sz="0" w:space="0" w:color="auto"/>
                                <w:right w:val="none" w:sz="0" w:space="0" w:color="auto"/>
                              </w:divBdr>
                              <w:divsChild>
                                <w:div w:id="783309520">
                                  <w:marLeft w:val="0"/>
                                  <w:marRight w:val="0"/>
                                  <w:marTop w:val="0"/>
                                  <w:marBottom w:val="0"/>
                                  <w:divBdr>
                                    <w:top w:val="none" w:sz="0" w:space="0" w:color="auto"/>
                                    <w:left w:val="none" w:sz="0" w:space="0" w:color="auto"/>
                                    <w:bottom w:val="none" w:sz="0" w:space="0" w:color="auto"/>
                                    <w:right w:val="none" w:sz="0" w:space="0" w:color="auto"/>
                                  </w:divBdr>
                                  <w:divsChild>
                                    <w:div w:id="379014744">
                                      <w:marLeft w:val="0"/>
                                      <w:marRight w:val="0"/>
                                      <w:marTop w:val="0"/>
                                      <w:marBottom w:val="0"/>
                                      <w:divBdr>
                                        <w:top w:val="none" w:sz="0" w:space="0" w:color="auto"/>
                                        <w:left w:val="none" w:sz="0" w:space="0" w:color="auto"/>
                                        <w:bottom w:val="none" w:sz="0" w:space="0" w:color="auto"/>
                                        <w:right w:val="none" w:sz="0" w:space="0" w:color="auto"/>
                                      </w:divBdr>
                                      <w:divsChild>
                                        <w:div w:id="1050106306">
                                          <w:marLeft w:val="0"/>
                                          <w:marRight w:val="0"/>
                                          <w:marTop w:val="0"/>
                                          <w:marBottom w:val="0"/>
                                          <w:divBdr>
                                            <w:top w:val="none" w:sz="0" w:space="0" w:color="auto"/>
                                            <w:left w:val="none" w:sz="0" w:space="0" w:color="auto"/>
                                            <w:bottom w:val="none" w:sz="0" w:space="0" w:color="auto"/>
                                            <w:right w:val="none" w:sz="0" w:space="0" w:color="auto"/>
                                          </w:divBdr>
                                          <w:divsChild>
                                            <w:div w:id="132984777">
                                              <w:marLeft w:val="0"/>
                                              <w:marRight w:val="0"/>
                                              <w:marTop w:val="0"/>
                                              <w:marBottom w:val="0"/>
                                              <w:divBdr>
                                                <w:top w:val="none" w:sz="0" w:space="0" w:color="auto"/>
                                                <w:left w:val="none" w:sz="0" w:space="0" w:color="auto"/>
                                                <w:bottom w:val="none" w:sz="0" w:space="0" w:color="auto"/>
                                                <w:right w:val="none" w:sz="0" w:space="0" w:color="auto"/>
                                              </w:divBdr>
                                              <w:divsChild>
                                                <w:div w:id="394167">
                                                  <w:marLeft w:val="0"/>
                                                  <w:marRight w:val="0"/>
                                                  <w:marTop w:val="0"/>
                                                  <w:marBottom w:val="0"/>
                                                  <w:divBdr>
                                                    <w:top w:val="none" w:sz="0" w:space="0" w:color="auto"/>
                                                    <w:left w:val="none" w:sz="0" w:space="0" w:color="auto"/>
                                                    <w:bottom w:val="none" w:sz="0" w:space="0" w:color="auto"/>
                                                    <w:right w:val="none" w:sz="0" w:space="0" w:color="auto"/>
                                                  </w:divBdr>
                                                </w:div>
                                                <w:div w:id="975842110">
                                                  <w:marLeft w:val="0"/>
                                                  <w:marRight w:val="0"/>
                                                  <w:marTop w:val="0"/>
                                                  <w:marBottom w:val="0"/>
                                                  <w:divBdr>
                                                    <w:top w:val="none" w:sz="0" w:space="0" w:color="auto"/>
                                                    <w:left w:val="none" w:sz="0" w:space="0" w:color="auto"/>
                                                    <w:bottom w:val="none" w:sz="0" w:space="0" w:color="auto"/>
                                                    <w:right w:val="none" w:sz="0" w:space="0" w:color="auto"/>
                                                  </w:divBdr>
                                                  <w:divsChild>
                                                    <w:div w:id="1660114675">
                                                      <w:marLeft w:val="0"/>
                                                      <w:marRight w:val="0"/>
                                                      <w:marTop w:val="0"/>
                                                      <w:marBottom w:val="0"/>
                                                      <w:divBdr>
                                                        <w:top w:val="single" w:sz="2" w:space="0" w:color="auto"/>
                                                        <w:left w:val="single" w:sz="6" w:space="0" w:color="auto"/>
                                                        <w:bottom w:val="single" w:sz="6" w:space="0" w:color="auto"/>
                                                        <w:right w:val="single" w:sz="6" w:space="0" w:color="auto"/>
                                                      </w:divBdr>
                                                    </w:div>
                                                  </w:divsChild>
                                                </w:div>
                                                <w:div w:id="1682462645">
                                                  <w:marLeft w:val="0"/>
                                                  <w:marRight w:val="0"/>
                                                  <w:marTop w:val="0"/>
                                                  <w:marBottom w:val="0"/>
                                                  <w:divBdr>
                                                    <w:top w:val="none" w:sz="0" w:space="0" w:color="auto"/>
                                                    <w:left w:val="none" w:sz="0" w:space="0" w:color="auto"/>
                                                    <w:bottom w:val="none" w:sz="0" w:space="0" w:color="auto"/>
                                                    <w:right w:val="none" w:sz="0" w:space="0" w:color="auto"/>
                                                  </w:divBdr>
                                                  <w:divsChild>
                                                    <w:div w:id="492571368">
                                                      <w:marLeft w:val="0"/>
                                                      <w:marRight w:val="0"/>
                                                      <w:marTop w:val="0"/>
                                                      <w:marBottom w:val="0"/>
                                                      <w:divBdr>
                                                        <w:top w:val="single" w:sz="2"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sChild>
                </w:div>
              </w:divsChild>
            </w:div>
          </w:divsChild>
        </w:div>
      </w:divsChild>
    </w:div>
    <w:div w:id="883103341">
      <w:bodyDiv w:val="1"/>
      <w:marLeft w:val="0"/>
      <w:marRight w:val="0"/>
      <w:marTop w:val="0"/>
      <w:marBottom w:val="0"/>
      <w:divBdr>
        <w:top w:val="none" w:sz="0" w:space="0" w:color="auto"/>
        <w:left w:val="none" w:sz="0" w:space="0" w:color="auto"/>
        <w:bottom w:val="none" w:sz="0" w:space="0" w:color="auto"/>
        <w:right w:val="none" w:sz="0" w:space="0" w:color="auto"/>
      </w:divBdr>
      <w:divsChild>
        <w:div w:id="659236778">
          <w:marLeft w:val="360"/>
          <w:marRight w:val="0"/>
          <w:marTop w:val="0"/>
          <w:marBottom w:val="240"/>
          <w:divBdr>
            <w:top w:val="none" w:sz="0" w:space="0" w:color="auto"/>
            <w:left w:val="none" w:sz="0" w:space="0" w:color="auto"/>
            <w:bottom w:val="none" w:sz="0" w:space="0" w:color="auto"/>
            <w:right w:val="none" w:sz="0" w:space="0" w:color="auto"/>
          </w:divBdr>
        </w:div>
        <w:div w:id="1838686005">
          <w:marLeft w:val="360"/>
          <w:marRight w:val="0"/>
          <w:marTop w:val="0"/>
          <w:marBottom w:val="240"/>
          <w:divBdr>
            <w:top w:val="none" w:sz="0" w:space="0" w:color="auto"/>
            <w:left w:val="none" w:sz="0" w:space="0" w:color="auto"/>
            <w:bottom w:val="none" w:sz="0" w:space="0" w:color="auto"/>
            <w:right w:val="none" w:sz="0" w:space="0" w:color="auto"/>
          </w:divBdr>
        </w:div>
        <w:div w:id="2137064765">
          <w:marLeft w:val="360"/>
          <w:marRight w:val="0"/>
          <w:marTop w:val="0"/>
          <w:marBottom w:val="240"/>
          <w:divBdr>
            <w:top w:val="none" w:sz="0" w:space="0" w:color="auto"/>
            <w:left w:val="none" w:sz="0" w:space="0" w:color="auto"/>
            <w:bottom w:val="none" w:sz="0" w:space="0" w:color="auto"/>
            <w:right w:val="none" w:sz="0" w:space="0" w:color="auto"/>
          </w:divBdr>
        </w:div>
      </w:divsChild>
    </w:div>
    <w:div w:id="926353329">
      <w:bodyDiv w:val="1"/>
      <w:marLeft w:val="0"/>
      <w:marRight w:val="375"/>
      <w:marTop w:val="0"/>
      <w:marBottom w:val="0"/>
      <w:divBdr>
        <w:top w:val="none" w:sz="0" w:space="0" w:color="auto"/>
        <w:left w:val="none" w:sz="0" w:space="0" w:color="auto"/>
        <w:bottom w:val="none" w:sz="0" w:space="0" w:color="auto"/>
        <w:right w:val="none" w:sz="0" w:space="0" w:color="auto"/>
      </w:divBdr>
      <w:divsChild>
        <w:div w:id="1624187891">
          <w:marLeft w:val="0"/>
          <w:marRight w:val="0"/>
          <w:marTop w:val="0"/>
          <w:marBottom w:val="0"/>
          <w:divBdr>
            <w:top w:val="none" w:sz="0" w:space="0" w:color="auto"/>
            <w:left w:val="none" w:sz="0" w:space="0" w:color="auto"/>
            <w:bottom w:val="none" w:sz="0" w:space="0" w:color="auto"/>
            <w:right w:val="none" w:sz="0" w:space="0" w:color="auto"/>
          </w:divBdr>
        </w:div>
      </w:divsChild>
    </w:div>
    <w:div w:id="968366638">
      <w:bodyDiv w:val="1"/>
      <w:marLeft w:val="0"/>
      <w:marRight w:val="0"/>
      <w:marTop w:val="0"/>
      <w:marBottom w:val="0"/>
      <w:divBdr>
        <w:top w:val="none" w:sz="0" w:space="0" w:color="auto"/>
        <w:left w:val="none" w:sz="0" w:space="0" w:color="auto"/>
        <w:bottom w:val="none" w:sz="0" w:space="0" w:color="auto"/>
        <w:right w:val="none" w:sz="0" w:space="0" w:color="auto"/>
      </w:divBdr>
      <w:divsChild>
        <w:div w:id="984048031">
          <w:marLeft w:val="0"/>
          <w:marRight w:val="0"/>
          <w:marTop w:val="0"/>
          <w:marBottom w:val="0"/>
          <w:divBdr>
            <w:top w:val="none" w:sz="0" w:space="0" w:color="auto"/>
            <w:left w:val="none" w:sz="0" w:space="0" w:color="auto"/>
            <w:bottom w:val="none" w:sz="0" w:space="0" w:color="auto"/>
            <w:right w:val="none" w:sz="0" w:space="0" w:color="auto"/>
          </w:divBdr>
          <w:divsChild>
            <w:div w:id="1264147270">
              <w:marLeft w:val="0"/>
              <w:marRight w:val="0"/>
              <w:marTop w:val="0"/>
              <w:marBottom w:val="0"/>
              <w:divBdr>
                <w:top w:val="single" w:sz="24" w:space="5" w:color="602320"/>
                <w:left w:val="none" w:sz="0" w:space="0" w:color="auto"/>
                <w:bottom w:val="none" w:sz="0" w:space="0" w:color="auto"/>
                <w:right w:val="none" w:sz="0" w:space="0" w:color="auto"/>
              </w:divBdr>
              <w:divsChild>
                <w:div w:id="1370765001">
                  <w:marLeft w:val="0"/>
                  <w:marRight w:val="0"/>
                  <w:marTop w:val="0"/>
                  <w:marBottom w:val="0"/>
                  <w:divBdr>
                    <w:top w:val="none" w:sz="0" w:space="0" w:color="auto"/>
                    <w:left w:val="none" w:sz="0" w:space="0" w:color="auto"/>
                    <w:bottom w:val="none" w:sz="0" w:space="0" w:color="auto"/>
                    <w:right w:val="none" w:sz="0" w:space="0" w:color="auto"/>
                  </w:divBdr>
                  <w:divsChild>
                    <w:div w:id="2129926124">
                      <w:marLeft w:val="0"/>
                      <w:marRight w:val="0"/>
                      <w:marTop w:val="0"/>
                      <w:marBottom w:val="0"/>
                      <w:divBdr>
                        <w:top w:val="none" w:sz="0" w:space="0" w:color="auto"/>
                        <w:left w:val="none" w:sz="0" w:space="0" w:color="auto"/>
                        <w:bottom w:val="none" w:sz="0" w:space="0" w:color="auto"/>
                        <w:right w:val="none" w:sz="0" w:space="0" w:color="auto"/>
                      </w:divBdr>
                      <w:divsChild>
                        <w:div w:id="128674640">
                          <w:marLeft w:val="0"/>
                          <w:marRight w:val="0"/>
                          <w:marTop w:val="0"/>
                          <w:marBottom w:val="0"/>
                          <w:divBdr>
                            <w:top w:val="none" w:sz="0" w:space="0" w:color="auto"/>
                            <w:left w:val="none" w:sz="0" w:space="0" w:color="auto"/>
                            <w:bottom w:val="none" w:sz="0" w:space="0" w:color="auto"/>
                            <w:right w:val="none" w:sz="0" w:space="0" w:color="auto"/>
                          </w:divBdr>
                          <w:divsChild>
                            <w:div w:id="262762444">
                              <w:marLeft w:val="0"/>
                              <w:marRight w:val="0"/>
                              <w:marTop w:val="0"/>
                              <w:marBottom w:val="240"/>
                              <w:divBdr>
                                <w:top w:val="none" w:sz="0" w:space="0" w:color="auto"/>
                                <w:left w:val="none" w:sz="0" w:space="0" w:color="auto"/>
                                <w:bottom w:val="none" w:sz="0" w:space="0" w:color="auto"/>
                                <w:right w:val="none" w:sz="0" w:space="0" w:color="auto"/>
                              </w:divBdr>
                              <w:divsChild>
                                <w:div w:id="407845062">
                                  <w:marLeft w:val="0"/>
                                  <w:marRight w:val="0"/>
                                  <w:marTop w:val="0"/>
                                  <w:marBottom w:val="0"/>
                                  <w:divBdr>
                                    <w:top w:val="none" w:sz="0" w:space="0" w:color="auto"/>
                                    <w:left w:val="none" w:sz="0" w:space="0" w:color="auto"/>
                                    <w:bottom w:val="none" w:sz="0" w:space="0" w:color="auto"/>
                                    <w:right w:val="none" w:sz="0" w:space="0" w:color="auto"/>
                                  </w:divBdr>
                                  <w:divsChild>
                                    <w:div w:id="1165587571">
                                      <w:marLeft w:val="0"/>
                                      <w:marRight w:val="0"/>
                                      <w:marTop w:val="0"/>
                                      <w:marBottom w:val="0"/>
                                      <w:divBdr>
                                        <w:top w:val="none" w:sz="0" w:space="0" w:color="auto"/>
                                        <w:left w:val="none" w:sz="0" w:space="0" w:color="auto"/>
                                        <w:bottom w:val="none" w:sz="0" w:space="0" w:color="auto"/>
                                        <w:right w:val="none" w:sz="0" w:space="0" w:color="auto"/>
                                      </w:divBdr>
                                      <w:divsChild>
                                        <w:div w:id="952057835">
                                          <w:marLeft w:val="0"/>
                                          <w:marRight w:val="0"/>
                                          <w:marTop w:val="0"/>
                                          <w:marBottom w:val="0"/>
                                          <w:divBdr>
                                            <w:top w:val="none" w:sz="0" w:space="0" w:color="auto"/>
                                            <w:left w:val="none" w:sz="0" w:space="0" w:color="auto"/>
                                            <w:bottom w:val="none" w:sz="0" w:space="0" w:color="auto"/>
                                            <w:right w:val="none" w:sz="0" w:space="0" w:color="auto"/>
                                          </w:divBdr>
                                          <w:divsChild>
                                            <w:div w:id="1993217140">
                                              <w:marLeft w:val="0"/>
                                              <w:marRight w:val="0"/>
                                              <w:marTop w:val="0"/>
                                              <w:marBottom w:val="0"/>
                                              <w:divBdr>
                                                <w:top w:val="none" w:sz="0" w:space="0" w:color="auto"/>
                                                <w:left w:val="none" w:sz="0" w:space="0" w:color="auto"/>
                                                <w:bottom w:val="none" w:sz="0" w:space="0" w:color="auto"/>
                                                <w:right w:val="none" w:sz="0" w:space="0" w:color="auto"/>
                                              </w:divBdr>
                                              <w:divsChild>
                                                <w:div w:id="196627955">
                                                  <w:marLeft w:val="0"/>
                                                  <w:marRight w:val="0"/>
                                                  <w:marTop w:val="0"/>
                                                  <w:marBottom w:val="0"/>
                                                  <w:divBdr>
                                                    <w:top w:val="none" w:sz="0" w:space="0" w:color="auto"/>
                                                    <w:left w:val="none" w:sz="0" w:space="0" w:color="auto"/>
                                                    <w:bottom w:val="none" w:sz="0" w:space="0" w:color="auto"/>
                                                    <w:right w:val="none" w:sz="0" w:space="0" w:color="auto"/>
                                                  </w:divBdr>
                                                  <w:divsChild>
                                                    <w:div w:id="103578126">
                                                      <w:marLeft w:val="0"/>
                                                      <w:marRight w:val="0"/>
                                                      <w:marTop w:val="0"/>
                                                      <w:marBottom w:val="0"/>
                                                      <w:divBdr>
                                                        <w:top w:val="single" w:sz="2" w:space="0" w:color="auto"/>
                                                        <w:left w:val="single" w:sz="6" w:space="0" w:color="auto"/>
                                                        <w:bottom w:val="single" w:sz="6" w:space="0" w:color="auto"/>
                                                        <w:right w:val="single" w:sz="6" w:space="0" w:color="auto"/>
                                                      </w:divBdr>
                                                    </w:div>
                                                  </w:divsChild>
                                                </w:div>
                                                <w:div w:id="1145007762">
                                                  <w:marLeft w:val="0"/>
                                                  <w:marRight w:val="0"/>
                                                  <w:marTop w:val="0"/>
                                                  <w:marBottom w:val="0"/>
                                                  <w:divBdr>
                                                    <w:top w:val="none" w:sz="0" w:space="0" w:color="auto"/>
                                                    <w:left w:val="none" w:sz="0" w:space="0" w:color="auto"/>
                                                    <w:bottom w:val="none" w:sz="0" w:space="0" w:color="auto"/>
                                                    <w:right w:val="none" w:sz="0" w:space="0" w:color="auto"/>
                                                  </w:divBdr>
                                                  <w:divsChild>
                                                    <w:div w:id="559175464">
                                                      <w:marLeft w:val="0"/>
                                                      <w:marRight w:val="0"/>
                                                      <w:marTop w:val="0"/>
                                                      <w:marBottom w:val="0"/>
                                                      <w:divBdr>
                                                        <w:top w:val="single" w:sz="2" w:space="0" w:color="auto"/>
                                                        <w:left w:val="single" w:sz="6" w:space="0" w:color="auto"/>
                                                        <w:bottom w:val="single" w:sz="6" w:space="0" w:color="auto"/>
                                                        <w:right w:val="single" w:sz="6" w:space="0" w:color="auto"/>
                                                      </w:divBdr>
                                                      <w:divsChild>
                                                        <w:div w:id="120652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3290063">
      <w:bodyDiv w:val="1"/>
      <w:marLeft w:val="0"/>
      <w:marRight w:val="0"/>
      <w:marTop w:val="0"/>
      <w:marBottom w:val="0"/>
      <w:divBdr>
        <w:top w:val="none" w:sz="0" w:space="0" w:color="auto"/>
        <w:left w:val="none" w:sz="0" w:space="0" w:color="auto"/>
        <w:bottom w:val="none" w:sz="0" w:space="0" w:color="auto"/>
        <w:right w:val="none" w:sz="0" w:space="0" w:color="auto"/>
      </w:divBdr>
    </w:div>
    <w:div w:id="1086421066">
      <w:bodyDiv w:val="1"/>
      <w:marLeft w:val="0"/>
      <w:marRight w:val="375"/>
      <w:marTop w:val="0"/>
      <w:marBottom w:val="0"/>
      <w:divBdr>
        <w:top w:val="none" w:sz="0" w:space="0" w:color="auto"/>
        <w:left w:val="none" w:sz="0" w:space="0" w:color="auto"/>
        <w:bottom w:val="none" w:sz="0" w:space="0" w:color="auto"/>
        <w:right w:val="none" w:sz="0" w:space="0" w:color="auto"/>
      </w:divBdr>
      <w:divsChild>
        <w:div w:id="1258127174">
          <w:marLeft w:val="0"/>
          <w:marRight w:val="0"/>
          <w:marTop w:val="0"/>
          <w:marBottom w:val="0"/>
          <w:divBdr>
            <w:top w:val="none" w:sz="0" w:space="0" w:color="auto"/>
            <w:left w:val="none" w:sz="0" w:space="0" w:color="auto"/>
            <w:bottom w:val="none" w:sz="0" w:space="0" w:color="auto"/>
            <w:right w:val="none" w:sz="0" w:space="0" w:color="auto"/>
          </w:divBdr>
          <w:divsChild>
            <w:div w:id="55812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96825">
      <w:bodyDiv w:val="1"/>
      <w:marLeft w:val="0"/>
      <w:marRight w:val="0"/>
      <w:marTop w:val="0"/>
      <w:marBottom w:val="0"/>
      <w:divBdr>
        <w:top w:val="none" w:sz="0" w:space="0" w:color="auto"/>
        <w:left w:val="none" w:sz="0" w:space="0" w:color="auto"/>
        <w:bottom w:val="none" w:sz="0" w:space="0" w:color="auto"/>
        <w:right w:val="none" w:sz="0" w:space="0" w:color="auto"/>
      </w:divBdr>
    </w:div>
    <w:div w:id="1236434406">
      <w:bodyDiv w:val="1"/>
      <w:marLeft w:val="0"/>
      <w:marRight w:val="0"/>
      <w:marTop w:val="0"/>
      <w:marBottom w:val="0"/>
      <w:divBdr>
        <w:top w:val="none" w:sz="0" w:space="0" w:color="auto"/>
        <w:left w:val="none" w:sz="0" w:space="0" w:color="auto"/>
        <w:bottom w:val="none" w:sz="0" w:space="0" w:color="auto"/>
        <w:right w:val="none" w:sz="0" w:space="0" w:color="auto"/>
      </w:divBdr>
      <w:divsChild>
        <w:div w:id="302004778">
          <w:marLeft w:val="0"/>
          <w:marRight w:val="0"/>
          <w:marTop w:val="0"/>
          <w:marBottom w:val="120"/>
          <w:divBdr>
            <w:top w:val="none" w:sz="0" w:space="0" w:color="auto"/>
            <w:left w:val="none" w:sz="0" w:space="0" w:color="auto"/>
            <w:bottom w:val="none" w:sz="0" w:space="0" w:color="auto"/>
            <w:right w:val="none" w:sz="0" w:space="0" w:color="auto"/>
          </w:divBdr>
        </w:div>
        <w:div w:id="1224830151">
          <w:marLeft w:val="0"/>
          <w:marRight w:val="0"/>
          <w:marTop w:val="0"/>
          <w:marBottom w:val="120"/>
          <w:divBdr>
            <w:top w:val="none" w:sz="0" w:space="0" w:color="auto"/>
            <w:left w:val="none" w:sz="0" w:space="0" w:color="auto"/>
            <w:bottom w:val="none" w:sz="0" w:space="0" w:color="auto"/>
            <w:right w:val="none" w:sz="0" w:space="0" w:color="auto"/>
          </w:divBdr>
        </w:div>
        <w:div w:id="1695351536">
          <w:marLeft w:val="720"/>
          <w:marRight w:val="0"/>
          <w:marTop w:val="0"/>
          <w:marBottom w:val="120"/>
          <w:divBdr>
            <w:top w:val="none" w:sz="0" w:space="0" w:color="auto"/>
            <w:left w:val="none" w:sz="0" w:space="0" w:color="auto"/>
            <w:bottom w:val="none" w:sz="0" w:space="0" w:color="auto"/>
            <w:right w:val="none" w:sz="0" w:space="0" w:color="auto"/>
          </w:divBdr>
        </w:div>
      </w:divsChild>
    </w:div>
    <w:div w:id="1311055587">
      <w:bodyDiv w:val="1"/>
      <w:marLeft w:val="0"/>
      <w:marRight w:val="0"/>
      <w:marTop w:val="0"/>
      <w:marBottom w:val="0"/>
      <w:divBdr>
        <w:top w:val="none" w:sz="0" w:space="0" w:color="auto"/>
        <w:left w:val="none" w:sz="0" w:space="0" w:color="auto"/>
        <w:bottom w:val="none" w:sz="0" w:space="0" w:color="auto"/>
        <w:right w:val="none" w:sz="0" w:space="0" w:color="auto"/>
      </w:divBdr>
      <w:divsChild>
        <w:div w:id="399835952">
          <w:marLeft w:val="0"/>
          <w:marRight w:val="0"/>
          <w:marTop w:val="0"/>
          <w:marBottom w:val="0"/>
          <w:divBdr>
            <w:top w:val="none" w:sz="0" w:space="0" w:color="auto"/>
            <w:left w:val="none" w:sz="0" w:space="0" w:color="auto"/>
            <w:bottom w:val="none" w:sz="0" w:space="0" w:color="auto"/>
            <w:right w:val="none" w:sz="0" w:space="0" w:color="auto"/>
          </w:divBdr>
          <w:divsChild>
            <w:div w:id="953172363">
              <w:marLeft w:val="0"/>
              <w:marRight w:val="0"/>
              <w:marTop w:val="0"/>
              <w:marBottom w:val="0"/>
              <w:divBdr>
                <w:top w:val="single" w:sz="24" w:space="5" w:color="602320"/>
                <w:left w:val="none" w:sz="0" w:space="0" w:color="auto"/>
                <w:bottom w:val="none" w:sz="0" w:space="0" w:color="auto"/>
                <w:right w:val="none" w:sz="0" w:space="0" w:color="auto"/>
              </w:divBdr>
              <w:divsChild>
                <w:div w:id="1828133888">
                  <w:marLeft w:val="0"/>
                  <w:marRight w:val="0"/>
                  <w:marTop w:val="0"/>
                  <w:marBottom w:val="0"/>
                  <w:divBdr>
                    <w:top w:val="none" w:sz="0" w:space="0" w:color="auto"/>
                    <w:left w:val="none" w:sz="0" w:space="0" w:color="auto"/>
                    <w:bottom w:val="none" w:sz="0" w:space="0" w:color="auto"/>
                    <w:right w:val="none" w:sz="0" w:space="0" w:color="auto"/>
                  </w:divBdr>
                  <w:divsChild>
                    <w:div w:id="412944264">
                      <w:marLeft w:val="0"/>
                      <w:marRight w:val="0"/>
                      <w:marTop w:val="0"/>
                      <w:marBottom w:val="0"/>
                      <w:divBdr>
                        <w:top w:val="none" w:sz="0" w:space="0" w:color="auto"/>
                        <w:left w:val="none" w:sz="0" w:space="0" w:color="auto"/>
                        <w:bottom w:val="none" w:sz="0" w:space="0" w:color="auto"/>
                        <w:right w:val="none" w:sz="0" w:space="0" w:color="auto"/>
                      </w:divBdr>
                      <w:divsChild>
                        <w:div w:id="719020406">
                          <w:marLeft w:val="0"/>
                          <w:marRight w:val="0"/>
                          <w:marTop w:val="0"/>
                          <w:marBottom w:val="0"/>
                          <w:divBdr>
                            <w:top w:val="none" w:sz="0" w:space="0" w:color="auto"/>
                            <w:left w:val="none" w:sz="0" w:space="0" w:color="auto"/>
                            <w:bottom w:val="none" w:sz="0" w:space="0" w:color="auto"/>
                            <w:right w:val="none" w:sz="0" w:space="0" w:color="auto"/>
                          </w:divBdr>
                          <w:divsChild>
                            <w:div w:id="802120252">
                              <w:marLeft w:val="0"/>
                              <w:marRight w:val="0"/>
                              <w:marTop w:val="0"/>
                              <w:marBottom w:val="240"/>
                              <w:divBdr>
                                <w:top w:val="none" w:sz="0" w:space="0" w:color="auto"/>
                                <w:left w:val="none" w:sz="0" w:space="0" w:color="auto"/>
                                <w:bottom w:val="none" w:sz="0" w:space="0" w:color="auto"/>
                                <w:right w:val="none" w:sz="0" w:space="0" w:color="auto"/>
                              </w:divBdr>
                              <w:divsChild>
                                <w:div w:id="1867329007">
                                  <w:marLeft w:val="0"/>
                                  <w:marRight w:val="0"/>
                                  <w:marTop w:val="0"/>
                                  <w:marBottom w:val="0"/>
                                  <w:divBdr>
                                    <w:top w:val="none" w:sz="0" w:space="0" w:color="auto"/>
                                    <w:left w:val="none" w:sz="0" w:space="0" w:color="auto"/>
                                    <w:bottom w:val="none" w:sz="0" w:space="0" w:color="auto"/>
                                    <w:right w:val="none" w:sz="0" w:space="0" w:color="auto"/>
                                  </w:divBdr>
                                  <w:divsChild>
                                    <w:div w:id="1460103792">
                                      <w:marLeft w:val="0"/>
                                      <w:marRight w:val="0"/>
                                      <w:marTop w:val="0"/>
                                      <w:marBottom w:val="0"/>
                                      <w:divBdr>
                                        <w:top w:val="none" w:sz="0" w:space="0" w:color="auto"/>
                                        <w:left w:val="none" w:sz="0" w:space="0" w:color="auto"/>
                                        <w:bottom w:val="none" w:sz="0" w:space="0" w:color="auto"/>
                                        <w:right w:val="none" w:sz="0" w:space="0" w:color="auto"/>
                                      </w:divBdr>
                                      <w:divsChild>
                                        <w:div w:id="2099784883">
                                          <w:marLeft w:val="0"/>
                                          <w:marRight w:val="0"/>
                                          <w:marTop w:val="0"/>
                                          <w:marBottom w:val="0"/>
                                          <w:divBdr>
                                            <w:top w:val="none" w:sz="0" w:space="0" w:color="auto"/>
                                            <w:left w:val="none" w:sz="0" w:space="0" w:color="auto"/>
                                            <w:bottom w:val="none" w:sz="0" w:space="0" w:color="auto"/>
                                            <w:right w:val="none" w:sz="0" w:space="0" w:color="auto"/>
                                          </w:divBdr>
                                          <w:divsChild>
                                            <w:div w:id="100498537">
                                              <w:marLeft w:val="0"/>
                                              <w:marRight w:val="0"/>
                                              <w:marTop w:val="0"/>
                                              <w:marBottom w:val="0"/>
                                              <w:divBdr>
                                                <w:top w:val="none" w:sz="0" w:space="0" w:color="auto"/>
                                                <w:left w:val="none" w:sz="0" w:space="0" w:color="auto"/>
                                                <w:bottom w:val="none" w:sz="0" w:space="0" w:color="auto"/>
                                                <w:right w:val="none" w:sz="0" w:space="0" w:color="auto"/>
                                              </w:divBdr>
                                              <w:divsChild>
                                                <w:div w:id="245237360">
                                                  <w:marLeft w:val="0"/>
                                                  <w:marRight w:val="0"/>
                                                  <w:marTop w:val="0"/>
                                                  <w:marBottom w:val="0"/>
                                                  <w:divBdr>
                                                    <w:top w:val="none" w:sz="0" w:space="0" w:color="auto"/>
                                                    <w:left w:val="none" w:sz="0" w:space="0" w:color="auto"/>
                                                    <w:bottom w:val="none" w:sz="0" w:space="0" w:color="auto"/>
                                                    <w:right w:val="none" w:sz="0" w:space="0" w:color="auto"/>
                                                  </w:divBdr>
                                                  <w:divsChild>
                                                    <w:div w:id="539170558">
                                                      <w:marLeft w:val="0"/>
                                                      <w:marRight w:val="0"/>
                                                      <w:marTop w:val="0"/>
                                                      <w:marBottom w:val="0"/>
                                                      <w:divBdr>
                                                        <w:top w:val="none" w:sz="0" w:space="0" w:color="auto"/>
                                                        <w:left w:val="none" w:sz="0" w:space="0" w:color="auto"/>
                                                        <w:bottom w:val="none" w:sz="0" w:space="0" w:color="auto"/>
                                                        <w:right w:val="none" w:sz="0" w:space="0" w:color="auto"/>
                                                      </w:divBdr>
                                                      <w:divsChild>
                                                        <w:div w:id="1603148629">
                                                          <w:marLeft w:val="0"/>
                                                          <w:marRight w:val="0"/>
                                                          <w:marTop w:val="0"/>
                                                          <w:marBottom w:val="0"/>
                                                          <w:divBdr>
                                                            <w:top w:val="single" w:sz="2" w:space="0" w:color="auto"/>
                                                            <w:left w:val="single" w:sz="6" w:space="0" w:color="auto"/>
                                                            <w:bottom w:val="single" w:sz="6" w:space="0" w:color="auto"/>
                                                            <w:right w:val="single" w:sz="6" w:space="0" w:color="auto"/>
                                                          </w:divBdr>
                                                          <w:divsChild>
                                                            <w:div w:id="39399735">
                                                              <w:marLeft w:val="0"/>
                                                              <w:marRight w:val="0"/>
                                                              <w:marTop w:val="0"/>
                                                              <w:marBottom w:val="0"/>
                                                              <w:divBdr>
                                                                <w:top w:val="none" w:sz="0" w:space="0" w:color="auto"/>
                                                                <w:left w:val="none" w:sz="0" w:space="0" w:color="auto"/>
                                                                <w:bottom w:val="none" w:sz="0" w:space="0" w:color="auto"/>
                                                                <w:right w:val="none" w:sz="0" w:space="0" w:color="auto"/>
                                                              </w:divBdr>
                                                            </w:div>
                                                            <w:div w:id="173618172">
                                                              <w:marLeft w:val="0"/>
                                                              <w:marRight w:val="0"/>
                                                              <w:marTop w:val="0"/>
                                                              <w:marBottom w:val="0"/>
                                                              <w:divBdr>
                                                                <w:top w:val="none" w:sz="0" w:space="0" w:color="auto"/>
                                                                <w:left w:val="none" w:sz="0" w:space="0" w:color="auto"/>
                                                                <w:bottom w:val="none" w:sz="0" w:space="0" w:color="auto"/>
                                                                <w:right w:val="none" w:sz="0" w:space="0" w:color="auto"/>
                                                              </w:divBdr>
                                                            </w:div>
                                                            <w:div w:id="88355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167677">
                                                      <w:marLeft w:val="0"/>
                                                      <w:marRight w:val="0"/>
                                                      <w:marTop w:val="0"/>
                                                      <w:marBottom w:val="0"/>
                                                      <w:divBdr>
                                                        <w:top w:val="none" w:sz="0" w:space="0" w:color="auto"/>
                                                        <w:left w:val="none" w:sz="0" w:space="0" w:color="auto"/>
                                                        <w:bottom w:val="none" w:sz="0" w:space="0" w:color="auto"/>
                                                        <w:right w:val="none" w:sz="0" w:space="0" w:color="auto"/>
                                                      </w:divBdr>
                                                      <w:divsChild>
                                                        <w:div w:id="1643658510">
                                                          <w:marLeft w:val="0"/>
                                                          <w:marRight w:val="0"/>
                                                          <w:marTop w:val="0"/>
                                                          <w:marBottom w:val="0"/>
                                                          <w:divBdr>
                                                            <w:top w:val="single" w:sz="2"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sChild>
                    </w:div>
                  </w:divsChild>
                </w:div>
              </w:divsChild>
            </w:div>
          </w:divsChild>
        </w:div>
      </w:divsChild>
    </w:div>
    <w:div w:id="1326283298">
      <w:bodyDiv w:val="1"/>
      <w:marLeft w:val="0"/>
      <w:marRight w:val="0"/>
      <w:marTop w:val="0"/>
      <w:marBottom w:val="0"/>
      <w:divBdr>
        <w:top w:val="none" w:sz="0" w:space="0" w:color="auto"/>
        <w:left w:val="none" w:sz="0" w:space="0" w:color="auto"/>
        <w:bottom w:val="none" w:sz="0" w:space="0" w:color="auto"/>
        <w:right w:val="none" w:sz="0" w:space="0" w:color="auto"/>
      </w:divBdr>
      <w:divsChild>
        <w:div w:id="2086370458">
          <w:marLeft w:val="0"/>
          <w:marRight w:val="0"/>
          <w:marTop w:val="0"/>
          <w:marBottom w:val="0"/>
          <w:divBdr>
            <w:top w:val="none" w:sz="0" w:space="0" w:color="auto"/>
            <w:left w:val="none" w:sz="0" w:space="0" w:color="auto"/>
            <w:bottom w:val="none" w:sz="0" w:space="0" w:color="auto"/>
            <w:right w:val="none" w:sz="0" w:space="0" w:color="auto"/>
          </w:divBdr>
          <w:divsChild>
            <w:div w:id="395666262">
              <w:marLeft w:val="0"/>
              <w:marRight w:val="0"/>
              <w:marTop w:val="0"/>
              <w:marBottom w:val="0"/>
              <w:divBdr>
                <w:top w:val="single" w:sz="24" w:space="5" w:color="602320"/>
                <w:left w:val="none" w:sz="0" w:space="0" w:color="auto"/>
                <w:bottom w:val="none" w:sz="0" w:space="0" w:color="auto"/>
                <w:right w:val="none" w:sz="0" w:space="0" w:color="auto"/>
              </w:divBdr>
              <w:divsChild>
                <w:div w:id="1424883742">
                  <w:marLeft w:val="0"/>
                  <w:marRight w:val="0"/>
                  <w:marTop w:val="0"/>
                  <w:marBottom w:val="0"/>
                  <w:divBdr>
                    <w:top w:val="none" w:sz="0" w:space="0" w:color="auto"/>
                    <w:left w:val="none" w:sz="0" w:space="0" w:color="auto"/>
                    <w:bottom w:val="none" w:sz="0" w:space="0" w:color="auto"/>
                    <w:right w:val="none" w:sz="0" w:space="0" w:color="auto"/>
                  </w:divBdr>
                  <w:divsChild>
                    <w:div w:id="1162232555">
                      <w:marLeft w:val="0"/>
                      <w:marRight w:val="0"/>
                      <w:marTop w:val="0"/>
                      <w:marBottom w:val="0"/>
                      <w:divBdr>
                        <w:top w:val="none" w:sz="0" w:space="0" w:color="auto"/>
                        <w:left w:val="none" w:sz="0" w:space="0" w:color="auto"/>
                        <w:bottom w:val="none" w:sz="0" w:space="0" w:color="auto"/>
                        <w:right w:val="none" w:sz="0" w:space="0" w:color="auto"/>
                      </w:divBdr>
                      <w:divsChild>
                        <w:div w:id="429936294">
                          <w:marLeft w:val="0"/>
                          <w:marRight w:val="0"/>
                          <w:marTop w:val="0"/>
                          <w:marBottom w:val="0"/>
                          <w:divBdr>
                            <w:top w:val="none" w:sz="0" w:space="0" w:color="auto"/>
                            <w:left w:val="none" w:sz="0" w:space="0" w:color="auto"/>
                            <w:bottom w:val="none" w:sz="0" w:space="0" w:color="auto"/>
                            <w:right w:val="none" w:sz="0" w:space="0" w:color="auto"/>
                          </w:divBdr>
                          <w:divsChild>
                            <w:div w:id="840394640">
                              <w:marLeft w:val="0"/>
                              <w:marRight w:val="0"/>
                              <w:marTop w:val="0"/>
                              <w:marBottom w:val="240"/>
                              <w:divBdr>
                                <w:top w:val="none" w:sz="0" w:space="0" w:color="auto"/>
                                <w:left w:val="none" w:sz="0" w:space="0" w:color="auto"/>
                                <w:bottom w:val="none" w:sz="0" w:space="0" w:color="auto"/>
                                <w:right w:val="none" w:sz="0" w:space="0" w:color="auto"/>
                              </w:divBdr>
                              <w:divsChild>
                                <w:div w:id="1898394065">
                                  <w:marLeft w:val="0"/>
                                  <w:marRight w:val="0"/>
                                  <w:marTop w:val="0"/>
                                  <w:marBottom w:val="0"/>
                                  <w:divBdr>
                                    <w:top w:val="none" w:sz="0" w:space="0" w:color="auto"/>
                                    <w:left w:val="none" w:sz="0" w:space="0" w:color="auto"/>
                                    <w:bottom w:val="none" w:sz="0" w:space="0" w:color="auto"/>
                                    <w:right w:val="none" w:sz="0" w:space="0" w:color="auto"/>
                                  </w:divBdr>
                                  <w:divsChild>
                                    <w:div w:id="108818336">
                                      <w:marLeft w:val="0"/>
                                      <w:marRight w:val="0"/>
                                      <w:marTop w:val="0"/>
                                      <w:marBottom w:val="0"/>
                                      <w:divBdr>
                                        <w:top w:val="none" w:sz="0" w:space="0" w:color="auto"/>
                                        <w:left w:val="none" w:sz="0" w:space="0" w:color="auto"/>
                                        <w:bottom w:val="none" w:sz="0" w:space="0" w:color="auto"/>
                                        <w:right w:val="none" w:sz="0" w:space="0" w:color="auto"/>
                                      </w:divBdr>
                                      <w:divsChild>
                                        <w:div w:id="1904827222">
                                          <w:marLeft w:val="0"/>
                                          <w:marRight w:val="0"/>
                                          <w:marTop w:val="0"/>
                                          <w:marBottom w:val="0"/>
                                          <w:divBdr>
                                            <w:top w:val="none" w:sz="0" w:space="0" w:color="auto"/>
                                            <w:left w:val="none" w:sz="0" w:space="0" w:color="auto"/>
                                            <w:bottom w:val="none" w:sz="0" w:space="0" w:color="auto"/>
                                            <w:right w:val="none" w:sz="0" w:space="0" w:color="auto"/>
                                          </w:divBdr>
                                          <w:divsChild>
                                            <w:div w:id="279073200">
                                              <w:marLeft w:val="0"/>
                                              <w:marRight w:val="0"/>
                                              <w:marTop w:val="0"/>
                                              <w:marBottom w:val="0"/>
                                              <w:divBdr>
                                                <w:top w:val="none" w:sz="0" w:space="0" w:color="auto"/>
                                                <w:left w:val="none" w:sz="0" w:space="0" w:color="auto"/>
                                                <w:bottom w:val="none" w:sz="0" w:space="0" w:color="auto"/>
                                                <w:right w:val="none" w:sz="0" w:space="0" w:color="auto"/>
                                              </w:divBdr>
                                              <w:divsChild>
                                                <w:div w:id="1228951411">
                                                  <w:marLeft w:val="0"/>
                                                  <w:marRight w:val="0"/>
                                                  <w:marTop w:val="0"/>
                                                  <w:marBottom w:val="0"/>
                                                  <w:divBdr>
                                                    <w:top w:val="none" w:sz="0" w:space="0" w:color="auto"/>
                                                    <w:left w:val="none" w:sz="0" w:space="0" w:color="auto"/>
                                                    <w:bottom w:val="none" w:sz="0" w:space="0" w:color="auto"/>
                                                    <w:right w:val="none" w:sz="0" w:space="0" w:color="auto"/>
                                                  </w:divBdr>
                                                  <w:divsChild>
                                                    <w:div w:id="1858346585">
                                                      <w:marLeft w:val="0"/>
                                                      <w:marRight w:val="0"/>
                                                      <w:marTop w:val="0"/>
                                                      <w:marBottom w:val="0"/>
                                                      <w:divBdr>
                                                        <w:top w:val="single" w:sz="2" w:space="0" w:color="auto"/>
                                                        <w:left w:val="single" w:sz="6" w:space="0" w:color="auto"/>
                                                        <w:bottom w:val="single" w:sz="6" w:space="0" w:color="auto"/>
                                                        <w:right w:val="single" w:sz="6" w:space="0" w:color="auto"/>
                                                      </w:divBdr>
                                                      <w:divsChild>
                                                        <w:div w:id="220555941">
                                                          <w:marLeft w:val="0"/>
                                                          <w:marRight w:val="0"/>
                                                          <w:marTop w:val="0"/>
                                                          <w:marBottom w:val="0"/>
                                                          <w:divBdr>
                                                            <w:top w:val="none" w:sz="0" w:space="0" w:color="auto"/>
                                                            <w:left w:val="none" w:sz="0" w:space="0" w:color="auto"/>
                                                            <w:bottom w:val="none" w:sz="0" w:space="0" w:color="auto"/>
                                                            <w:right w:val="none" w:sz="0" w:space="0" w:color="auto"/>
                                                          </w:divBdr>
                                                        </w:div>
                                                        <w:div w:id="1748990869">
                                                          <w:marLeft w:val="0"/>
                                                          <w:marRight w:val="0"/>
                                                          <w:marTop w:val="0"/>
                                                          <w:marBottom w:val="0"/>
                                                          <w:divBdr>
                                                            <w:top w:val="none" w:sz="0" w:space="0" w:color="auto"/>
                                                            <w:left w:val="none" w:sz="0" w:space="0" w:color="auto"/>
                                                            <w:bottom w:val="none" w:sz="0" w:space="0" w:color="auto"/>
                                                            <w:right w:val="none" w:sz="0" w:space="0" w:color="auto"/>
                                                          </w:divBdr>
                                                        </w:div>
                                                        <w:div w:id="211617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7862429">
      <w:bodyDiv w:val="1"/>
      <w:marLeft w:val="0"/>
      <w:marRight w:val="0"/>
      <w:marTop w:val="0"/>
      <w:marBottom w:val="0"/>
      <w:divBdr>
        <w:top w:val="none" w:sz="0" w:space="0" w:color="auto"/>
        <w:left w:val="none" w:sz="0" w:space="0" w:color="auto"/>
        <w:bottom w:val="none" w:sz="0" w:space="0" w:color="auto"/>
        <w:right w:val="none" w:sz="0" w:space="0" w:color="auto"/>
      </w:divBdr>
      <w:divsChild>
        <w:div w:id="79570362">
          <w:marLeft w:val="720"/>
          <w:marRight w:val="0"/>
          <w:marTop w:val="0"/>
          <w:marBottom w:val="120"/>
          <w:divBdr>
            <w:top w:val="none" w:sz="0" w:space="0" w:color="auto"/>
            <w:left w:val="none" w:sz="0" w:space="0" w:color="auto"/>
            <w:bottom w:val="none" w:sz="0" w:space="0" w:color="auto"/>
            <w:right w:val="none" w:sz="0" w:space="0" w:color="auto"/>
          </w:divBdr>
        </w:div>
        <w:div w:id="435755989">
          <w:marLeft w:val="720"/>
          <w:marRight w:val="0"/>
          <w:marTop w:val="0"/>
          <w:marBottom w:val="0"/>
          <w:divBdr>
            <w:top w:val="none" w:sz="0" w:space="0" w:color="auto"/>
            <w:left w:val="none" w:sz="0" w:space="0" w:color="auto"/>
            <w:bottom w:val="none" w:sz="0" w:space="0" w:color="auto"/>
            <w:right w:val="none" w:sz="0" w:space="0" w:color="auto"/>
          </w:divBdr>
        </w:div>
        <w:div w:id="640113153">
          <w:marLeft w:val="0"/>
          <w:marRight w:val="0"/>
          <w:marTop w:val="0"/>
          <w:marBottom w:val="120"/>
          <w:divBdr>
            <w:top w:val="none" w:sz="0" w:space="0" w:color="auto"/>
            <w:left w:val="none" w:sz="0" w:space="0" w:color="auto"/>
            <w:bottom w:val="none" w:sz="0" w:space="0" w:color="auto"/>
            <w:right w:val="none" w:sz="0" w:space="0" w:color="auto"/>
          </w:divBdr>
        </w:div>
        <w:div w:id="848787774">
          <w:marLeft w:val="720"/>
          <w:marRight w:val="0"/>
          <w:marTop w:val="0"/>
          <w:marBottom w:val="120"/>
          <w:divBdr>
            <w:top w:val="none" w:sz="0" w:space="0" w:color="auto"/>
            <w:left w:val="none" w:sz="0" w:space="0" w:color="auto"/>
            <w:bottom w:val="none" w:sz="0" w:space="0" w:color="auto"/>
            <w:right w:val="none" w:sz="0" w:space="0" w:color="auto"/>
          </w:divBdr>
        </w:div>
        <w:div w:id="1130900349">
          <w:marLeft w:val="720"/>
          <w:marRight w:val="0"/>
          <w:marTop w:val="0"/>
          <w:marBottom w:val="120"/>
          <w:divBdr>
            <w:top w:val="none" w:sz="0" w:space="0" w:color="auto"/>
            <w:left w:val="none" w:sz="0" w:space="0" w:color="auto"/>
            <w:bottom w:val="none" w:sz="0" w:space="0" w:color="auto"/>
            <w:right w:val="none" w:sz="0" w:space="0" w:color="auto"/>
          </w:divBdr>
        </w:div>
      </w:divsChild>
    </w:div>
    <w:div w:id="1583755804">
      <w:bodyDiv w:val="1"/>
      <w:marLeft w:val="0"/>
      <w:marRight w:val="0"/>
      <w:marTop w:val="0"/>
      <w:marBottom w:val="0"/>
      <w:divBdr>
        <w:top w:val="none" w:sz="0" w:space="0" w:color="auto"/>
        <w:left w:val="none" w:sz="0" w:space="0" w:color="auto"/>
        <w:bottom w:val="none" w:sz="0" w:space="0" w:color="auto"/>
        <w:right w:val="none" w:sz="0" w:space="0" w:color="auto"/>
      </w:divBdr>
    </w:div>
    <w:div w:id="1623073706">
      <w:bodyDiv w:val="1"/>
      <w:marLeft w:val="0"/>
      <w:marRight w:val="0"/>
      <w:marTop w:val="0"/>
      <w:marBottom w:val="0"/>
      <w:divBdr>
        <w:top w:val="none" w:sz="0" w:space="0" w:color="auto"/>
        <w:left w:val="none" w:sz="0" w:space="0" w:color="auto"/>
        <w:bottom w:val="none" w:sz="0" w:space="0" w:color="auto"/>
        <w:right w:val="none" w:sz="0" w:space="0" w:color="auto"/>
      </w:divBdr>
    </w:div>
    <w:div w:id="1670328627">
      <w:bodyDiv w:val="1"/>
      <w:marLeft w:val="0"/>
      <w:marRight w:val="313"/>
      <w:marTop w:val="0"/>
      <w:marBottom w:val="0"/>
      <w:divBdr>
        <w:top w:val="none" w:sz="0" w:space="0" w:color="auto"/>
        <w:left w:val="none" w:sz="0" w:space="0" w:color="auto"/>
        <w:bottom w:val="none" w:sz="0" w:space="0" w:color="auto"/>
        <w:right w:val="none" w:sz="0" w:space="0" w:color="auto"/>
      </w:divBdr>
    </w:div>
    <w:div w:id="2031636617">
      <w:bodyDiv w:val="1"/>
      <w:marLeft w:val="0"/>
      <w:marRight w:val="375"/>
      <w:marTop w:val="0"/>
      <w:marBottom w:val="0"/>
      <w:divBdr>
        <w:top w:val="none" w:sz="0" w:space="0" w:color="auto"/>
        <w:left w:val="none" w:sz="0" w:space="0" w:color="auto"/>
        <w:bottom w:val="none" w:sz="0" w:space="0" w:color="auto"/>
        <w:right w:val="none" w:sz="0" w:space="0" w:color="auto"/>
      </w:divBdr>
    </w:div>
    <w:div w:id="2130926875">
      <w:bodyDiv w:val="1"/>
      <w:marLeft w:val="0"/>
      <w:marRight w:val="0"/>
      <w:marTop w:val="0"/>
      <w:marBottom w:val="0"/>
      <w:divBdr>
        <w:top w:val="none" w:sz="0" w:space="0" w:color="auto"/>
        <w:left w:val="none" w:sz="0" w:space="0" w:color="auto"/>
        <w:bottom w:val="none" w:sz="0" w:space="0" w:color="auto"/>
        <w:right w:val="none" w:sz="0" w:space="0" w:color="auto"/>
      </w:divBdr>
      <w:divsChild>
        <w:div w:id="764960911">
          <w:marLeft w:val="0"/>
          <w:marRight w:val="0"/>
          <w:marTop w:val="0"/>
          <w:marBottom w:val="0"/>
          <w:divBdr>
            <w:top w:val="none" w:sz="0" w:space="0" w:color="auto"/>
            <w:left w:val="none" w:sz="0" w:space="0" w:color="auto"/>
            <w:bottom w:val="none" w:sz="0" w:space="0" w:color="auto"/>
            <w:right w:val="none" w:sz="0" w:space="0" w:color="auto"/>
          </w:divBdr>
          <w:divsChild>
            <w:div w:id="1150050112">
              <w:marLeft w:val="0"/>
              <w:marRight w:val="0"/>
              <w:marTop w:val="0"/>
              <w:marBottom w:val="0"/>
              <w:divBdr>
                <w:top w:val="single" w:sz="24" w:space="5" w:color="602320"/>
                <w:left w:val="none" w:sz="0" w:space="0" w:color="auto"/>
                <w:bottom w:val="none" w:sz="0" w:space="0" w:color="auto"/>
                <w:right w:val="none" w:sz="0" w:space="0" w:color="auto"/>
              </w:divBdr>
              <w:divsChild>
                <w:div w:id="445193657">
                  <w:marLeft w:val="0"/>
                  <w:marRight w:val="0"/>
                  <w:marTop w:val="0"/>
                  <w:marBottom w:val="0"/>
                  <w:divBdr>
                    <w:top w:val="none" w:sz="0" w:space="0" w:color="auto"/>
                    <w:left w:val="none" w:sz="0" w:space="0" w:color="auto"/>
                    <w:bottom w:val="none" w:sz="0" w:space="0" w:color="auto"/>
                    <w:right w:val="none" w:sz="0" w:space="0" w:color="auto"/>
                  </w:divBdr>
                  <w:divsChild>
                    <w:div w:id="233246218">
                      <w:marLeft w:val="0"/>
                      <w:marRight w:val="0"/>
                      <w:marTop w:val="0"/>
                      <w:marBottom w:val="0"/>
                      <w:divBdr>
                        <w:top w:val="none" w:sz="0" w:space="0" w:color="auto"/>
                        <w:left w:val="none" w:sz="0" w:space="0" w:color="auto"/>
                        <w:bottom w:val="none" w:sz="0" w:space="0" w:color="auto"/>
                        <w:right w:val="none" w:sz="0" w:space="0" w:color="auto"/>
                      </w:divBdr>
                      <w:divsChild>
                        <w:div w:id="839537720">
                          <w:marLeft w:val="0"/>
                          <w:marRight w:val="0"/>
                          <w:marTop w:val="0"/>
                          <w:marBottom w:val="0"/>
                          <w:divBdr>
                            <w:top w:val="none" w:sz="0" w:space="0" w:color="auto"/>
                            <w:left w:val="none" w:sz="0" w:space="0" w:color="auto"/>
                            <w:bottom w:val="none" w:sz="0" w:space="0" w:color="auto"/>
                            <w:right w:val="none" w:sz="0" w:space="0" w:color="auto"/>
                          </w:divBdr>
                          <w:divsChild>
                            <w:div w:id="1916889030">
                              <w:marLeft w:val="0"/>
                              <w:marRight w:val="0"/>
                              <w:marTop w:val="0"/>
                              <w:marBottom w:val="240"/>
                              <w:divBdr>
                                <w:top w:val="none" w:sz="0" w:space="0" w:color="auto"/>
                                <w:left w:val="none" w:sz="0" w:space="0" w:color="auto"/>
                                <w:bottom w:val="none" w:sz="0" w:space="0" w:color="auto"/>
                                <w:right w:val="none" w:sz="0" w:space="0" w:color="auto"/>
                              </w:divBdr>
                              <w:divsChild>
                                <w:div w:id="1722292252">
                                  <w:marLeft w:val="0"/>
                                  <w:marRight w:val="0"/>
                                  <w:marTop w:val="0"/>
                                  <w:marBottom w:val="0"/>
                                  <w:divBdr>
                                    <w:top w:val="none" w:sz="0" w:space="0" w:color="auto"/>
                                    <w:left w:val="none" w:sz="0" w:space="0" w:color="auto"/>
                                    <w:bottom w:val="none" w:sz="0" w:space="0" w:color="auto"/>
                                    <w:right w:val="none" w:sz="0" w:space="0" w:color="auto"/>
                                  </w:divBdr>
                                  <w:divsChild>
                                    <w:div w:id="1637056323">
                                      <w:marLeft w:val="0"/>
                                      <w:marRight w:val="0"/>
                                      <w:marTop w:val="0"/>
                                      <w:marBottom w:val="0"/>
                                      <w:divBdr>
                                        <w:top w:val="none" w:sz="0" w:space="0" w:color="auto"/>
                                        <w:left w:val="none" w:sz="0" w:space="0" w:color="auto"/>
                                        <w:bottom w:val="none" w:sz="0" w:space="0" w:color="auto"/>
                                        <w:right w:val="none" w:sz="0" w:space="0" w:color="auto"/>
                                      </w:divBdr>
                                      <w:divsChild>
                                        <w:div w:id="1748727749">
                                          <w:marLeft w:val="0"/>
                                          <w:marRight w:val="0"/>
                                          <w:marTop w:val="0"/>
                                          <w:marBottom w:val="0"/>
                                          <w:divBdr>
                                            <w:top w:val="none" w:sz="0" w:space="0" w:color="auto"/>
                                            <w:left w:val="none" w:sz="0" w:space="0" w:color="auto"/>
                                            <w:bottom w:val="none" w:sz="0" w:space="0" w:color="auto"/>
                                            <w:right w:val="none" w:sz="0" w:space="0" w:color="auto"/>
                                          </w:divBdr>
                                          <w:divsChild>
                                            <w:div w:id="611208060">
                                              <w:marLeft w:val="0"/>
                                              <w:marRight w:val="0"/>
                                              <w:marTop w:val="0"/>
                                              <w:marBottom w:val="0"/>
                                              <w:divBdr>
                                                <w:top w:val="none" w:sz="0" w:space="0" w:color="auto"/>
                                                <w:left w:val="none" w:sz="0" w:space="0" w:color="auto"/>
                                                <w:bottom w:val="none" w:sz="0" w:space="0" w:color="auto"/>
                                                <w:right w:val="none" w:sz="0" w:space="0" w:color="auto"/>
                                              </w:divBdr>
                                              <w:divsChild>
                                                <w:div w:id="1285119567">
                                                  <w:marLeft w:val="0"/>
                                                  <w:marRight w:val="0"/>
                                                  <w:marTop w:val="0"/>
                                                  <w:marBottom w:val="0"/>
                                                  <w:divBdr>
                                                    <w:top w:val="none" w:sz="0" w:space="0" w:color="auto"/>
                                                    <w:left w:val="none" w:sz="0" w:space="0" w:color="auto"/>
                                                    <w:bottom w:val="none" w:sz="0" w:space="0" w:color="auto"/>
                                                    <w:right w:val="none" w:sz="0" w:space="0" w:color="auto"/>
                                                  </w:divBdr>
                                                  <w:divsChild>
                                                    <w:div w:id="14163366">
                                                      <w:marLeft w:val="0"/>
                                                      <w:marRight w:val="0"/>
                                                      <w:marTop w:val="0"/>
                                                      <w:marBottom w:val="0"/>
                                                      <w:divBdr>
                                                        <w:top w:val="none" w:sz="0" w:space="0" w:color="auto"/>
                                                        <w:left w:val="none" w:sz="0" w:space="0" w:color="auto"/>
                                                        <w:bottom w:val="none" w:sz="0" w:space="0" w:color="auto"/>
                                                        <w:right w:val="none" w:sz="0" w:space="0" w:color="auto"/>
                                                      </w:divBdr>
                                                    </w:div>
                                                    <w:div w:id="251621149">
                                                      <w:marLeft w:val="0"/>
                                                      <w:marRight w:val="0"/>
                                                      <w:marTop w:val="0"/>
                                                      <w:marBottom w:val="0"/>
                                                      <w:divBdr>
                                                        <w:top w:val="none" w:sz="0" w:space="0" w:color="auto"/>
                                                        <w:left w:val="none" w:sz="0" w:space="0" w:color="auto"/>
                                                        <w:bottom w:val="none" w:sz="0" w:space="0" w:color="auto"/>
                                                        <w:right w:val="none" w:sz="0" w:space="0" w:color="auto"/>
                                                      </w:divBdr>
                                                    </w:div>
                                                    <w:div w:id="278487969">
                                                      <w:marLeft w:val="0"/>
                                                      <w:marRight w:val="0"/>
                                                      <w:marTop w:val="0"/>
                                                      <w:marBottom w:val="0"/>
                                                      <w:divBdr>
                                                        <w:top w:val="none" w:sz="0" w:space="0" w:color="auto"/>
                                                        <w:left w:val="none" w:sz="0" w:space="0" w:color="auto"/>
                                                        <w:bottom w:val="none" w:sz="0" w:space="0" w:color="auto"/>
                                                        <w:right w:val="none" w:sz="0" w:space="0" w:color="auto"/>
                                                      </w:divBdr>
                                                    </w:div>
                                                    <w:div w:id="451755586">
                                                      <w:marLeft w:val="0"/>
                                                      <w:marRight w:val="0"/>
                                                      <w:marTop w:val="0"/>
                                                      <w:marBottom w:val="0"/>
                                                      <w:divBdr>
                                                        <w:top w:val="none" w:sz="0" w:space="0" w:color="auto"/>
                                                        <w:left w:val="none" w:sz="0" w:space="0" w:color="auto"/>
                                                        <w:bottom w:val="none" w:sz="0" w:space="0" w:color="auto"/>
                                                        <w:right w:val="none" w:sz="0" w:space="0" w:color="auto"/>
                                                      </w:divBdr>
                                                    </w:div>
                                                    <w:div w:id="700328433">
                                                      <w:marLeft w:val="0"/>
                                                      <w:marRight w:val="0"/>
                                                      <w:marTop w:val="0"/>
                                                      <w:marBottom w:val="0"/>
                                                      <w:divBdr>
                                                        <w:top w:val="none" w:sz="0" w:space="0" w:color="auto"/>
                                                        <w:left w:val="none" w:sz="0" w:space="0" w:color="auto"/>
                                                        <w:bottom w:val="none" w:sz="0" w:space="0" w:color="auto"/>
                                                        <w:right w:val="none" w:sz="0" w:space="0" w:color="auto"/>
                                                      </w:divBdr>
                                                    </w:div>
                                                    <w:div w:id="899825799">
                                                      <w:marLeft w:val="0"/>
                                                      <w:marRight w:val="0"/>
                                                      <w:marTop w:val="0"/>
                                                      <w:marBottom w:val="0"/>
                                                      <w:divBdr>
                                                        <w:top w:val="none" w:sz="0" w:space="0" w:color="auto"/>
                                                        <w:left w:val="none" w:sz="0" w:space="0" w:color="auto"/>
                                                        <w:bottom w:val="none" w:sz="0" w:space="0" w:color="auto"/>
                                                        <w:right w:val="none" w:sz="0" w:space="0" w:color="auto"/>
                                                      </w:divBdr>
                                                    </w:div>
                                                    <w:div w:id="908076848">
                                                      <w:marLeft w:val="0"/>
                                                      <w:marRight w:val="0"/>
                                                      <w:marTop w:val="0"/>
                                                      <w:marBottom w:val="0"/>
                                                      <w:divBdr>
                                                        <w:top w:val="none" w:sz="0" w:space="0" w:color="auto"/>
                                                        <w:left w:val="none" w:sz="0" w:space="0" w:color="auto"/>
                                                        <w:bottom w:val="none" w:sz="0" w:space="0" w:color="auto"/>
                                                        <w:right w:val="none" w:sz="0" w:space="0" w:color="auto"/>
                                                      </w:divBdr>
                                                    </w:div>
                                                    <w:div w:id="1200437808">
                                                      <w:marLeft w:val="0"/>
                                                      <w:marRight w:val="0"/>
                                                      <w:marTop w:val="0"/>
                                                      <w:marBottom w:val="0"/>
                                                      <w:divBdr>
                                                        <w:top w:val="none" w:sz="0" w:space="0" w:color="auto"/>
                                                        <w:left w:val="none" w:sz="0" w:space="0" w:color="auto"/>
                                                        <w:bottom w:val="none" w:sz="0" w:space="0" w:color="auto"/>
                                                        <w:right w:val="none" w:sz="0" w:space="0" w:color="auto"/>
                                                      </w:divBdr>
                                                    </w:div>
                                                    <w:div w:id="1586263285">
                                                      <w:marLeft w:val="0"/>
                                                      <w:marRight w:val="0"/>
                                                      <w:marTop w:val="0"/>
                                                      <w:marBottom w:val="0"/>
                                                      <w:divBdr>
                                                        <w:top w:val="none" w:sz="0" w:space="0" w:color="auto"/>
                                                        <w:left w:val="none" w:sz="0" w:space="0" w:color="auto"/>
                                                        <w:bottom w:val="none" w:sz="0" w:space="0" w:color="auto"/>
                                                        <w:right w:val="none" w:sz="0" w:space="0" w:color="auto"/>
                                                      </w:divBdr>
                                                    </w:div>
                                                    <w:div w:id="1905798156">
                                                      <w:marLeft w:val="0"/>
                                                      <w:marRight w:val="0"/>
                                                      <w:marTop w:val="0"/>
                                                      <w:marBottom w:val="0"/>
                                                      <w:divBdr>
                                                        <w:top w:val="none" w:sz="0" w:space="0" w:color="auto"/>
                                                        <w:left w:val="none" w:sz="0" w:space="0" w:color="auto"/>
                                                        <w:bottom w:val="none" w:sz="0" w:space="0" w:color="auto"/>
                                                        <w:right w:val="none" w:sz="0" w:space="0" w:color="auto"/>
                                                      </w:divBdr>
                                                    </w:div>
                                                    <w:div w:id="1936018798">
                                                      <w:marLeft w:val="0"/>
                                                      <w:marRight w:val="0"/>
                                                      <w:marTop w:val="0"/>
                                                      <w:marBottom w:val="0"/>
                                                      <w:divBdr>
                                                        <w:top w:val="none" w:sz="0" w:space="0" w:color="auto"/>
                                                        <w:left w:val="none" w:sz="0" w:space="0" w:color="auto"/>
                                                        <w:bottom w:val="none" w:sz="0" w:space="0" w:color="auto"/>
                                                        <w:right w:val="none" w:sz="0" w:space="0" w:color="auto"/>
                                                      </w:divBdr>
                                                    </w:div>
                                                    <w:div w:id="1941521884">
                                                      <w:marLeft w:val="0"/>
                                                      <w:marRight w:val="0"/>
                                                      <w:marTop w:val="0"/>
                                                      <w:marBottom w:val="0"/>
                                                      <w:divBdr>
                                                        <w:top w:val="none" w:sz="0" w:space="0" w:color="auto"/>
                                                        <w:left w:val="none" w:sz="0" w:space="0" w:color="auto"/>
                                                        <w:bottom w:val="none" w:sz="0" w:space="0" w:color="auto"/>
                                                        <w:right w:val="none" w:sz="0" w:space="0" w:color="auto"/>
                                                      </w:divBdr>
                                                    </w:div>
                                                    <w:div w:id="2003850974">
                                                      <w:marLeft w:val="0"/>
                                                      <w:marRight w:val="0"/>
                                                      <w:marTop w:val="0"/>
                                                      <w:marBottom w:val="0"/>
                                                      <w:divBdr>
                                                        <w:top w:val="none" w:sz="0" w:space="0" w:color="auto"/>
                                                        <w:left w:val="none" w:sz="0" w:space="0" w:color="auto"/>
                                                        <w:bottom w:val="none" w:sz="0" w:space="0" w:color="auto"/>
                                                        <w:right w:val="none" w:sz="0" w:space="0" w:color="auto"/>
                                                      </w:divBdr>
                                                    </w:div>
                                                    <w:div w:id="200809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896BD-CDAA-4995-B07C-04E46463962F}">
  <ds:schemaRefs>
    <ds:schemaRef ds:uri="http://schemas.openxmlformats.org/officeDocument/2006/bibliography"/>
  </ds:schemaRefs>
</ds:datastoreItem>
</file>

<file path=customXml/itemProps2.xml><?xml version="1.0" encoding="utf-8"?>
<ds:datastoreItem xmlns:ds="http://schemas.openxmlformats.org/officeDocument/2006/customXml" ds:itemID="{01FD4F05-16AC-467C-BB4B-FC1EBE423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5167</Words>
  <Characters>26359</Characters>
  <Application>Microsoft Office Word</Application>
  <DocSecurity>4</DocSecurity>
  <Lines>219</Lines>
  <Paragraphs>62</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31464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mcunanan002</dc:creator>
  <cp:lastModifiedBy>mautij</cp:lastModifiedBy>
  <cp:revision>2</cp:revision>
  <cp:lastPrinted>2008-10-22T17:21:00Z</cp:lastPrinted>
  <dcterms:created xsi:type="dcterms:W3CDTF">2017-05-02T20:24:00Z</dcterms:created>
  <dcterms:modified xsi:type="dcterms:W3CDTF">2017-05-02T20:24:00Z</dcterms:modified>
</cp:coreProperties>
</file>