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A8C" w:rsidRPr="008F2A8C" w:rsidRDefault="008F2A8C">
      <w:pPr>
        <w:rPr>
          <w:rFonts w:ascii="Palatino Linotype" w:hAnsi="Palatino Linotype"/>
          <w:b/>
          <w:sz w:val="36"/>
        </w:rPr>
      </w:pPr>
      <w:r w:rsidRPr="008F2A8C">
        <w:rPr>
          <w:rFonts w:ascii="Palatino Linotype" w:hAnsi="Palatino Linotype"/>
          <w:b/>
          <w:sz w:val="36"/>
        </w:rPr>
        <w:t>MEMO</w:t>
      </w:r>
    </w:p>
    <w:p w:rsidR="008F2A8C" w:rsidRDefault="008F2A8C">
      <w:pPr>
        <w:rPr>
          <w:rFonts w:ascii="Palatino Linotype" w:hAnsi="Palatino Linotype"/>
        </w:rPr>
      </w:pPr>
      <w:r>
        <w:rPr>
          <w:rFonts w:ascii="Palatino Linotype" w:hAnsi="Palatino Linotype"/>
        </w:rPr>
        <w:t>Date: May 5, 2017</w:t>
      </w:r>
    </w:p>
    <w:p w:rsidR="00B6181C" w:rsidRPr="008F2A8C" w:rsidRDefault="008F2A8C">
      <w:pPr>
        <w:rPr>
          <w:rFonts w:ascii="Palatino Linotype" w:hAnsi="Palatino Linotype"/>
        </w:rPr>
      </w:pPr>
      <w:r w:rsidRPr="008F2A8C">
        <w:rPr>
          <w:rFonts w:ascii="Palatino Linotype" w:hAnsi="Palatino Linotype"/>
        </w:rPr>
        <w:t>To: Steen Hume</w:t>
      </w:r>
    </w:p>
    <w:p w:rsidR="008F2A8C" w:rsidRDefault="008F2A8C">
      <w:pPr>
        <w:rPr>
          <w:rFonts w:ascii="Palatino Linotype" w:hAnsi="Palatino Linotype"/>
        </w:rPr>
      </w:pPr>
      <w:r>
        <w:rPr>
          <w:rFonts w:ascii="Palatino Linotype" w:hAnsi="Palatino Linotype"/>
        </w:rPr>
        <w:t xml:space="preserve">From: Kim Marshall </w:t>
      </w:r>
    </w:p>
    <w:p w:rsidR="002B3477" w:rsidRPr="002B3477" w:rsidRDefault="002B3477">
      <w:pPr>
        <w:rPr>
          <w:rFonts w:ascii="Palatino Linotype" w:hAnsi="Palatino Linotype"/>
        </w:rPr>
      </w:pPr>
      <w:r w:rsidRPr="002B3477">
        <w:rPr>
          <w:rFonts w:ascii="Palatino Linotype" w:hAnsi="Palatino Linotype"/>
        </w:rPr>
        <w:t xml:space="preserve">Re: Fair Hydro Plan </w:t>
      </w:r>
      <w:r w:rsidR="004D7E9C">
        <w:rPr>
          <w:rFonts w:ascii="Palatino Linotype" w:hAnsi="Palatino Linotype"/>
        </w:rPr>
        <w:t xml:space="preserve">Impact on IESO </w:t>
      </w:r>
      <w:r w:rsidRPr="002B3477">
        <w:rPr>
          <w:rFonts w:ascii="Palatino Linotype" w:hAnsi="Palatino Linotype"/>
        </w:rPr>
        <w:t>Accounting Practices</w:t>
      </w:r>
    </w:p>
    <w:p w:rsidR="002B3477" w:rsidRPr="00A92B9C" w:rsidRDefault="002B3477" w:rsidP="002B3477">
      <w:pPr>
        <w:rPr>
          <w:rFonts w:ascii="Palatino Linotype" w:eastAsia="Times New Roman" w:hAnsi="Palatino Linotype"/>
        </w:rPr>
      </w:pPr>
      <w:bookmarkStart w:id="0" w:name="_GoBack"/>
      <w:bookmarkEnd w:id="0"/>
      <w:r w:rsidRPr="00A92B9C">
        <w:rPr>
          <w:rFonts w:ascii="Palatino Linotype" w:hAnsi="Palatino Linotype"/>
        </w:rPr>
        <w:t>The accounting opinion issued</w:t>
      </w:r>
      <w:r w:rsidR="004D7E9C" w:rsidRPr="00A92B9C">
        <w:rPr>
          <w:rFonts w:ascii="Palatino Linotype" w:hAnsi="Palatino Linotype"/>
        </w:rPr>
        <w:t xml:space="preserve"> </w:t>
      </w:r>
      <w:r w:rsidRPr="00A92B9C">
        <w:rPr>
          <w:rFonts w:ascii="Palatino Linotype" w:hAnsi="Palatino Linotype"/>
        </w:rPr>
        <w:t xml:space="preserve">by KPMG </w:t>
      </w:r>
      <w:r w:rsidR="004D7E9C" w:rsidRPr="00A92B9C">
        <w:rPr>
          <w:rFonts w:ascii="Palatino Linotype" w:hAnsi="Palatino Linotype"/>
        </w:rPr>
        <w:t xml:space="preserve">to the Independent Electricity System Operator </w:t>
      </w:r>
      <w:r w:rsidR="008F2A8C">
        <w:rPr>
          <w:rFonts w:ascii="Palatino Linotype" w:hAnsi="Palatino Linotype"/>
        </w:rPr>
        <w:t xml:space="preserve">(IESO) </w:t>
      </w:r>
      <w:r w:rsidR="004D7E9C" w:rsidRPr="00A92B9C">
        <w:rPr>
          <w:rFonts w:ascii="Palatino Linotype" w:hAnsi="Palatino Linotype"/>
        </w:rPr>
        <w:t xml:space="preserve">indicates that </w:t>
      </w:r>
      <w:r w:rsidRPr="00A92B9C">
        <w:rPr>
          <w:rFonts w:ascii="Palatino Linotype" w:hAnsi="Palatino Linotype"/>
        </w:rPr>
        <w:t xml:space="preserve">the </w:t>
      </w:r>
      <w:r w:rsidR="00073203">
        <w:rPr>
          <w:rFonts w:ascii="Palatino Linotype" w:hAnsi="Palatino Linotype"/>
        </w:rPr>
        <w:t xml:space="preserve">accounting practices and </w:t>
      </w:r>
      <w:r w:rsidR="008F2A8C">
        <w:rPr>
          <w:rFonts w:ascii="Palatino Linotype" w:hAnsi="Palatino Linotype"/>
        </w:rPr>
        <w:t>structure</w:t>
      </w:r>
      <w:r w:rsidR="00073203">
        <w:rPr>
          <w:rFonts w:ascii="Palatino Linotype" w:hAnsi="Palatino Linotype"/>
        </w:rPr>
        <w:t>s</w:t>
      </w:r>
      <w:r w:rsidRPr="00A92B9C">
        <w:rPr>
          <w:rFonts w:ascii="Palatino Linotype" w:hAnsi="Palatino Linotype"/>
        </w:rPr>
        <w:t xml:space="preserve"> proposed</w:t>
      </w:r>
      <w:r w:rsidR="008F2A8C">
        <w:rPr>
          <w:rFonts w:ascii="Palatino Linotype" w:hAnsi="Palatino Linotype"/>
        </w:rPr>
        <w:t xml:space="preserve"> in the</w:t>
      </w:r>
      <w:r w:rsidRPr="00A92B9C">
        <w:rPr>
          <w:rFonts w:ascii="Palatino Linotype" w:hAnsi="Palatino Linotype"/>
        </w:rPr>
        <w:t xml:space="preserve"> Fair Hydro </w:t>
      </w:r>
      <w:r w:rsidR="00A92B9C">
        <w:rPr>
          <w:rFonts w:ascii="Palatino Linotype" w:hAnsi="Palatino Linotype"/>
        </w:rPr>
        <w:t>Act</w:t>
      </w:r>
      <w:r w:rsidRPr="00A92B9C">
        <w:rPr>
          <w:rFonts w:ascii="Palatino Linotype" w:hAnsi="Palatino Linotype"/>
        </w:rPr>
        <w:t xml:space="preserve"> </w:t>
      </w:r>
      <w:r w:rsidR="00A92B9C" w:rsidRPr="00A92B9C">
        <w:rPr>
          <w:rFonts w:ascii="Palatino Linotype" w:hAnsi="Palatino Linotype"/>
          <w:highlight w:val="yellow"/>
        </w:rPr>
        <w:t>[INSERT LEGAL NAME]</w:t>
      </w:r>
      <w:r w:rsidR="00A92B9C">
        <w:rPr>
          <w:rFonts w:ascii="Palatino Linotype" w:hAnsi="Palatino Linotype"/>
        </w:rPr>
        <w:t xml:space="preserve"> </w:t>
      </w:r>
      <w:r w:rsidR="004D7E9C" w:rsidRPr="00A92B9C">
        <w:rPr>
          <w:rFonts w:ascii="Palatino Linotype" w:hAnsi="Palatino Linotype"/>
        </w:rPr>
        <w:t>are</w:t>
      </w:r>
      <w:r w:rsidRPr="00A92B9C">
        <w:rPr>
          <w:rFonts w:ascii="Palatino Linotype" w:hAnsi="Palatino Linotype"/>
        </w:rPr>
        <w:t xml:space="preserve"> consistent </w:t>
      </w:r>
      <w:r w:rsidRPr="00A92B9C">
        <w:rPr>
          <w:rFonts w:ascii="Palatino Linotype" w:eastAsia="Times New Roman" w:hAnsi="Palatino Linotype"/>
        </w:rPr>
        <w:t xml:space="preserve">and compatible with the IESO’s current </w:t>
      </w:r>
      <w:r w:rsidR="004D7E9C" w:rsidRPr="00A92B9C">
        <w:rPr>
          <w:rFonts w:ascii="Palatino Linotype" w:eastAsia="Times New Roman" w:hAnsi="Palatino Linotype"/>
        </w:rPr>
        <w:t xml:space="preserve">financial </w:t>
      </w:r>
      <w:r w:rsidRPr="00A92B9C">
        <w:rPr>
          <w:rFonts w:ascii="Palatino Linotype" w:eastAsia="Times New Roman" w:hAnsi="Palatino Linotype"/>
        </w:rPr>
        <w:t xml:space="preserve">accounting practices. As a result, </w:t>
      </w:r>
      <w:r w:rsidRPr="00A92B9C">
        <w:rPr>
          <w:rFonts w:ascii="Palatino Linotype" w:hAnsi="Palatino Linotype"/>
        </w:rPr>
        <w:t xml:space="preserve">the IESO can recognize a regulatory asset related to the variance account created </w:t>
      </w:r>
      <w:r w:rsidR="004D7E9C" w:rsidRPr="00A92B9C">
        <w:rPr>
          <w:rFonts w:ascii="Palatino Linotype" w:hAnsi="Palatino Linotype"/>
        </w:rPr>
        <w:t xml:space="preserve">by the proposed Act, and that the regulatory asset will no longer be </w:t>
      </w:r>
      <w:r w:rsidR="00073203">
        <w:rPr>
          <w:rFonts w:ascii="Palatino Linotype" w:hAnsi="Palatino Linotype"/>
        </w:rPr>
        <w:t>included</w:t>
      </w:r>
      <w:r w:rsidR="004D7E9C" w:rsidRPr="00A92B9C">
        <w:rPr>
          <w:rFonts w:ascii="Palatino Linotype" w:hAnsi="Palatino Linotype"/>
        </w:rPr>
        <w:t xml:space="preserve"> in IESO financial statements upon transfer of the variance account to the OPG Trust.</w:t>
      </w:r>
      <w:r w:rsidR="008F2A8C">
        <w:rPr>
          <w:rFonts w:ascii="Palatino Linotype" w:hAnsi="Palatino Linotype"/>
        </w:rPr>
        <w:t xml:space="preserve"> </w:t>
      </w:r>
    </w:p>
    <w:p w:rsidR="00A92B9C" w:rsidRPr="00A92B9C" w:rsidRDefault="00A92B9C" w:rsidP="00A92B9C">
      <w:pPr>
        <w:rPr>
          <w:rFonts w:ascii="Palatino Linotype" w:hAnsi="Palatino Linotype"/>
        </w:rPr>
      </w:pPr>
      <w:r w:rsidRPr="00A92B9C">
        <w:rPr>
          <w:rFonts w:ascii="Palatino Linotype" w:hAnsi="Palatino Linotype"/>
        </w:rPr>
        <w:t xml:space="preserve">Based on the 11 indicators of control as defined in Section PS 1300 </w:t>
      </w:r>
      <w:r w:rsidRPr="00A92B9C">
        <w:rPr>
          <w:rFonts w:ascii="Palatino Linotype" w:hAnsi="Palatino Linotype"/>
          <w:i/>
        </w:rPr>
        <w:t>Government Reporting Entity</w:t>
      </w:r>
      <w:r w:rsidRPr="00A92B9C">
        <w:rPr>
          <w:rFonts w:ascii="Palatino Linotype" w:hAnsi="Palatino Linotype"/>
        </w:rPr>
        <w:t xml:space="preserve">, there is no evidence of control by the IESO for the OPG Trust either collectively or individually.  The IESO will not have the power to govern the Trust, nor have ongoing access to </w:t>
      </w:r>
      <w:r>
        <w:rPr>
          <w:rFonts w:ascii="Palatino Linotype" w:hAnsi="Palatino Linotype"/>
        </w:rPr>
        <w:t xml:space="preserve">the </w:t>
      </w:r>
      <w:r w:rsidRPr="00A92B9C">
        <w:rPr>
          <w:rFonts w:ascii="Palatino Linotype" w:hAnsi="Palatino Linotype"/>
        </w:rPr>
        <w:t>Trust’s assets.  The IESO will also not have any voting shares or future rights to the Trust nor the power to dissolve the Trust.  Without control, the Trust is not subject to consolidation within the IESO financial statements.</w:t>
      </w:r>
    </w:p>
    <w:p w:rsidR="002B3477" w:rsidRPr="00A92B9C" w:rsidRDefault="002B3477" w:rsidP="002B3477">
      <w:pPr>
        <w:rPr>
          <w:rFonts w:ascii="Palatino Linotype" w:hAnsi="Palatino Linotype"/>
        </w:rPr>
      </w:pPr>
      <w:r w:rsidRPr="00A92B9C">
        <w:rPr>
          <w:rFonts w:ascii="Palatino Linotype" w:hAnsi="Palatino Linotype"/>
        </w:rPr>
        <w:t>The variance account created by the proposed Act is subject to rate regulation by the O</w:t>
      </w:r>
      <w:r w:rsidR="00A92B9C">
        <w:rPr>
          <w:rFonts w:ascii="Palatino Linotype" w:hAnsi="Palatino Linotype"/>
        </w:rPr>
        <w:t xml:space="preserve">ntario </w:t>
      </w:r>
      <w:r w:rsidRPr="00A92B9C">
        <w:rPr>
          <w:rFonts w:ascii="Palatino Linotype" w:hAnsi="Palatino Linotype"/>
        </w:rPr>
        <w:t>E</w:t>
      </w:r>
      <w:r w:rsidR="00A92B9C">
        <w:rPr>
          <w:rFonts w:ascii="Palatino Linotype" w:hAnsi="Palatino Linotype"/>
        </w:rPr>
        <w:t xml:space="preserve">nergy </w:t>
      </w:r>
      <w:r w:rsidRPr="00A92B9C">
        <w:rPr>
          <w:rFonts w:ascii="Palatino Linotype" w:hAnsi="Palatino Linotype"/>
        </w:rPr>
        <w:t>B</w:t>
      </w:r>
      <w:r w:rsidR="00A92B9C">
        <w:rPr>
          <w:rFonts w:ascii="Palatino Linotype" w:hAnsi="Palatino Linotype"/>
        </w:rPr>
        <w:t>oard</w:t>
      </w:r>
      <w:r w:rsidRPr="00A92B9C">
        <w:rPr>
          <w:rFonts w:ascii="Palatino Linotype" w:hAnsi="Palatino Linotype"/>
        </w:rPr>
        <w:t xml:space="preserve"> and the variance account will be established with the right to collect funds against the variance amount in the future.  In these circumstances, the IESO is able to establish a regulated asset, in accordance with Canadian public sector accounting standards.  </w:t>
      </w:r>
    </w:p>
    <w:p w:rsidR="008F2A8C" w:rsidRDefault="008F2A8C" w:rsidP="002B3477">
      <w:pPr>
        <w:rPr>
          <w:rFonts w:ascii="Palatino Linotype" w:eastAsia="Times New Roman" w:hAnsi="Palatino Linotype"/>
        </w:rPr>
      </w:pPr>
      <w:r>
        <w:rPr>
          <w:rFonts w:ascii="Palatino Linotype" w:eastAsia="Times New Roman" w:hAnsi="Palatino Linotype"/>
        </w:rPr>
        <w:t xml:space="preserve">Please find attached the </w:t>
      </w:r>
      <w:r w:rsidR="004D7E9C" w:rsidRPr="00A92B9C">
        <w:rPr>
          <w:rFonts w:ascii="Palatino Linotype" w:eastAsia="Times New Roman" w:hAnsi="Palatino Linotype"/>
        </w:rPr>
        <w:t xml:space="preserve">analysis performed by KPMG </w:t>
      </w:r>
      <w:r>
        <w:rPr>
          <w:rFonts w:ascii="Palatino Linotype" w:eastAsia="Times New Roman" w:hAnsi="Palatino Linotype"/>
        </w:rPr>
        <w:t>based on the</w:t>
      </w:r>
      <w:r w:rsidR="004D7E9C" w:rsidRPr="00A92B9C">
        <w:rPr>
          <w:rFonts w:ascii="Palatino Linotype" w:eastAsia="Times New Roman" w:hAnsi="Palatino Linotype"/>
        </w:rPr>
        <w:t xml:space="preserve"> current understanding of the legislation.</w:t>
      </w:r>
    </w:p>
    <w:p w:rsidR="008F2A8C" w:rsidRDefault="008F2A8C" w:rsidP="002B3477">
      <w:pPr>
        <w:rPr>
          <w:rFonts w:ascii="Palatino Linotype" w:eastAsia="Times New Roman" w:hAnsi="Palatino Linotype"/>
        </w:rPr>
      </w:pPr>
      <w:r>
        <w:rPr>
          <w:rFonts w:ascii="Palatino Linotype" w:eastAsia="Times New Roman" w:hAnsi="Palatino Linotype"/>
        </w:rPr>
        <w:t>Sincerely,</w:t>
      </w:r>
    </w:p>
    <w:p w:rsidR="008F2A8C" w:rsidRDefault="008F2A8C" w:rsidP="002B3477">
      <w:pPr>
        <w:rPr>
          <w:rFonts w:ascii="Palatino Linotype" w:eastAsia="Times New Roman" w:hAnsi="Palatino Linotype"/>
        </w:rPr>
      </w:pPr>
    </w:p>
    <w:p w:rsidR="008F2A8C" w:rsidRDefault="008F2A8C" w:rsidP="002B3477">
      <w:pPr>
        <w:rPr>
          <w:rFonts w:ascii="Palatino Linotype" w:eastAsia="Times New Roman" w:hAnsi="Palatino Linotype"/>
        </w:rPr>
      </w:pPr>
      <w:r>
        <w:rPr>
          <w:rFonts w:ascii="Palatino Linotype" w:eastAsia="Times New Roman" w:hAnsi="Palatino Linotype"/>
        </w:rPr>
        <w:t>Kim Marshall</w:t>
      </w:r>
    </w:p>
    <w:p w:rsidR="002B3477" w:rsidRDefault="008F2A8C" w:rsidP="002B3477">
      <w:pPr>
        <w:rPr>
          <w:rFonts w:ascii="Palatino Linotype" w:eastAsia="Times New Roman" w:hAnsi="Palatino Linotype"/>
        </w:rPr>
      </w:pPr>
      <w:r>
        <w:rPr>
          <w:rFonts w:ascii="Palatino Linotype" w:eastAsia="Times New Roman" w:hAnsi="Palatino Linotype"/>
        </w:rPr>
        <w:t xml:space="preserve">Vice President of Corporate Services and Chief Financial Officer </w:t>
      </w:r>
    </w:p>
    <w:p w:rsidR="008F2A8C" w:rsidRPr="00A92B9C" w:rsidRDefault="008F2A8C" w:rsidP="002B3477">
      <w:pPr>
        <w:rPr>
          <w:rFonts w:ascii="Palatino Linotype" w:hAnsi="Palatino Linotype"/>
        </w:rPr>
      </w:pPr>
    </w:p>
    <w:sectPr w:rsidR="008F2A8C" w:rsidRPr="00A92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477"/>
    <w:rsid w:val="00073203"/>
    <w:rsid w:val="000C4AE0"/>
    <w:rsid w:val="002B3477"/>
    <w:rsid w:val="004D7E9C"/>
    <w:rsid w:val="008F2A8C"/>
    <w:rsid w:val="00A92B9C"/>
    <w:rsid w:val="00B618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3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IESO</Company>
  <LinksUpToDate>false</LinksUpToDate>
  <CharactersWithSpaces>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IESO</dc:creator>
  <cp:lastModifiedBy>IESO</cp:lastModifiedBy>
  <cp:revision>2</cp:revision>
  <cp:lastPrinted>2017-05-05T12:58:00Z</cp:lastPrinted>
  <dcterms:created xsi:type="dcterms:W3CDTF">2017-05-05T17:01:00Z</dcterms:created>
  <dcterms:modified xsi:type="dcterms:W3CDTF">2017-05-05T17:01:00Z</dcterms:modified>
</cp:coreProperties>
</file>