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D76" w:rsidRDefault="00ED5D76"/>
    <w:p w:rsidR="00404A9B" w:rsidRDefault="00404A9B"/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8189"/>
        <w:gridCol w:w="1558"/>
      </w:tblGrid>
      <w:tr w:rsidR="00CA06CD" w:rsidTr="00CA06CD">
        <w:tc>
          <w:tcPr>
            <w:tcW w:w="9747" w:type="dxa"/>
            <w:gridSpan w:val="2"/>
          </w:tcPr>
          <w:p w:rsidR="00CA06CD" w:rsidRDefault="00CA06CD" w:rsidP="00404A9B">
            <w:pPr>
              <w:jc w:val="center"/>
              <w:rPr>
                <w:b/>
              </w:rPr>
            </w:pPr>
            <w:r w:rsidRPr="00404A9B">
              <w:rPr>
                <w:b/>
              </w:rPr>
              <w:t>Regulation</w:t>
            </w:r>
            <w:r>
              <w:rPr>
                <w:b/>
              </w:rPr>
              <w:t>s</w:t>
            </w:r>
            <w:r w:rsidR="001E7005">
              <w:rPr>
                <w:b/>
              </w:rPr>
              <w:t xml:space="preserve"> – Master List</w:t>
            </w:r>
          </w:p>
          <w:p w:rsidR="00CA06CD" w:rsidRPr="00404A9B" w:rsidRDefault="00CA06CD" w:rsidP="00404A9B">
            <w:pPr>
              <w:jc w:val="center"/>
              <w:rPr>
                <w:b/>
              </w:rPr>
            </w:pPr>
          </w:p>
        </w:tc>
      </w:tr>
      <w:tr w:rsidR="00CA06CD" w:rsidTr="00CA06CD">
        <w:tc>
          <w:tcPr>
            <w:tcW w:w="8189" w:type="dxa"/>
          </w:tcPr>
          <w:p w:rsidR="00CA06CD" w:rsidRDefault="00CA06CD">
            <w:r>
              <w:t>Social Programs</w:t>
            </w:r>
          </w:p>
        </w:tc>
        <w:tc>
          <w:tcPr>
            <w:tcW w:w="1558" w:type="dxa"/>
          </w:tcPr>
          <w:p w:rsidR="00CA06CD" w:rsidRDefault="00CA06CD" w:rsidP="00CA06CD"/>
        </w:tc>
      </w:tr>
      <w:tr w:rsidR="00CA06CD" w:rsidTr="00CA06CD">
        <w:tc>
          <w:tcPr>
            <w:tcW w:w="8189" w:type="dxa"/>
          </w:tcPr>
          <w:p w:rsidR="00CA06CD" w:rsidRDefault="00CA06CD" w:rsidP="008959C2">
            <w:pPr>
              <w:pStyle w:val="ListParagraph"/>
              <w:numPr>
                <w:ilvl w:val="0"/>
                <w:numId w:val="1"/>
              </w:numPr>
            </w:pPr>
            <w:r>
              <w:t>OESP O. Reg. 314/15 – amendments</w:t>
            </w:r>
          </w:p>
        </w:tc>
        <w:tc>
          <w:tcPr>
            <w:tcW w:w="1558" w:type="dxa"/>
          </w:tcPr>
          <w:p w:rsidR="00CA06CD" w:rsidRDefault="00CA06CD" w:rsidP="00CA06CD">
            <w:r>
              <w:t>June 14</w:t>
            </w:r>
          </w:p>
        </w:tc>
      </w:tr>
      <w:tr w:rsidR="00CA06CD" w:rsidTr="00CA06CD">
        <w:tc>
          <w:tcPr>
            <w:tcW w:w="8189" w:type="dxa"/>
          </w:tcPr>
          <w:p w:rsidR="00CA06CD" w:rsidRDefault="00CA06CD" w:rsidP="008959C2">
            <w:pPr>
              <w:pStyle w:val="ListParagraph"/>
              <w:numPr>
                <w:ilvl w:val="0"/>
                <w:numId w:val="1"/>
              </w:numPr>
            </w:pPr>
            <w:r>
              <w:t>RRRP expansion to R2</w:t>
            </w:r>
          </w:p>
        </w:tc>
        <w:tc>
          <w:tcPr>
            <w:tcW w:w="1558" w:type="dxa"/>
          </w:tcPr>
          <w:p w:rsidR="00CA06CD" w:rsidRDefault="00CA06CD" w:rsidP="00CA06CD">
            <w:r>
              <w:t>June 14</w:t>
            </w:r>
          </w:p>
        </w:tc>
      </w:tr>
      <w:tr w:rsidR="00CA06CD" w:rsidTr="00CA06CD">
        <w:tc>
          <w:tcPr>
            <w:tcW w:w="8189" w:type="dxa"/>
          </w:tcPr>
          <w:p w:rsidR="00CA06CD" w:rsidRDefault="00CA06CD" w:rsidP="00404A9B">
            <w:pPr>
              <w:pStyle w:val="ListParagraph"/>
              <w:numPr>
                <w:ilvl w:val="0"/>
                <w:numId w:val="1"/>
              </w:numPr>
            </w:pPr>
            <w:r>
              <w:t>Distribution Rate Protection</w:t>
            </w:r>
          </w:p>
        </w:tc>
        <w:tc>
          <w:tcPr>
            <w:tcW w:w="1558" w:type="dxa"/>
          </w:tcPr>
          <w:p w:rsidR="00CA06CD" w:rsidRDefault="00CA06CD" w:rsidP="00CA06CD">
            <w:r>
              <w:t>June 14</w:t>
            </w:r>
          </w:p>
        </w:tc>
      </w:tr>
      <w:tr w:rsidR="00CA06CD" w:rsidTr="00CA06CD">
        <w:tc>
          <w:tcPr>
            <w:tcW w:w="8189" w:type="dxa"/>
          </w:tcPr>
          <w:p w:rsidR="00CA06CD" w:rsidRDefault="00CA06CD" w:rsidP="00404A9B">
            <w:pPr>
              <w:pStyle w:val="ListParagraph"/>
              <w:numPr>
                <w:ilvl w:val="0"/>
                <w:numId w:val="1"/>
              </w:numPr>
            </w:pPr>
            <w:r>
              <w:t>First Nation Rate Distribution</w:t>
            </w:r>
          </w:p>
        </w:tc>
        <w:tc>
          <w:tcPr>
            <w:tcW w:w="1558" w:type="dxa"/>
          </w:tcPr>
          <w:p w:rsidR="00CA06CD" w:rsidRDefault="00CA06CD" w:rsidP="00CA06CD">
            <w:r>
              <w:t>June 14</w:t>
            </w:r>
          </w:p>
        </w:tc>
      </w:tr>
      <w:tr w:rsidR="00CA06CD" w:rsidTr="00CA06CD">
        <w:tc>
          <w:tcPr>
            <w:tcW w:w="8189" w:type="dxa"/>
          </w:tcPr>
          <w:p w:rsidR="00CA06CD" w:rsidRDefault="00CA06CD" w:rsidP="00404A9B">
            <w:pPr>
              <w:pStyle w:val="ListParagraph"/>
              <w:numPr>
                <w:ilvl w:val="0"/>
                <w:numId w:val="1"/>
              </w:numPr>
            </w:pPr>
            <w:r>
              <w:t>Bill Presentment – require bill insert quarterly; prescribed messages; First Nations Delivery credit</w:t>
            </w:r>
          </w:p>
        </w:tc>
        <w:tc>
          <w:tcPr>
            <w:tcW w:w="1558" w:type="dxa"/>
          </w:tcPr>
          <w:p w:rsidR="00CA06CD" w:rsidRDefault="001E7005" w:rsidP="00CA06CD">
            <w:pPr>
              <w:jc w:val="both"/>
            </w:pPr>
            <w:r>
              <w:t>June 14</w:t>
            </w:r>
          </w:p>
        </w:tc>
      </w:tr>
      <w:tr w:rsidR="00CA06CD" w:rsidTr="00CA06CD">
        <w:tc>
          <w:tcPr>
            <w:tcW w:w="8189" w:type="dxa"/>
          </w:tcPr>
          <w:p w:rsidR="00CA06CD" w:rsidRDefault="00CA06CD"/>
        </w:tc>
        <w:tc>
          <w:tcPr>
            <w:tcW w:w="1558" w:type="dxa"/>
          </w:tcPr>
          <w:p w:rsidR="00CA06CD" w:rsidRDefault="00CA06CD"/>
        </w:tc>
      </w:tr>
      <w:tr w:rsidR="00CA06CD" w:rsidTr="00CA06CD">
        <w:tc>
          <w:tcPr>
            <w:tcW w:w="8189" w:type="dxa"/>
          </w:tcPr>
          <w:p w:rsidR="00CA06CD" w:rsidRDefault="00CA06CD" w:rsidP="00B9729C">
            <w:r>
              <w:t>GA Refinancing</w:t>
            </w:r>
          </w:p>
        </w:tc>
        <w:tc>
          <w:tcPr>
            <w:tcW w:w="1558" w:type="dxa"/>
          </w:tcPr>
          <w:p w:rsidR="00CA06CD" w:rsidRDefault="00CA06CD" w:rsidP="00CA06CD"/>
        </w:tc>
      </w:tr>
      <w:tr w:rsidR="00CA06CD" w:rsidTr="00CA06CD">
        <w:tc>
          <w:tcPr>
            <w:tcW w:w="8189" w:type="dxa"/>
          </w:tcPr>
          <w:p w:rsidR="00CA06CD" w:rsidRDefault="00CA06CD" w:rsidP="00404A9B">
            <w:pPr>
              <w:pStyle w:val="ListParagraph"/>
              <w:numPr>
                <w:ilvl w:val="0"/>
                <w:numId w:val="2"/>
              </w:numPr>
            </w:pPr>
            <w:r>
              <w:t>Part II Reg.</w:t>
            </w:r>
          </w:p>
        </w:tc>
        <w:tc>
          <w:tcPr>
            <w:tcW w:w="1558" w:type="dxa"/>
          </w:tcPr>
          <w:p w:rsidR="00CA06CD" w:rsidRDefault="00CA06CD" w:rsidP="00CA06CD">
            <w:r>
              <w:t>June 14</w:t>
            </w:r>
          </w:p>
        </w:tc>
      </w:tr>
      <w:tr w:rsidR="00CA06CD" w:rsidTr="00CA06CD">
        <w:tc>
          <w:tcPr>
            <w:tcW w:w="8189" w:type="dxa"/>
          </w:tcPr>
          <w:p w:rsidR="00CA06CD" w:rsidRDefault="00CA06CD" w:rsidP="00404A9B">
            <w:pPr>
              <w:pStyle w:val="ListParagraph"/>
              <w:numPr>
                <w:ilvl w:val="0"/>
                <w:numId w:val="2"/>
              </w:numPr>
            </w:pPr>
            <w:r>
              <w:t>General Regulation</w:t>
            </w:r>
          </w:p>
        </w:tc>
        <w:tc>
          <w:tcPr>
            <w:tcW w:w="1558" w:type="dxa"/>
          </w:tcPr>
          <w:p w:rsidR="00CA06CD" w:rsidRDefault="00CA06CD" w:rsidP="00CA06CD">
            <w:r>
              <w:t>June 27</w:t>
            </w:r>
          </w:p>
        </w:tc>
      </w:tr>
      <w:tr w:rsidR="00CA06CD" w:rsidTr="00CA06CD">
        <w:tc>
          <w:tcPr>
            <w:tcW w:w="8189" w:type="dxa"/>
          </w:tcPr>
          <w:p w:rsidR="00CA06CD" w:rsidRDefault="00CA06CD" w:rsidP="00404A9B">
            <w:pPr>
              <w:pStyle w:val="ListParagraph"/>
              <w:numPr>
                <w:ilvl w:val="0"/>
                <w:numId w:val="2"/>
              </w:numPr>
            </w:pPr>
            <w:r>
              <w:t>O. Reg. 429/04 (GAM) – amendments</w:t>
            </w:r>
          </w:p>
        </w:tc>
        <w:tc>
          <w:tcPr>
            <w:tcW w:w="1558" w:type="dxa"/>
          </w:tcPr>
          <w:p w:rsidR="00CA06CD" w:rsidRDefault="00CA06CD" w:rsidP="00CA06CD">
            <w:r>
              <w:t>June 27</w:t>
            </w:r>
          </w:p>
        </w:tc>
      </w:tr>
      <w:tr w:rsidR="00CA06CD" w:rsidTr="00CA06CD">
        <w:tc>
          <w:tcPr>
            <w:tcW w:w="8189" w:type="dxa"/>
          </w:tcPr>
          <w:p w:rsidR="00CA06CD" w:rsidRDefault="00CA06CD" w:rsidP="00404A9B">
            <w:pPr>
              <w:pStyle w:val="ListParagraph"/>
              <w:numPr>
                <w:ilvl w:val="0"/>
                <w:numId w:val="2"/>
              </w:numPr>
            </w:pPr>
            <w:r>
              <w:t xml:space="preserve">O. Reg. 280/14 (IESO Eligible Borrowing) – amendments </w:t>
            </w:r>
          </w:p>
        </w:tc>
        <w:tc>
          <w:tcPr>
            <w:tcW w:w="1558" w:type="dxa"/>
          </w:tcPr>
          <w:p w:rsidR="00CA06CD" w:rsidRDefault="00CA06CD" w:rsidP="00CA06CD">
            <w:r>
              <w:t xml:space="preserve">June 27 </w:t>
            </w:r>
          </w:p>
        </w:tc>
      </w:tr>
      <w:tr w:rsidR="00CA06CD" w:rsidTr="00CA06CD">
        <w:tc>
          <w:tcPr>
            <w:tcW w:w="8189" w:type="dxa"/>
          </w:tcPr>
          <w:p w:rsidR="00CA06CD" w:rsidRDefault="00CA06CD" w:rsidP="005F270F"/>
        </w:tc>
        <w:tc>
          <w:tcPr>
            <w:tcW w:w="1558" w:type="dxa"/>
          </w:tcPr>
          <w:p w:rsidR="00CA06CD" w:rsidRDefault="00CA06CD" w:rsidP="005F270F"/>
        </w:tc>
      </w:tr>
      <w:tr w:rsidR="00CA06CD" w:rsidTr="00CA06CD">
        <w:tc>
          <w:tcPr>
            <w:tcW w:w="8189" w:type="dxa"/>
          </w:tcPr>
          <w:p w:rsidR="00CA06CD" w:rsidRDefault="00CA06CD" w:rsidP="008D2776">
            <w:r>
              <w:t>Other – Bill Presentment</w:t>
            </w:r>
          </w:p>
        </w:tc>
        <w:tc>
          <w:tcPr>
            <w:tcW w:w="1558" w:type="dxa"/>
          </w:tcPr>
          <w:p w:rsidR="00CA06CD" w:rsidRDefault="00CA06CD" w:rsidP="00CA06CD"/>
        </w:tc>
      </w:tr>
      <w:tr w:rsidR="00CA06CD" w:rsidTr="00CA06CD">
        <w:tc>
          <w:tcPr>
            <w:tcW w:w="8189" w:type="dxa"/>
          </w:tcPr>
          <w:p w:rsidR="00CA06CD" w:rsidRDefault="00CA06CD" w:rsidP="00404A9B">
            <w:pPr>
              <w:pStyle w:val="ListParagraph"/>
              <w:numPr>
                <w:ilvl w:val="0"/>
                <w:numId w:val="3"/>
              </w:numPr>
            </w:pPr>
            <w:r>
              <w:t>O. Reg. 364/16 – repeal in part to remove 8% on bill and on envelope messaging; exempt Hydro One</w:t>
            </w:r>
          </w:p>
        </w:tc>
        <w:tc>
          <w:tcPr>
            <w:tcW w:w="1558" w:type="dxa"/>
          </w:tcPr>
          <w:p w:rsidR="00CA06CD" w:rsidRDefault="001E7005" w:rsidP="00CA06CD">
            <w:r>
              <w:t>June 14</w:t>
            </w:r>
          </w:p>
        </w:tc>
      </w:tr>
      <w:tr w:rsidR="00CA06CD" w:rsidTr="00CA06CD">
        <w:tc>
          <w:tcPr>
            <w:tcW w:w="8189" w:type="dxa"/>
          </w:tcPr>
          <w:p w:rsidR="00CA06CD" w:rsidRDefault="00CA06CD" w:rsidP="00CA06CD">
            <w:pPr>
              <w:pStyle w:val="ListParagraph"/>
              <w:numPr>
                <w:ilvl w:val="0"/>
                <w:numId w:val="3"/>
              </w:numPr>
            </w:pPr>
            <w:r>
              <w:t xml:space="preserve">O. Reg. 442/01 – remove RRRP messaging for Hydro One </w:t>
            </w:r>
          </w:p>
        </w:tc>
        <w:tc>
          <w:tcPr>
            <w:tcW w:w="1558" w:type="dxa"/>
          </w:tcPr>
          <w:p w:rsidR="00CA06CD" w:rsidRDefault="001E7005" w:rsidP="00CA06CD">
            <w:r>
              <w:t>June 14</w:t>
            </w:r>
          </w:p>
        </w:tc>
      </w:tr>
      <w:tr w:rsidR="00CA06CD" w:rsidTr="00CA06CD">
        <w:tc>
          <w:tcPr>
            <w:tcW w:w="8189" w:type="dxa"/>
          </w:tcPr>
          <w:p w:rsidR="00CA06CD" w:rsidRDefault="00CA06CD" w:rsidP="00CA06CD">
            <w:pPr>
              <w:pStyle w:val="ListParagraph"/>
              <w:numPr>
                <w:ilvl w:val="0"/>
                <w:numId w:val="3"/>
              </w:numPr>
            </w:pPr>
            <w:r>
              <w:t>O. Reg. 275/04 – remove DRC message; exempt Hydro One</w:t>
            </w:r>
          </w:p>
        </w:tc>
        <w:tc>
          <w:tcPr>
            <w:tcW w:w="1558" w:type="dxa"/>
          </w:tcPr>
          <w:p w:rsidR="00CA06CD" w:rsidRDefault="00CA06CD" w:rsidP="001E7005">
            <w:r>
              <w:t xml:space="preserve">June </w:t>
            </w:r>
            <w:r w:rsidR="001E7005">
              <w:t>14</w:t>
            </w:r>
          </w:p>
        </w:tc>
      </w:tr>
    </w:tbl>
    <w:p w:rsidR="00404A9B" w:rsidRDefault="00404A9B"/>
    <w:p w:rsidR="00404A9B" w:rsidRDefault="00404A9B"/>
    <w:sectPr w:rsidR="00404A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7772" w:rsidRDefault="00797772" w:rsidP="00CA06CD">
      <w:pPr>
        <w:spacing w:after="0" w:line="240" w:lineRule="auto"/>
      </w:pPr>
      <w:r>
        <w:separator/>
      </w:r>
    </w:p>
  </w:endnote>
  <w:endnote w:type="continuationSeparator" w:id="0">
    <w:p w:rsidR="00797772" w:rsidRDefault="00797772" w:rsidP="00CA0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005" w:rsidRDefault="001E700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005" w:rsidRDefault="001E700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005" w:rsidRDefault="001E700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7772" w:rsidRDefault="00797772" w:rsidP="00CA06CD">
      <w:pPr>
        <w:spacing w:after="0" w:line="240" w:lineRule="auto"/>
      </w:pPr>
      <w:r>
        <w:separator/>
      </w:r>
    </w:p>
  </w:footnote>
  <w:footnote w:type="continuationSeparator" w:id="0">
    <w:p w:rsidR="00797772" w:rsidRDefault="00797772" w:rsidP="00CA0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005" w:rsidRDefault="001E700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6CD" w:rsidRDefault="00CA06CD">
    <w:pPr>
      <w:pStyle w:val="Header"/>
    </w:pPr>
    <w:r>
      <w:t xml:space="preserve">May </w:t>
    </w:r>
    <w:r>
      <w:t>1</w:t>
    </w:r>
    <w:r w:rsidR="001E7005">
      <w:t>7</w:t>
    </w:r>
    <w:bookmarkStart w:id="0" w:name="_GoBack"/>
    <w:bookmarkEnd w:id="0"/>
    <w:r>
      <w:t>, 2017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005" w:rsidRDefault="001E700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97673"/>
    <w:multiLevelType w:val="hybridMultilevel"/>
    <w:tmpl w:val="1BEA549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ED7975"/>
    <w:multiLevelType w:val="hybridMultilevel"/>
    <w:tmpl w:val="9BBC0D7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8A3D6A"/>
    <w:multiLevelType w:val="hybridMultilevel"/>
    <w:tmpl w:val="B662621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A9B"/>
    <w:rsid w:val="001E7005"/>
    <w:rsid w:val="003751E1"/>
    <w:rsid w:val="00404A9B"/>
    <w:rsid w:val="00797772"/>
    <w:rsid w:val="008959C2"/>
    <w:rsid w:val="00AE0302"/>
    <w:rsid w:val="00CA06CD"/>
    <w:rsid w:val="00ED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04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04A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A06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06CD"/>
  </w:style>
  <w:style w:type="paragraph" w:styleId="Footer">
    <w:name w:val="footer"/>
    <w:basedOn w:val="Normal"/>
    <w:link w:val="FooterChar"/>
    <w:uiPriority w:val="99"/>
    <w:unhideWhenUsed/>
    <w:rsid w:val="00CA06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06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04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04A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A06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06CD"/>
  </w:style>
  <w:style w:type="paragraph" w:styleId="Footer">
    <w:name w:val="footer"/>
    <w:basedOn w:val="Normal"/>
    <w:link w:val="FooterChar"/>
    <w:uiPriority w:val="99"/>
    <w:unhideWhenUsed/>
    <w:rsid w:val="00CA06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06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</Company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Calwell, Carolyn (ENERGY/MEDEI/MRI)</dc:creator>
  <cp:lastModifiedBy>Calwell, Carolyn (ENERGY/MEDEI/MRI)</cp:lastModifiedBy>
  <cp:revision>3</cp:revision>
  <dcterms:created xsi:type="dcterms:W3CDTF">2017-05-12T20:47:00Z</dcterms:created>
  <dcterms:modified xsi:type="dcterms:W3CDTF">2017-05-17T16:00:00Z</dcterms:modified>
</cp:coreProperties>
</file>