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D77" w:rsidRPr="00044C1F" w:rsidRDefault="00044C1F" w:rsidP="00725C9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044C1F">
        <w:rPr>
          <w:rFonts w:ascii="Arial" w:hAnsi="Arial" w:cs="Arial"/>
          <w:b/>
        </w:rPr>
        <w:t>Business Issues:</w:t>
      </w:r>
    </w:p>
    <w:p w:rsidR="00044C1F" w:rsidRPr="00044C1F" w:rsidRDefault="00044C1F" w:rsidP="00725C91">
      <w:pPr>
        <w:spacing w:after="0"/>
        <w:rPr>
          <w:rFonts w:ascii="Arial" w:hAnsi="Arial" w:cs="Arial"/>
        </w:rPr>
      </w:pPr>
      <w:r w:rsidRPr="00044C1F">
        <w:rPr>
          <w:rFonts w:ascii="Arial" w:hAnsi="Arial" w:cs="Arial"/>
        </w:rPr>
        <w:t>Create risk to Trust’s debt credit rating, cost to electricit</w:t>
      </w:r>
      <w:r w:rsidR="00F03B9B">
        <w:rPr>
          <w:rFonts w:ascii="Arial" w:hAnsi="Arial" w:cs="Arial"/>
        </w:rPr>
        <w:t>y ratepayers and OPG’s finances</w:t>
      </w:r>
      <w:bookmarkStart w:id="0" w:name="_GoBack"/>
      <w:bookmarkEnd w:id="0"/>
    </w:p>
    <w:tbl>
      <w:tblPr>
        <w:tblW w:w="14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"/>
        <w:gridCol w:w="1305"/>
        <w:gridCol w:w="4461"/>
        <w:gridCol w:w="4870"/>
        <w:gridCol w:w="2580"/>
        <w:gridCol w:w="1405"/>
      </w:tblGrid>
      <w:tr w:rsidR="00EF54A4" w:rsidRPr="003D2995" w:rsidTr="00A47B8A">
        <w:trPr>
          <w:cantSplit/>
          <w:trHeight w:val="300"/>
          <w:tblHeader/>
          <w:jc w:val="center"/>
        </w:trPr>
        <w:tc>
          <w:tcPr>
            <w:tcW w:w="1644" w:type="dxa"/>
            <w:gridSpan w:val="2"/>
            <w:shd w:val="clear" w:color="auto" w:fill="4F81BD" w:themeFill="accent1"/>
            <w:noWrap/>
            <w:hideMark/>
          </w:tcPr>
          <w:p w:rsidR="00EF54A4" w:rsidRPr="003D2995" w:rsidRDefault="00EF54A4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Outstanding Issue</w:t>
            </w:r>
          </w:p>
        </w:tc>
        <w:tc>
          <w:tcPr>
            <w:tcW w:w="4461" w:type="dxa"/>
            <w:shd w:val="clear" w:color="auto" w:fill="4F81BD" w:themeFill="accent1"/>
          </w:tcPr>
          <w:p w:rsidR="00EF54A4" w:rsidRPr="003D2995" w:rsidRDefault="00EF54A4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Description</w:t>
            </w:r>
          </w:p>
        </w:tc>
        <w:tc>
          <w:tcPr>
            <w:tcW w:w="4870" w:type="dxa"/>
            <w:shd w:val="clear" w:color="auto" w:fill="4F81BD" w:themeFill="accent1"/>
          </w:tcPr>
          <w:p w:rsidR="00EF54A4" w:rsidRPr="003D2995" w:rsidRDefault="00EF54A4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Current Status</w:t>
            </w:r>
          </w:p>
        </w:tc>
        <w:tc>
          <w:tcPr>
            <w:tcW w:w="2580" w:type="dxa"/>
            <w:shd w:val="clear" w:color="auto" w:fill="4F81BD" w:themeFill="accent1"/>
          </w:tcPr>
          <w:p w:rsidR="00EF54A4" w:rsidRPr="003D2995" w:rsidRDefault="00EF54A4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Next Steps</w:t>
            </w:r>
          </w:p>
        </w:tc>
        <w:tc>
          <w:tcPr>
            <w:tcW w:w="1405" w:type="dxa"/>
            <w:shd w:val="clear" w:color="auto" w:fill="4F81BD" w:themeFill="accent1"/>
            <w:noWrap/>
            <w:hideMark/>
          </w:tcPr>
          <w:p w:rsidR="00EF54A4" w:rsidRPr="003D2995" w:rsidRDefault="00EF54A4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Timing</w:t>
            </w:r>
          </w:p>
        </w:tc>
      </w:tr>
      <w:tr w:rsidR="00EF54A4" w:rsidRPr="003D2995" w:rsidTr="00A47B8A">
        <w:trPr>
          <w:cantSplit/>
          <w:trHeight w:val="935"/>
          <w:jc w:val="center"/>
        </w:trPr>
        <w:tc>
          <w:tcPr>
            <w:tcW w:w="339" w:type="dxa"/>
            <w:vMerge w:val="restart"/>
            <w:shd w:val="clear" w:color="auto" w:fill="auto"/>
            <w:noWrap/>
            <w:vAlign w:val="center"/>
            <w:hideMark/>
          </w:tcPr>
          <w:p w:rsidR="00EF54A4" w:rsidRPr="003D2995" w:rsidRDefault="0018318B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1</w:t>
            </w:r>
          </w:p>
        </w:tc>
        <w:tc>
          <w:tcPr>
            <w:tcW w:w="1305" w:type="dxa"/>
            <w:vMerge w:val="restart"/>
            <w:shd w:val="clear" w:color="auto" w:fill="auto"/>
            <w:noWrap/>
            <w:vAlign w:val="center"/>
            <w:hideMark/>
          </w:tcPr>
          <w:p w:rsidR="00EF54A4" w:rsidRDefault="00EF54A4" w:rsidP="00F843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Provincial </w:t>
            </w:r>
          </w:p>
          <w:p w:rsidR="00F84326" w:rsidRPr="003D2995" w:rsidRDefault="0018318B" w:rsidP="00F843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Guarantee</w:t>
            </w:r>
          </w:p>
        </w:tc>
        <w:tc>
          <w:tcPr>
            <w:tcW w:w="4461" w:type="dxa"/>
            <w:vMerge w:val="restart"/>
            <w:shd w:val="clear" w:color="auto" w:fill="auto"/>
            <w:vAlign w:val="center"/>
          </w:tcPr>
          <w:p w:rsidR="00EF54A4" w:rsidRDefault="00EF54A4" w:rsidP="00786E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A provincial </w:t>
            </w:r>
            <w:r w:rsidR="0018318B">
              <w:rPr>
                <w:rFonts w:ascii="Arial" w:eastAsia="Times New Roman" w:hAnsi="Arial" w:cs="Arial"/>
                <w:color w:val="000000"/>
                <w:lang w:eastAsia="en-CA"/>
              </w:rPr>
              <w:t>guarantee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 of FHP debt is a key aspect of the program structure to support a strong credit rating</w:t>
            </w:r>
          </w:p>
          <w:p w:rsidR="00EF54A4" w:rsidRDefault="00EF54A4" w:rsidP="00786E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The </w:t>
            </w:r>
            <w:r w:rsidR="0018318B">
              <w:rPr>
                <w:rFonts w:ascii="Arial" w:eastAsia="Times New Roman" w:hAnsi="Arial" w:cs="Arial"/>
                <w:color w:val="000000"/>
                <w:lang w:eastAsia="en-CA"/>
              </w:rPr>
              <w:t>guarantee w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ould kick in under specific circumstances including:</w:t>
            </w:r>
          </w:p>
          <w:p w:rsidR="00EF54A4" w:rsidRPr="005F37EC" w:rsidRDefault="00F84326" w:rsidP="00786EC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Legal change impacts FHP</w:t>
            </w:r>
          </w:p>
          <w:p w:rsidR="00EF54A4" w:rsidRPr="0018318B" w:rsidRDefault="00F84326" w:rsidP="001831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FHP deemed unc</w:t>
            </w:r>
            <w:r w:rsidR="00EF54A4">
              <w:rPr>
                <w:rFonts w:ascii="Arial" w:eastAsia="Times New Roman" w:hAnsi="Arial" w:cs="Arial"/>
                <w:color w:val="000000"/>
                <w:lang w:eastAsia="en-CA"/>
              </w:rPr>
              <w:t>onstitutional</w:t>
            </w:r>
            <w:r w:rsidR="00EF54A4"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</w:p>
        </w:tc>
        <w:tc>
          <w:tcPr>
            <w:tcW w:w="4870" w:type="dxa"/>
            <w:shd w:val="clear" w:color="auto" w:fill="auto"/>
            <w:vAlign w:val="center"/>
          </w:tcPr>
          <w:p w:rsidR="00EF54A4" w:rsidRPr="003D2995" w:rsidRDefault="00EF54A4" w:rsidP="00EF5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Agreement in principle </w:t>
            </w:r>
            <w:r w:rsidR="00F84326">
              <w:rPr>
                <w:rFonts w:ascii="Arial" w:eastAsia="Times New Roman" w:hAnsi="Arial" w:cs="Arial"/>
                <w:color w:val="000000"/>
                <w:lang w:eastAsia="en-CA"/>
              </w:rPr>
              <w:t>for Province to back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stop debt if there is a change in law or program deemed unconstitutional</w:t>
            </w: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:rsidR="00EF54A4" w:rsidRPr="003D2995" w:rsidRDefault="00EF54A4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Substantially Complete 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EF54A4" w:rsidRPr="003D2995" w:rsidRDefault="00EF54A4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Mid-August</w:t>
            </w:r>
          </w:p>
        </w:tc>
      </w:tr>
      <w:tr w:rsidR="00EF54A4" w:rsidRPr="003D2995" w:rsidTr="0018318B">
        <w:trPr>
          <w:cantSplit/>
          <w:trHeight w:val="917"/>
          <w:jc w:val="center"/>
        </w:trPr>
        <w:tc>
          <w:tcPr>
            <w:tcW w:w="339" w:type="dxa"/>
            <w:vMerge/>
            <w:shd w:val="clear" w:color="auto" w:fill="auto"/>
            <w:noWrap/>
            <w:vAlign w:val="center"/>
          </w:tcPr>
          <w:p w:rsidR="00EF54A4" w:rsidRPr="003D2995" w:rsidRDefault="00EF54A4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1305" w:type="dxa"/>
            <w:vMerge/>
            <w:shd w:val="clear" w:color="auto" w:fill="auto"/>
            <w:noWrap/>
            <w:vAlign w:val="center"/>
          </w:tcPr>
          <w:p w:rsidR="00EF54A4" w:rsidRPr="003D2995" w:rsidRDefault="00EF54A4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4461" w:type="dxa"/>
            <w:vMerge/>
            <w:shd w:val="clear" w:color="auto" w:fill="auto"/>
            <w:vAlign w:val="center"/>
          </w:tcPr>
          <w:p w:rsidR="00EF54A4" w:rsidRDefault="00EF54A4" w:rsidP="00786E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4870" w:type="dxa"/>
            <w:shd w:val="clear" w:color="auto" w:fill="auto"/>
            <w:vAlign w:val="center"/>
          </w:tcPr>
          <w:p w:rsidR="00EF54A4" w:rsidRPr="00725C91" w:rsidRDefault="00EF54A4" w:rsidP="001831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18318B">
              <w:rPr>
                <w:rFonts w:ascii="Arial" w:eastAsia="Times New Roman" w:hAnsi="Arial" w:cs="Arial"/>
                <w:color w:val="000000"/>
                <w:lang w:eastAsia="en-CA"/>
              </w:rPr>
              <w:t xml:space="preserve">Assessing alternatives to a backstop </w:t>
            </w:r>
            <w:r w:rsidR="00F84326" w:rsidRPr="0018318B">
              <w:rPr>
                <w:rFonts w:ascii="Arial" w:eastAsia="Times New Roman" w:hAnsi="Arial" w:cs="Arial"/>
                <w:color w:val="000000"/>
                <w:lang w:eastAsia="en-CA"/>
              </w:rPr>
              <w:t xml:space="preserve">to </w:t>
            </w:r>
            <w:r w:rsidRPr="0018318B">
              <w:rPr>
                <w:rFonts w:ascii="Arial" w:eastAsia="Times New Roman" w:hAnsi="Arial" w:cs="Arial"/>
                <w:color w:val="000000"/>
                <w:lang w:eastAsia="en-CA"/>
              </w:rPr>
              <w:t xml:space="preserve">address other </w:t>
            </w:r>
            <w:r w:rsidR="0018318B">
              <w:rPr>
                <w:rFonts w:ascii="Arial" w:eastAsia="Times New Roman" w:hAnsi="Arial" w:cs="Arial"/>
                <w:color w:val="000000"/>
                <w:lang w:eastAsia="en-CA"/>
              </w:rPr>
              <w:t xml:space="preserve">issues including inability of the Trust to borrow and </w:t>
            </w:r>
            <w:r w:rsidR="0018318B" w:rsidRPr="00A84770">
              <w:rPr>
                <w:rFonts w:ascii="Arial" w:eastAsia="Times New Roman" w:hAnsi="Arial" w:cs="Arial"/>
                <w:color w:val="000000"/>
                <w:lang w:eastAsia="en-CA"/>
              </w:rPr>
              <w:t xml:space="preserve">LDC </w:t>
            </w:r>
            <w:r w:rsidR="0018318B">
              <w:rPr>
                <w:rFonts w:ascii="Arial" w:eastAsia="Times New Roman" w:hAnsi="Arial" w:cs="Arial"/>
                <w:color w:val="000000"/>
                <w:lang w:eastAsia="en-CA"/>
              </w:rPr>
              <w:t>bankruptcy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EF54A4" w:rsidRPr="003D2995" w:rsidRDefault="00EF54A4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Relevant stakeholders are assessing options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EF54A4" w:rsidRPr="003D2995" w:rsidRDefault="00EF54A4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Mid-August (required for credit rating)</w:t>
            </w:r>
          </w:p>
        </w:tc>
      </w:tr>
      <w:tr w:rsidR="00EF54A4" w:rsidRPr="003D2995" w:rsidTr="00A47B8A">
        <w:trPr>
          <w:cantSplit/>
          <w:trHeight w:val="300"/>
          <w:jc w:val="center"/>
        </w:trPr>
        <w:tc>
          <w:tcPr>
            <w:tcW w:w="339" w:type="dxa"/>
            <w:shd w:val="clear" w:color="auto" w:fill="F2F2F2" w:themeFill="background1" w:themeFillShade="F2"/>
            <w:noWrap/>
            <w:vAlign w:val="center"/>
            <w:hideMark/>
          </w:tcPr>
          <w:p w:rsidR="00EF54A4" w:rsidRPr="003D2995" w:rsidRDefault="0018318B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2</w:t>
            </w:r>
          </w:p>
        </w:tc>
        <w:tc>
          <w:tcPr>
            <w:tcW w:w="1305" w:type="dxa"/>
            <w:shd w:val="clear" w:color="auto" w:fill="F2F2F2" w:themeFill="background1" w:themeFillShade="F2"/>
            <w:noWrap/>
            <w:vAlign w:val="center"/>
            <w:hideMark/>
          </w:tcPr>
          <w:p w:rsidR="00EF54A4" w:rsidRPr="003D2995" w:rsidRDefault="00EF54A4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IESO Accounting</w:t>
            </w:r>
          </w:p>
        </w:tc>
        <w:tc>
          <w:tcPr>
            <w:tcW w:w="4461" w:type="dxa"/>
            <w:shd w:val="clear" w:color="auto" w:fill="F2F2F2" w:themeFill="background1" w:themeFillShade="F2"/>
            <w:vAlign w:val="center"/>
          </w:tcPr>
          <w:p w:rsidR="00EF54A4" w:rsidRDefault="00EF54A4" w:rsidP="00D740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4 year m</w:t>
            </w: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oratorium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has been put in place where Trust cannot collect principal or interest from ratepayers</w:t>
            </w:r>
          </w:p>
          <w:p w:rsidR="00EF54A4" w:rsidRPr="00996C18" w:rsidRDefault="00EF54A4" w:rsidP="00996C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This has caused </w:t>
            </w: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accounting issues for IESO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and OPG/Trust</w:t>
            </w:r>
            <w:r w:rsidR="00996C18">
              <w:rPr>
                <w:rFonts w:ascii="Arial" w:eastAsia="Times New Roman" w:hAnsi="Arial" w:cs="Arial"/>
                <w:color w:val="000000"/>
                <w:lang w:eastAsia="en-CA"/>
              </w:rPr>
              <w:t xml:space="preserve"> and c</w:t>
            </w:r>
            <w:r w:rsidRPr="00996C18">
              <w:rPr>
                <w:rFonts w:ascii="Arial" w:eastAsia="Times New Roman" w:hAnsi="Arial" w:cs="Arial"/>
                <w:color w:val="000000"/>
                <w:lang w:eastAsia="en-CA"/>
              </w:rPr>
              <w:t>reates risk of a credit rating downgrade for OPG</w:t>
            </w:r>
          </w:p>
        </w:tc>
        <w:tc>
          <w:tcPr>
            <w:tcW w:w="4870" w:type="dxa"/>
            <w:shd w:val="clear" w:color="auto" w:fill="F2F2F2" w:themeFill="background1" w:themeFillShade="F2"/>
            <w:vAlign w:val="center"/>
          </w:tcPr>
          <w:p w:rsidR="00EF54A4" w:rsidRPr="003D2995" w:rsidRDefault="00EF54A4" w:rsidP="00D7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Options to resolve this issue are being assessed including potential regulatory change</w:t>
            </w:r>
          </w:p>
        </w:tc>
        <w:tc>
          <w:tcPr>
            <w:tcW w:w="2580" w:type="dxa"/>
            <w:shd w:val="clear" w:color="auto" w:fill="F2F2F2" w:themeFill="background1" w:themeFillShade="F2"/>
            <w:vAlign w:val="center"/>
          </w:tcPr>
          <w:p w:rsidR="00EF54A4" w:rsidRPr="00725C91" w:rsidRDefault="00EF54A4" w:rsidP="00725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725C91">
              <w:rPr>
                <w:rFonts w:ascii="Arial" w:eastAsia="Times New Roman" w:hAnsi="Arial" w:cs="Arial"/>
                <w:color w:val="000000"/>
                <w:lang w:eastAsia="en-CA"/>
              </w:rPr>
              <w:t xml:space="preserve">IESO and Provincial Controller </w:t>
            </w:r>
            <w:r w:rsidR="00A47B8A" w:rsidRPr="00725C91">
              <w:rPr>
                <w:rFonts w:ascii="Arial" w:eastAsia="Times New Roman" w:hAnsi="Arial" w:cs="Arial"/>
                <w:color w:val="000000"/>
                <w:lang w:eastAsia="en-CA"/>
              </w:rPr>
              <w:t xml:space="preserve">to </w:t>
            </w:r>
            <w:r w:rsidRPr="00725C91">
              <w:rPr>
                <w:rFonts w:ascii="Arial" w:eastAsia="Times New Roman" w:hAnsi="Arial" w:cs="Arial"/>
                <w:color w:val="000000"/>
                <w:lang w:eastAsia="en-CA"/>
              </w:rPr>
              <w:t>assess options</w:t>
            </w:r>
          </w:p>
          <w:p w:rsidR="00EF54A4" w:rsidRPr="00CE7405" w:rsidRDefault="00EF54A4" w:rsidP="008F465D">
            <w:pPr>
              <w:pStyle w:val="ListParagraph"/>
              <w:spacing w:after="0" w:line="240" w:lineRule="auto"/>
              <w:ind w:left="110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1405" w:type="dxa"/>
            <w:shd w:val="clear" w:color="auto" w:fill="F2F2F2" w:themeFill="background1" w:themeFillShade="F2"/>
            <w:noWrap/>
            <w:vAlign w:val="center"/>
            <w:hideMark/>
          </w:tcPr>
          <w:p w:rsidR="00EF54A4" w:rsidRPr="004A282F" w:rsidRDefault="00EF54A4" w:rsidP="00D7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July 31</w:t>
            </w:r>
            <w:r w:rsidRPr="00D74058">
              <w:rPr>
                <w:rFonts w:ascii="Arial" w:eastAsia="Times New Roman" w:hAnsi="Arial" w:cs="Arial"/>
                <w:color w:val="000000"/>
                <w:vertAlign w:val="superscript"/>
                <w:lang w:eastAsia="en-CA"/>
              </w:rPr>
              <w:t>st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</w:p>
        </w:tc>
      </w:tr>
      <w:tr w:rsidR="00EF54A4" w:rsidRPr="003D2995" w:rsidTr="00A47B8A">
        <w:trPr>
          <w:cantSplit/>
          <w:trHeight w:val="300"/>
          <w:jc w:val="center"/>
        </w:trPr>
        <w:tc>
          <w:tcPr>
            <w:tcW w:w="339" w:type="dxa"/>
            <w:shd w:val="clear" w:color="auto" w:fill="auto"/>
            <w:noWrap/>
            <w:vAlign w:val="center"/>
            <w:hideMark/>
          </w:tcPr>
          <w:p w:rsidR="00EF54A4" w:rsidRPr="003D2995" w:rsidRDefault="0018318B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3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F54A4" w:rsidRPr="003D2995" w:rsidRDefault="00EF54A4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PILs Exemption</w:t>
            </w:r>
          </w:p>
        </w:tc>
        <w:tc>
          <w:tcPr>
            <w:tcW w:w="4461" w:type="dxa"/>
            <w:shd w:val="clear" w:color="auto" w:fill="auto"/>
            <w:vAlign w:val="center"/>
          </w:tcPr>
          <w:p w:rsidR="00EF54A4" w:rsidRPr="004A282F" w:rsidRDefault="00EF54A4" w:rsidP="00D7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Broad PILs exemption for OPG relating to the Trust would address tax leakage </w:t>
            </w:r>
            <w:r w:rsidR="00A47B8A">
              <w:rPr>
                <w:rFonts w:ascii="Arial" w:eastAsia="Times New Roman" w:hAnsi="Arial" w:cs="Arial"/>
                <w:color w:val="000000"/>
                <w:lang w:eastAsia="en-CA"/>
              </w:rPr>
              <w:t xml:space="preserve">to the federal government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that would lead to</w:t>
            </w:r>
            <w:r w:rsidRPr="004A282F">
              <w:rPr>
                <w:rFonts w:ascii="Arial" w:eastAsia="Times New Roman" w:hAnsi="Arial" w:cs="Arial"/>
                <w:color w:val="000000"/>
                <w:lang w:eastAsia="en-CA"/>
              </w:rPr>
              <w:t xml:space="preserve"> increased costs for ratepayers</w:t>
            </w:r>
          </w:p>
        </w:tc>
        <w:tc>
          <w:tcPr>
            <w:tcW w:w="4870" w:type="dxa"/>
            <w:shd w:val="clear" w:color="auto" w:fill="auto"/>
            <w:vAlign w:val="center"/>
          </w:tcPr>
          <w:p w:rsidR="00EF54A4" w:rsidRDefault="00EF54A4" w:rsidP="00CE14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Province Tax group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has agreed in principle to</w:t>
            </w: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 provide specific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PILs exemptions as specific issues arise</w:t>
            </w:r>
          </w:p>
          <w:p w:rsidR="00EF54A4" w:rsidRPr="003D2995" w:rsidRDefault="00EF54A4" w:rsidP="00996C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However, there is risk of tax leakage if PILs exemptions not secured in timely manner</w:t>
            </w: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:rsidR="00EF54A4" w:rsidRPr="003D2995" w:rsidRDefault="0018318B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Tax regulation to be completed once structure finalized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EF54A4" w:rsidRPr="003D2995" w:rsidRDefault="0018318B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Aug 31</w:t>
            </w:r>
            <w:r w:rsidRPr="0018318B">
              <w:rPr>
                <w:rFonts w:ascii="Arial" w:eastAsia="Times New Roman" w:hAnsi="Arial" w:cs="Arial"/>
                <w:color w:val="000000"/>
                <w:vertAlign w:val="superscript"/>
                <w:lang w:eastAsia="en-CA"/>
              </w:rPr>
              <w:t>st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</w:p>
        </w:tc>
      </w:tr>
      <w:tr w:rsidR="00EF54A4" w:rsidRPr="003D2995" w:rsidTr="00A47B8A">
        <w:trPr>
          <w:cantSplit/>
          <w:trHeight w:val="300"/>
          <w:jc w:val="center"/>
        </w:trPr>
        <w:tc>
          <w:tcPr>
            <w:tcW w:w="339" w:type="dxa"/>
            <w:shd w:val="clear" w:color="auto" w:fill="F2F2F2" w:themeFill="background1" w:themeFillShade="F2"/>
            <w:noWrap/>
            <w:vAlign w:val="center"/>
            <w:hideMark/>
          </w:tcPr>
          <w:p w:rsidR="00EF54A4" w:rsidRPr="003D2995" w:rsidRDefault="0018318B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4</w:t>
            </w:r>
          </w:p>
        </w:tc>
        <w:tc>
          <w:tcPr>
            <w:tcW w:w="1305" w:type="dxa"/>
            <w:shd w:val="clear" w:color="auto" w:fill="F2F2F2" w:themeFill="background1" w:themeFillShade="F2"/>
            <w:noWrap/>
            <w:vAlign w:val="center"/>
            <w:hideMark/>
          </w:tcPr>
          <w:p w:rsidR="00EF54A4" w:rsidRPr="003D2995" w:rsidRDefault="00EF54A4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Credit Rating Process</w:t>
            </w:r>
          </w:p>
        </w:tc>
        <w:tc>
          <w:tcPr>
            <w:tcW w:w="4461" w:type="dxa"/>
            <w:shd w:val="clear" w:color="auto" w:fill="F2F2F2" w:themeFill="background1" w:themeFillShade="F2"/>
            <w:vAlign w:val="center"/>
          </w:tcPr>
          <w:p w:rsidR="00EF54A4" w:rsidRPr="004A282F" w:rsidRDefault="00EF54A4" w:rsidP="00F843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4A282F">
              <w:rPr>
                <w:rFonts w:ascii="Arial" w:eastAsia="Times New Roman" w:hAnsi="Arial" w:cs="Arial"/>
                <w:color w:val="000000"/>
                <w:lang w:eastAsia="en-CA"/>
              </w:rPr>
              <w:t xml:space="preserve">OPG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securing</w:t>
            </w:r>
            <w:r w:rsidRPr="004A282F">
              <w:rPr>
                <w:rFonts w:ascii="Arial" w:eastAsia="Times New Roman" w:hAnsi="Arial" w:cs="Arial"/>
                <w:color w:val="000000"/>
                <w:lang w:eastAsia="en-CA"/>
              </w:rPr>
              <w:t xml:space="preserve"> credit ratings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to enable the Trust to access </w:t>
            </w:r>
            <w:r w:rsidRPr="004A282F">
              <w:rPr>
                <w:rFonts w:ascii="Arial" w:eastAsia="Times New Roman" w:hAnsi="Arial" w:cs="Arial"/>
                <w:color w:val="000000"/>
                <w:lang w:eastAsia="en-CA"/>
              </w:rPr>
              <w:t>debt markets</w:t>
            </w:r>
          </w:p>
        </w:tc>
        <w:tc>
          <w:tcPr>
            <w:tcW w:w="4870" w:type="dxa"/>
            <w:shd w:val="clear" w:color="auto" w:fill="F2F2F2" w:themeFill="background1" w:themeFillShade="F2"/>
            <w:vAlign w:val="center"/>
          </w:tcPr>
          <w:p w:rsidR="00EF54A4" w:rsidRDefault="00EF54A4" w:rsidP="00D740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Key issues for rating agencies include provincial </w:t>
            </w:r>
            <w:r w:rsidR="00725C91">
              <w:rPr>
                <w:rFonts w:ascii="Arial" w:eastAsia="Times New Roman" w:hAnsi="Arial" w:cs="Arial"/>
                <w:color w:val="000000"/>
                <w:lang w:eastAsia="en-CA"/>
              </w:rPr>
              <w:t>backstop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, moratorium and repayment profile (Fair Allocation curve)</w:t>
            </w:r>
          </w:p>
          <w:p w:rsidR="00EF54A4" w:rsidRPr="004A282F" w:rsidRDefault="00725C91" w:rsidP="00725C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Rating agencies will require more time than normal to assess </w:t>
            </w:r>
            <w:r w:rsidR="00EF54A4">
              <w:rPr>
                <w:rFonts w:ascii="Arial" w:eastAsia="Times New Roman" w:hAnsi="Arial" w:cs="Arial"/>
                <w:color w:val="000000"/>
                <w:lang w:eastAsia="en-CA"/>
              </w:rPr>
              <w:t xml:space="preserve">the FHP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because it is new and complex</w:t>
            </w:r>
            <w:r w:rsidR="00EF54A4"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</w:p>
        </w:tc>
        <w:tc>
          <w:tcPr>
            <w:tcW w:w="2580" w:type="dxa"/>
            <w:shd w:val="clear" w:color="auto" w:fill="F2F2F2" w:themeFill="background1" w:themeFillShade="F2"/>
            <w:vAlign w:val="center"/>
            <w:hideMark/>
          </w:tcPr>
          <w:p w:rsidR="00EF54A4" w:rsidRPr="0018318B" w:rsidRDefault="00F84326" w:rsidP="001831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Ratings agency to conduct f</w:t>
            </w:r>
            <w:r w:rsidR="00EF54A4"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ull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ratings assessment</w:t>
            </w:r>
          </w:p>
          <w:p w:rsidR="00EF54A4" w:rsidRPr="00C31475" w:rsidRDefault="00EF54A4" w:rsidP="001831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Fair Allocation curve required for ratings assessment</w:t>
            </w:r>
          </w:p>
        </w:tc>
        <w:tc>
          <w:tcPr>
            <w:tcW w:w="1405" w:type="dxa"/>
            <w:shd w:val="clear" w:color="auto" w:fill="F2F2F2" w:themeFill="background1" w:themeFillShade="F2"/>
            <w:noWrap/>
            <w:vAlign w:val="center"/>
            <w:hideMark/>
          </w:tcPr>
          <w:p w:rsidR="00EF54A4" w:rsidRPr="0018318B" w:rsidRDefault="00EF54A4" w:rsidP="001831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Start by July 31</w:t>
            </w:r>
          </w:p>
          <w:p w:rsidR="00EF54A4" w:rsidRPr="0018318B" w:rsidRDefault="00EF54A4" w:rsidP="001831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8 week process</w:t>
            </w:r>
          </w:p>
          <w:p w:rsidR="00EF54A4" w:rsidRPr="003D2995" w:rsidRDefault="00EF54A4" w:rsidP="001831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Complete by Sept 30</w:t>
            </w:r>
          </w:p>
        </w:tc>
      </w:tr>
      <w:tr w:rsidR="00EF54A4" w:rsidRPr="003D2995" w:rsidTr="00A47B8A">
        <w:trPr>
          <w:cantSplit/>
          <w:trHeight w:val="300"/>
          <w:jc w:val="center"/>
        </w:trPr>
        <w:tc>
          <w:tcPr>
            <w:tcW w:w="339" w:type="dxa"/>
            <w:shd w:val="clear" w:color="auto" w:fill="auto"/>
            <w:noWrap/>
            <w:vAlign w:val="center"/>
            <w:hideMark/>
          </w:tcPr>
          <w:p w:rsidR="00EF54A4" w:rsidRPr="003D2995" w:rsidRDefault="0018318B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F54A4" w:rsidRPr="003D2995" w:rsidRDefault="00EF54A4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Fair Allocation Curve</w:t>
            </w:r>
          </w:p>
        </w:tc>
        <w:tc>
          <w:tcPr>
            <w:tcW w:w="4461" w:type="dxa"/>
            <w:shd w:val="clear" w:color="auto" w:fill="auto"/>
            <w:vAlign w:val="center"/>
          </w:tcPr>
          <w:p w:rsidR="00EF54A4" w:rsidRDefault="00EF54A4" w:rsidP="00CE14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Fair Allocation curve sets the limit for how much Trust can borrow and debt repayment profile</w:t>
            </w:r>
          </w:p>
          <w:p w:rsidR="00EF54A4" w:rsidRPr="005213D8" w:rsidRDefault="00EF54A4" w:rsidP="00CE14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Full program curve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is </w:t>
            </w: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required for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credit </w:t>
            </w: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rating assessment</w:t>
            </w:r>
          </w:p>
        </w:tc>
        <w:tc>
          <w:tcPr>
            <w:tcW w:w="4870" w:type="dxa"/>
            <w:shd w:val="clear" w:color="auto" w:fill="auto"/>
            <w:vAlign w:val="center"/>
          </w:tcPr>
          <w:p w:rsidR="00136D89" w:rsidRDefault="00B46E1A" w:rsidP="00136D89">
            <w:pPr>
              <w:spacing w:after="0" w:line="240" w:lineRule="auto"/>
              <w:ind w:left="-7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Fair Allocation curve is an important component of the LTEP.  </w:t>
            </w:r>
          </w:p>
          <w:p w:rsidR="00EF54A4" w:rsidRPr="009D1AD8" w:rsidRDefault="00136D89" w:rsidP="00136D89">
            <w:pPr>
              <w:spacing w:after="0" w:line="240" w:lineRule="auto"/>
              <w:ind w:left="-7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Release of </w:t>
            </w:r>
            <w:r w:rsidR="00B46E1A">
              <w:rPr>
                <w:rFonts w:ascii="Arial" w:eastAsia="Times New Roman" w:hAnsi="Arial" w:cs="Arial"/>
                <w:color w:val="000000"/>
                <w:lang w:eastAsia="en-CA"/>
              </w:rPr>
              <w:t xml:space="preserve">Fair Allocation curve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is delayed until</w:t>
            </w:r>
            <w:r w:rsidR="00EF54A4" w:rsidRPr="009D1AD8">
              <w:rPr>
                <w:rFonts w:ascii="Arial" w:eastAsia="Times New Roman" w:hAnsi="Arial" w:cs="Arial"/>
                <w:color w:val="000000"/>
                <w:lang w:eastAsia="en-CA"/>
              </w:rPr>
              <w:t xml:space="preserve"> LTEP is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finalized</w:t>
            </w: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:rsidR="00EF54A4" w:rsidRPr="009D1AD8" w:rsidRDefault="00EF54A4" w:rsidP="00136D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9D1AD8">
              <w:rPr>
                <w:rFonts w:ascii="Arial" w:eastAsia="Times New Roman" w:hAnsi="Arial" w:cs="Arial"/>
                <w:color w:val="000000"/>
                <w:lang w:eastAsia="en-CA"/>
              </w:rPr>
              <w:t>OPG propose</w:t>
            </w:r>
            <w:r w:rsidR="00136D89">
              <w:rPr>
                <w:rFonts w:ascii="Arial" w:eastAsia="Times New Roman" w:hAnsi="Arial" w:cs="Arial"/>
                <w:color w:val="000000"/>
                <w:lang w:eastAsia="en-CA"/>
              </w:rPr>
              <w:t>d a</w:t>
            </w:r>
            <w:r w:rsidRPr="009D1AD8">
              <w:rPr>
                <w:rFonts w:ascii="Arial" w:eastAsia="Times New Roman" w:hAnsi="Arial" w:cs="Arial"/>
                <w:color w:val="000000"/>
                <w:lang w:eastAsia="en-CA"/>
              </w:rPr>
              <w:t xml:space="preserve"> range approach to allow rating assessment to begin and allow time for</w:t>
            </w:r>
            <w:r w:rsidR="00725C91">
              <w:rPr>
                <w:rFonts w:ascii="Arial" w:eastAsia="Times New Roman" w:hAnsi="Arial" w:cs="Arial"/>
                <w:color w:val="000000"/>
                <w:lang w:eastAsia="en-CA"/>
              </w:rPr>
              <w:t xml:space="preserve"> Ministry to finalize </w:t>
            </w:r>
            <w:r w:rsidRPr="009D1AD8">
              <w:rPr>
                <w:rFonts w:ascii="Arial" w:eastAsia="Times New Roman" w:hAnsi="Arial" w:cs="Arial"/>
                <w:color w:val="000000"/>
                <w:lang w:eastAsia="en-CA"/>
              </w:rPr>
              <w:t>curve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EF54A4" w:rsidRPr="003D2995" w:rsidRDefault="00EF54A4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Range by </w:t>
            </w: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July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31</w:t>
            </w:r>
            <w:r w:rsidRPr="005213D8">
              <w:rPr>
                <w:rFonts w:ascii="Arial" w:eastAsia="Times New Roman" w:hAnsi="Arial" w:cs="Arial"/>
                <w:color w:val="000000"/>
                <w:vertAlign w:val="superscript"/>
                <w:lang w:eastAsia="en-CA"/>
              </w:rPr>
              <w:t>st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</w:p>
        </w:tc>
      </w:tr>
      <w:tr w:rsidR="00EF54A4" w:rsidRPr="003D2995" w:rsidTr="00A47B8A">
        <w:trPr>
          <w:cantSplit/>
          <w:trHeight w:val="64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F54A4" w:rsidRPr="003D2995" w:rsidRDefault="0018318B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F54A4" w:rsidRPr="003D2995" w:rsidRDefault="00EF54A4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Equity Injection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54A4" w:rsidRPr="004A282F" w:rsidRDefault="00F84326" w:rsidP="009D1A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A</w:t>
            </w:r>
            <w:r w:rsidR="00EF54A4" w:rsidRPr="004A282F">
              <w:rPr>
                <w:rFonts w:ascii="Arial" w:eastAsia="Times New Roman" w:hAnsi="Arial" w:cs="Arial"/>
                <w:color w:val="000000"/>
                <w:lang w:eastAsia="en-CA"/>
              </w:rPr>
              <w:t xml:space="preserve">greement </w:t>
            </w:r>
            <w:r w:rsidR="00EF54A4">
              <w:rPr>
                <w:rFonts w:ascii="Arial" w:eastAsia="Times New Roman" w:hAnsi="Arial" w:cs="Arial"/>
                <w:color w:val="000000"/>
                <w:lang w:eastAsia="en-CA"/>
              </w:rPr>
              <w:t>required to lay</w:t>
            </w:r>
            <w:r w:rsidR="00EF54A4" w:rsidRPr="004A282F">
              <w:rPr>
                <w:rFonts w:ascii="Arial" w:eastAsia="Times New Roman" w:hAnsi="Arial" w:cs="Arial"/>
                <w:color w:val="000000"/>
                <w:lang w:eastAsia="en-CA"/>
              </w:rPr>
              <w:t xml:space="preserve"> out the terms of the Province’s equity injection into OPG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54A4" w:rsidRPr="003D2995" w:rsidRDefault="00EF54A4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OPG has provided draft agreement to Province for comment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54A4" w:rsidRPr="003D2995" w:rsidRDefault="00EF54A4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Province to provide comments to OPG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F54A4" w:rsidRPr="003D2995" w:rsidRDefault="00EF54A4" w:rsidP="009D1A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August 15</w:t>
            </w:r>
            <w:r w:rsidRPr="009D1AD8">
              <w:rPr>
                <w:rFonts w:ascii="Arial" w:eastAsia="Times New Roman" w:hAnsi="Arial" w:cs="Arial"/>
                <w:color w:val="000000"/>
                <w:vertAlign w:val="superscript"/>
                <w:lang w:eastAsia="en-CA"/>
              </w:rPr>
              <w:t>th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  </w:t>
            </w:r>
          </w:p>
        </w:tc>
      </w:tr>
    </w:tbl>
    <w:p w:rsidR="00044C1F" w:rsidRDefault="00044C1F" w:rsidP="00044C1F">
      <w:pPr>
        <w:pStyle w:val="ListParagraph"/>
        <w:ind w:left="360"/>
        <w:rPr>
          <w:rFonts w:ascii="Arial" w:hAnsi="Arial" w:cs="Arial"/>
          <w:b/>
        </w:rPr>
      </w:pPr>
    </w:p>
    <w:p w:rsidR="00044C1F" w:rsidRPr="00044C1F" w:rsidRDefault="00044C1F" w:rsidP="00725C9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Accounting Consolidation</w:t>
      </w:r>
      <w:r w:rsidRPr="00044C1F">
        <w:rPr>
          <w:rFonts w:ascii="Arial" w:hAnsi="Arial" w:cs="Arial"/>
          <w:b/>
        </w:rPr>
        <w:t xml:space="preserve"> Issues:</w:t>
      </w:r>
    </w:p>
    <w:p w:rsidR="00044C1F" w:rsidRPr="00044C1F" w:rsidRDefault="00044C1F" w:rsidP="00725C91">
      <w:pPr>
        <w:spacing w:after="0"/>
        <w:rPr>
          <w:rFonts w:ascii="Arial" w:hAnsi="Arial" w:cs="Arial"/>
        </w:rPr>
      </w:pPr>
      <w:r w:rsidRPr="00044C1F">
        <w:rPr>
          <w:rFonts w:ascii="Arial" w:hAnsi="Arial" w:cs="Arial"/>
        </w:rPr>
        <w:t xml:space="preserve">Create risk </w:t>
      </w:r>
      <w:r>
        <w:rPr>
          <w:rFonts w:ascii="Arial" w:hAnsi="Arial" w:cs="Arial"/>
        </w:rPr>
        <w:t>that Trust’s assets will not be consolidated to the Province’s books</w:t>
      </w:r>
    </w:p>
    <w:tbl>
      <w:tblPr>
        <w:tblW w:w="14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"/>
        <w:gridCol w:w="1598"/>
        <w:gridCol w:w="2468"/>
        <w:gridCol w:w="2430"/>
        <w:gridCol w:w="4264"/>
        <w:gridCol w:w="2369"/>
        <w:gridCol w:w="1466"/>
      </w:tblGrid>
      <w:tr w:rsidR="00996C18" w:rsidRPr="003D2995" w:rsidTr="00996C18">
        <w:trPr>
          <w:trHeight w:val="300"/>
          <w:tblHeader/>
          <w:jc w:val="center"/>
        </w:trPr>
        <w:tc>
          <w:tcPr>
            <w:tcW w:w="1937" w:type="dxa"/>
            <w:gridSpan w:val="2"/>
            <w:shd w:val="clear" w:color="auto" w:fill="4F81BD" w:themeFill="accent1"/>
            <w:noWrap/>
            <w:hideMark/>
          </w:tcPr>
          <w:p w:rsidR="00A47B8A" w:rsidRPr="003D2995" w:rsidRDefault="00A47B8A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Outstanding Issue</w:t>
            </w:r>
          </w:p>
        </w:tc>
        <w:tc>
          <w:tcPr>
            <w:tcW w:w="4898" w:type="dxa"/>
            <w:gridSpan w:val="2"/>
            <w:shd w:val="clear" w:color="auto" w:fill="4F81BD" w:themeFill="accent1"/>
          </w:tcPr>
          <w:p w:rsidR="00A47B8A" w:rsidRPr="003D2995" w:rsidRDefault="00A47B8A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Description</w:t>
            </w:r>
          </w:p>
        </w:tc>
        <w:tc>
          <w:tcPr>
            <w:tcW w:w="4264" w:type="dxa"/>
            <w:shd w:val="clear" w:color="auto" w:fill="4F81BD" w:themeFill="accent1"/>
          </w:tcPr>
          <w:p w:rsidR="00A47B8A" w:rsidRPr="003D2995" w:rsidRDefault="00A47B8A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Current Status</w:t>
            </w:r>
          </w:p>
        </w:tc>
        <w:tc>
          <w:tcPr>
            <w:tcW w:w="2369" w:type="dxa"/>
            <w:shd w:val="clear" w:color="auto" w:fill="4F81BD" w:themeFill="accent1"/>
          </w:tcPr>
          <w:p w:rsidR="00A47B8A" w:rsidRPr="003D2995" w:rsidRDefault="00A47B8A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Next Steps</w:t>
            </w:r>
          </w:p>
        </w:tc>
        <w:tc>
          <w:tcPr>
            <w:tcW w:w="1466" w:type="dxa"/>
            <w:shd w:val="clear" w:color="auto" w:fill="4F81BD" w:themeFill="accent1"/>
            <w:noWrap/>
            <w:hideMark/>
          </w:tcPr>
          <w:p w:rsidR="00A47B8A" w:rsidRPr="003D2995" w:rsidRDefault="00A47B8A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Timing</w:t>
            </w:r>
          </w:p>
        </w:tc>
      </w:tr>
      <w:tr w:rsidR="00996C18" w:rsidRPr="003D2995" w:rsidTr="00996C18">
        <w:trPr>
          <w:trHeight w:val="575"/>
          <w:jc w:val="center"/>
        </w:trPr>
        <w:tc>
          <w:tcPr>
            <w:tcW w:w="339" w:type="dxa"/>
            <w:vMerge w:val="restart"/>
            <w:shd w:val="clear" w:color="auto" w:fill="auto"/>
            <w:noWrap/>
            <w:vAlign w:val="center"/>
            <w:hideMark/>
          </w:tcPr>
          <w:p w:rsidR="00996C18" w:rsidRPr="003D2995" w:rsidRDefault="00996C1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7</w:t>
            </w:r>
          </w:p>
        </w:tc>
        <w:tc>
          <w:tcPr>
            <w:tcW w:w="1598" w:type="dxa"/>
            <w:vMerge w:val="restart"/>
            <w:shd w:val="clear" w:color="auto" w:fill="auto"/>
            <w:noWrap/>
            <w:vAlign w:val="center"/>
            <w:hideMark/>
          </w:tcPr>
          <w:p w:rsidR="00996C18" w:rsidRPr="003D2995" w:rsidRDefault="00996C1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Commercial Arrangements</w:t>
            </w:r>
          </w:p>
        </w:tc>
        <w:tc>
          <w:tcPr>
            <w:tcW w:w="2468" w:type="dxa"/>
            <w:vMerge w:val="restart"/>
            <w:shd w:val="clear" w:color="auto" w:fill="auto"/>
            <w:vAlign w:val="center"/>
          </w:tcPr>
          <w:p w:rsidR="00996C18" w:rsidRPr="00996C18" w:rsidRDefault="00996C18" w:rsidP="00996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996C18">
              <w:rPr>
                <w:rFonts w:ascii="Arial" w:eastAsia="Times New Roman" w:hAnsi="Arial" w:cs="Arial"/>
                <w:color w:val="000000"/>
                <w:lang w:eastAsia="en-CA"/>
              </w:rPr>
              <w:t>Fundamental accounting requirement that OPG participation is on a commercial basis and demonstrate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s</w:t>
            </w:r>
            <w:r w:rsidRPr="00996C18">
              <w:rPr>
                <w:rFonts w:ascii="Arial" w:eastAsia="Times New Roman" w:hAnsi="Arial" w:cs="Arial"/>
                <w:color w:val="000000"/>
                <w:lang w:eastAsia="en-CA"/>
              </w:rPr>
              <w:t xml:space="preserve"> independence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, otherwise, </w:t>
            </w:r>
            <w:r w:rsidRPr="00996C18">
              <w:rPr>
                <w:rFonts w:ascii="Arial" w:eastAsia="Times New Roman" w:hAnsi="Arial" w:cs="Arial"/>
                <w:color w:val="000000"/>
                <w:lang w:eastAsia="en-CA"/>
              </w:rPr>
              <w:t>create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s</w:t>
            </w:r>
            <w:r w:rsidRPr="00996C18">
              <w:rPr>
                <w:rFonts w:ascii="Arial" w:eastAsia="Times New Roman" w:hAnsi="Arial" w:cs="Arial"/>
                <w:color w:val="000000"/>
                <w:lang w:eastAsia="en-CA"/>
              </w:rPr>
              <w:t xml:space="preserve"> accounting consolidation issues</w:t>
            </w: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:rsidR="00996C18" w:rsidRPr="00996C18" w:rsidRDefault="00996C18" w:rsidP="00996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F03B9B">
              <w:rPr>
                <w:rFonts w:ascii="Arial" w:eastAsia="Times New Roman" w:hAnsi="Arial" w:cs="Arial"/>
                <w:color w:val="000000"/>
                <w:u w:val="single"/>
                <w:lang w:eastAsia="en-CA"/>
              </w:rPr>
              <w:t>Fees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:</w:t>
            </w:r>
            <w:r w:rsidRPr="00996C18">
              <w:rPr>
                <w:rFonts w:ascii="Arial" w:eastAsia="Times New Roman" w:hAnsi="Arial" w:cs="Arial"/>
                <w:color w:val="000000"/>
                <w:lang w:eastAsia="en-CA"/>
              </w:rPr>
              <w:t xml:space="preserve"> OPG will collect fees for managing the Trust</w:t>
            </w:r>
          </w:p>
        </w:tc>
        <w:tc>
          <w:tcPr>
            <w:tcW w:w="4264" w:type="dxa"/>
            <w:vMerge w:val="restart"/>
            <w:shd w:val="clear" w:color="auto" w:fill="auto"/>
            <w:vAlign w:val="center"/>
          </w:tcPr>
          <w:p w:rsidR="00996C18" w:rsidRDefault="00996C18" w:rsidP="009D1A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OPG has proposed a commercial benchmarking approach to setting fees</w:t>
            </w:r>
          </w:p>
          <w:p w:rsidR="00996C18" w:rsidRPr="003D2995" w:rsidRDefault="00996C18" w:rsidP="009D1A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OEB involvement to focus on appropriate application of benchmarking</w:t>
            </w:r>
          </w:p>
        </w:tc>
        <w:tc>
          <w:tcPr>
            <w:tcW w:w="2369" w:type="dxa"/>
            <w:shd w:val="clear" w:color="auto" w:fill="auto"/>
            <w:vAlign w:val="center"/>
            <w:hideMark/>
          </w:tcPr>
          <w:p w:rsidR="00996C18" w:rsidRPr="003D2995" w:rsidRDefault="00996C1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Province to respond to OPG’s proposal</w:t>
            </w:r>
          </w:p>
        </w:tc>
        <w:tc>
          <w:tcPr>
            <w:tcW w:w="1466" w:type="dxa"/>
            <w:shd w:val="clear" w:color="auto" w:fill="auto"/>
            <w:noWrap/>
            <w:vAlign w:val="center"/>
            <w:hideMark/>
          </w:tcPr>
          <w:p w:rsidR="00996C18" w:rsidRPr="003D2995" w:rsidRDefault="00996C1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July 31</w:t>
            </w:r>
          </w:p>
        </w:tc>
      </w:tr>
      <w:tr w:rsidR="00996C18" w:rsidRPr="003D2995" w:rsidTr="00996C18">
        <w:trPr>
          <w:trHeight w:val="300"/>
          <w:jc w:val="center"/>
        </w:trPr>
        <w:tc>
          <w:tcPr>
            <w:tcW w:w="339" w:type="dxa"/>
            <w:vMerge/>
            <w:shd w:val="clear" w:color="auto" w:fill="auto"/>
            <w:noWrap/>
            <w:vAlign w:val="center"/>
            <w:hideMark/>
          </w:tcPr>
          <w:p w:rsidR="00996C18" w:rsidRPr="003D2995" w:rsidRDefault="00996C1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1598" w:type="dxa"/>
            <w:vMerge/>
            <w:shd w:val="clear" w:color="auto" w:fill="auto"/>
            <w:noWrap/>
            <w:vAlign w:val="center"/>
            <w:hideMark/>
          </w:tcPr>
          <w:p w:rsidR="00996C18" w:rsidRPr="003D2995" w:rsidRDefault="00996C1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996C18" w:rsidRPr="003D2995" w:rsidRDefault="00996C18" w:rsidP="00786E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:rsidR="00996C18" w:rsidRPr="003D2995" w:rsidRDefault="00996C18" w:rsidP="00786E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4264" w:type="dxa"/>
            <w:vMerge/>
            <w:shd w:val="clear" w:color="auto" w:fill="auto"/>
            <w:vAlign w:val="center"/>
          </w:tcPr>
          <w:p w:rsidR="00996C18" w:rsidRPr="003D2995" w:rsidRDefault="00996C1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2369" w:type="dxa"/>
            <w:shd w:val="clear" w:color="auto" w:fill="auto"/>
            <w:vAlign w:val="center"/>
            <w:hideMark/>
          </w:tcPr>
          <w:p w:rsidR="00996C18" w:rsidRPr="003D2995" w:rsidRDefault="00996C1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Regulation to be drafted</w:t>
            </w:r>
          </w:p>
        </w:tc>
        <w:tc>
          <w:tcPr>
            <w:tcW w:w="1466" w:type="dxa"/>
            <w:shd w:val="clear" w:color="auto" w:fill="auto"/>
            <w:noWrap/>
            <w:vAlign w:val="center"/>
            <w:hideMark/>
          </w:tcPr>
          <w:p w:rsidR="00996C18" w:rsidRPr="003D2995" w:rsidRDefault="00996C1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Mid-August</w:t>
            </w:r>
          </w:p>
        </w:tc>
      </w:tr>
      <w:tr w:rsidR="00996C18" w:rsidRPr="003D2995" w:rsidTr="00996C18">
        <w:trPr>
          <w:trHeight w:val="827"/>
          <w:jc w:val="center"/>
        </w:trPr>
        <w:tc>
          <w:tcPr>
            <w:tcW w:w="339" w:type="dxa"/>
            <w:vMerge/>
            <w:shd w:val="clear" w:color="auto" w:fill="auto"/>
            <w:noWrap/>
            <w:vAlign w:val="center"/>
            <w:hideMark/>
          </w:tcPr>
          <w:p w:rsidR="00996C18" w:rsidRPr="003D2995" w:rsidRDefault="00996C1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1598" w:type="dxa"/>
            <w:vMerge/>
            <w:shd w:val="clear" w:color="auto" w:fill="auto"/>
            <w:noWrap/>
            <w:vAlign w:val="center"/>
            <w:hideMark/>
          </w:tcPr>
          <w:p w:rsidR="00996C18" w:rsidRPr="003D2995" w:rsidRDefault="00996C1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996C18" w:rsidRPr="00996C18" w:rsidRDefault="00996C18" w:rsidP="00996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996C18" w:rsidRPr="00996C18" w:rsidRDefault="00996C18" w:rsidP="00996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F03B9B">
              <w:rPr>
                <w:rFonts w:ascii="Arial" w:eastAsia="Times New Roman" w:hAnsi="Arial" w:cs="Arial"/>
                <w:color w:val="000000"/>
                <w:u w:val="single"/>
                <w:lang w:eastAsia="en-CA"/>
              </w:rPr>
              <w:t>Sub-Debt Pricing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:</w:t>
            </w:r>
            <w:r w:rsidRPr="00996C18"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P</w:t>
            </w:r>
            <w:r w:rsidRPr="00996C18">
              <w:rPr>
                <w:rFonts w:ascii="Arial" w:eastAsia="Times New Roman" w:hAnsi="Arial" w:cs="Arial"/>
                <w:color w:val="000000"/>
                <w:lang w:eastAsia="en-CA"/>
              </w:rPr>
              <w:t xml:space="preserve">rocess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required</w:t>
            </w:r>
            <w:r w:rsidRPr="00996C18">
              <w:rPr>
                <w:rFonts w:ascii="Arial" w:eastAsia="Times New Roman" w:hAnsi="Arial" w:cs="Arial"/>
                <w:color w:val="000000"/>
                <w:lang w:eastAsia="en-CA"/>
              </w:rPr>
              <w:t xml:space="preserve"> for setting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rates on</w:t>
            </w:r>
            <w:r w:rsidRPr="00996C18">
              <w:rPr>
                <w:rFonts w:ascii="Arial" w:eastAsia="Times New Roman" w:hAnsi="Arial" w:cs="Arial"/>
                <w:color w:val="000000"/>
                <w:lang w:eastAsia="en-CA"/>
              </w:rPr>
              <w:t xml:space="preserve"> subordinated (more risky) debt that OPG lends to the Trust </w:t>
            </w:r>
          </w:p>
        </w:tc>
        <w:tc>
          <w:tcPr>
            <w:tcW w:w="4264" w:type="dxa"/>
            <w:shd w:val="clear" w:color="auto" w:fill="auto"/>
            <w:vAlign w:val="center"/>
          </w:tcPr>
          <w:p w:rsidR="00996C18" w:rsidRPr="003D2995" w:rsidRDefault="00996C18" w:rsidP="00CD68D1">
            <w:pPr>
              <w:spacing w:after="0" w:line="240" w:lineRule="auto"/>
              <w:ind w:left="-70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4A282F">
              <w:rPr>
                <w:rFonts w:ascii="Arial" w:eastAsia="Times New Roman" w:hAnsi="Arial" w:cs="Arial"/>
                <w:color w:val="000000"/>
                <w:lang w:eastAsia="en-CA"/>
              </w:rPr>
              <w:t xml:space="preserve">Term Sheet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provided to OFA</w:t>
            </w:r>
            <w:r w:rsidRPr="004A282F">
              <w:rPr>
                <w:rFonts w:ascii="Arial" w:eastAsia="Times New Roman" w:hAnsi="Arial" w:cs="Arial"/>
                <w:color w:val="000000"/>
                <w:lang w:eastAsia="en-CA"/>
              </w:rPr>
              <w:t xml:space="preserve"> based on existing protocol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used to set rate for OPG’s current debt borrowed from the OFA</w:t>
            </w:r>
          </w:p>
        </w:tc>
        <w:tc>
          <w:tcPr>
            <w:tcW w:w="2369" w:type="dxa"/>
            <w:shd w:val="clear" w:color="auto" w:fill="auto"/>
            <w:vAlign w:val="center"/>
            <w:hideMark/>
          </w:tcPr>
          <w:p w:rsidR="00996C18" w:rsidRPr="003D2995" w:rsidRDefault="00996C18" w:rsidP="009D1A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Province to respond to OPG proposal</w:t>
            </w:r>
          </w:p>
        </w:tc>
        <w:tc>
          <w:tcPr>
            <w:tcW w:w="1466" w:type="dxa"/>
            <w:shd w:val="clear" w:color="auto" w:fill="auto"/>
            <w:noWrap/>
            <w:vAlign w:val="center"/>
            <w:hideMark/>
          </w:tcPr>
          <w:p w:rsidR="00996C18" w:rsidRPr="003D2995" w:rsidRDefault="00996C1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July 31</w:t>
            </w:r>
          </w:p>
        </w:tc>
      </w:tr>
    </w:tbl>
    <w:p w:rsidR="00996C18" w:rsidRDefault="00996C18" w:rsidP="00996C18">
      <w:pPr>
        <w:pStyle w:val="ListParagraph"/>
        <w:ind w:left="360"/>
        <w:rPr>
          <w:rFonts w:ascii="Arial" w:hAnsi="Arial" w:cs="Arial"/>
          <w:b/>
        </w:rPr>
      </w:pPr>
    </w:p>
    <w:p w:rsidR="00996C18" w:rsidRPr="00044C1F" w:rsidRDefault="00F03B9B" w:rsidP="00996C1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Resolved</w:t>
      </w:r>
      <w:r w:rsidR="00996C18" w:rsidRPr="00044C1F">
        <w:rPr>
          <w:rFonts w:ascii="Arial" w:hAnsi="Arial" w:cs="Arial"/>
          <w:b/>
        </w:rPr>
        <w:t xml:space="preserve"> Issues:</w:t>
      </w:r>
    </w:p>
    <w:tbl>
      <w:tblPr>
        <w:tblW w:w="14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"/>
        <w:gridCol w:w="1305"/>
        <w:gridCol w:w="5069"/>
        <w:gridCol w:w="4157"/>
        <w:gridCol w:w="2563"/>
        <w:gridCol w:w="1405"/>
      </w:tblGrid>
      <w:tr w:rsidR="0018318B" w:rsidRPr="003D2995" w:rsidTr="00996C18">
        <w:trPr>
          <w:cantSplit/>
          <w:trHeight w:val="300"/>
          <w:tblHeader/>
          <w:jc w:val="center"/>
        </w:trPr>
        <w:tc>
          <w:tcPr>
            <w:tcW w:w="1766" w:type="dxa"/>
            <w:gridSpan w:val="2"/>
            <w:shd w:val="clear" w:color="auto" w:fill="4F81BD" w:themeFill="accent1"/>
            <w:noWrap/>
            <w:hideMark/>
          </w:tcPr>
          <w:p w:rsidR="0018318B" w:rsidRPr="003D2995" w:rsidRDefault="0018318B" w:rsidP="001468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Outstanding Issue</w:t>
            </w:r>
          </w:p>
        </w:tc>
        <w:tc>
          <w:tcPr>
            <w:tcW w:w="5069" w:type="dxa"/>
            <w:shd w:val="clear" w:color="auto" w:fill="4F81BD" w:themeFill="accent1"/>
          </w:tcPr>
          <w:p w:rsidR="0018318B" w:rsidRPr="003D2995" w:rsidRDefault="0018318B" w:rsidP="001468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Description</w:t>
            </w:r>
          </w:p>
        </w:tc>
        <w:tc>
          <w:tcPr>
            <w:tcW w:w="4157" w:type="dxa"/>
            <w:shd w:val="clear" w:color="auto" w:fill="4F81BD" w:themeFill="accent1"/>
          </w:tcPr>
          <w:p w:rsidR="0018318B" w:rsidRPr="003D2995" w:rsidRDefault="0018318B" w:rsidP="001468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Current Status</w:t>
            </w:r>
          </w:p>
        </w:tc>
        <w:tc>
          <w:tcPr>
            <w:tcW w:w="2563" w:type="dxa"/>
            <w:shd w:val="clear" w:color="auto" w:fill="4F81BD" w:themeFill="accent1"/>
          </w:tcPr>
          <w:p w:rsidR="0018318B" w:rsidRPr="003D2995" w:rsidRDefault="0018318B" w:rsidP="001468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Next Steps</w:t>
            </w:r>
          </w:p>
        </w:tc>
        <w:tc>
          <w:tcPr>
            <w:tcW w:w="1405" w:type="dxa"/>
            <w:shd w:val="clear" w:color="auto" w:fill="4F81BD" w:themeFill="accent1"/>
            <w:noWrap/>
            <w:hideMark/>
          </w:tcPr>
          <w:p w:rsidR="0018318B" w:rsidRPr="003D2995" w:rsidRDefault="0018318B" w:rsidP="001468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Timing</w:t>
            </w:r>
          </w:p>
        </w:tc>
      </w:tr>
      <w:tr w:rsidR="0018318B" w:rsidRPr="003D2995" w:rsidTr="00996C18">
        <w:trPr>
          <w:cantSplit/>
          <w:trHeight w:val="64"/>
          <w:jc w:val="center"/>
        </w:trPr>
        <w:tc>
          <w:tcPr>
            <w:tcW w:w="461" w:type="dxa"/>
            <w:shd w:val="clear" w:color="auto" w:fill="auto"/>
            <w:noWrap/>
            <w:vAlign w:val="center"/>
          </w:tcPr>
          <w:p w:rsidR="0018318B" w:rsidRPr="003D2995" w:rsidRDefault="0018318B" w:rsidP="001468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9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18318B" w:rsidRPr="003D2995" w:rsidRDefault="0018318B" w:rsidP="001468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Indemnity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18318B" w:rsidRPr="003D2995" w:rsidRDefault="0018318B" w:rsidP="001468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6F657D">
              <w:rPr>
                <w:rFonts w:ascii="Arial" w:eastAsia="Times New Roman" w:hAnsi="Arial" w:cs="Arial"/>
                <w:color w:val="000000"/>
                <w:lang w:eastAsia="en-CA"/>
              </w:rPr>
              <w:t xml:space="preserve">The Province has provided an indemnity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for</w:t>
            </w:r>
            <w:r w:rsidRPr="006F657D"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OPG’s directors and</w:t>
            </w:r>
            <w:r w:rsidRPr="006F657D">
              <w:rPr>
                <w:rFonts w:ascii="Arial" w:eastAsia="Times New Roman" w:hAnsi="Arial" w:cs="Arial"/>
                <w:color w:val="000000"/>
                <w:lang w:eastAsia="en-CA"/>
              </w:rPr>
              <w:t xml:space="preserve"> officers for any losses arising from any claims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related to the FHP</w:t>
            </w:r>
          </w:p>
        </w:tc>
        <w:tc>
          <w:tcPr>
            <w:tcW w:w="4157" w:type="dxa"/>
            <w:shd w:val="clear" w:color="auto" w:fill="auto"/>
            <w:vAlign w:val="center"/>
          </w:tcPr>
          <w:p w:rsidR="0018318B" w:rsidRPr="003D2995" w:rsidRDefault="0018318B" w:rsidP="001468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Complete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18318B" w:rsidRPr="003D2995" w:rsidRDefault="0018318B" w:rsidP="001468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Complete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18318B" w:rsidRPr="003D2995" w:rsidRDefault="0018318B" w:rsidP="001468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N/A</w:t>
            </w:r>
          </w:p>
        </w:tc>
      </w:tr>
      <w:tr w:rsidR="0018318B" w:rsidRPr="003D2995" w:rsidTr="00996C18">
        <w:trPr>
          <w:cantSplit/>
          <w:trHeight w:val="300"/>
          <w:jc w:val="center"/>
        </w:trPr>
        <w:tc>
          <w:tcPr>
            <w:tcW w:w="461" w:type="dxa"/>
            <w:shd w:val="clear" w:color="auto" w:fill="F2F2F2" w:themeFill="background1" w:themeFillShade="F2"/>
            <w:noWrap/>
            <w:vAlign w:val="center"/>
            <w:hideMark/>
          </w:tcPr>
          <w:p w:rsidR="0018318B" w:rsidRPr="003D2995" w:rsidRDefault="0018318B" w:rsidP="001468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10</w:t>
            </w:r>
          </w:p>
        </w:tc>
        <w:tc>
          <w:tcPr>
            <w:tcW w:w="1305" w:type="dxa"/>
            <w:shd w:val="clear" w:color="auto" w:fill="F2F2F2" w:themeFill="background1" w:themeFillShade="F2"/>
            <w:noWrap/>
            <w:vAlign w:val="center"/>
            <w:hideMark/>
          </w:tcPr>
          <w:p w:rsidR="0018318B" w:rsidRPr="003D2995" w:rsidRDefault="0018318B" w:rsidP="001468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Regulation -  "Asks" vs Final</w:t>
            </w:r>
          </w:p>
        </w:tc>
        <w:tc>
          <w:tcPr>
            <w:tcW w:w="5069" w:type="dxa"/>
            <w:shd w:val="clear" w:color="auto" w:fill="F2F2F2" w:themeFill="background1" w:themeFillShade="F2"/>
            <w:vAlign w:val="center"/>
          </w:tcPr>
          <w:p w:rsidR="0018318B" w:rsidRDefault="0018318B" w:rsidP="001468B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Final</w:t>
            </w:r>
            <w:r w:rsidRPr="00CE144D">
              <w:rPr>
                <w:rFonts w:ascii="Arial" w:eastAsia="Times New Roman" w:hAnsi="Arial" w:cs="Arial"/>
                <w:color w:val="000000"/>
                <w:lang w:eastAsia="en-CA"/>
              </w:rPr>
              <w:t xml:space="preserve"> regulations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 will allow Trust to borrow but did not address all gaps identified by the dealers in earlier drafts</w:t>
            </w:r>
          </w:p>
          <w:p w:rsidR="0018318B" w:rsidRPr="00CE144D" w:rsidRDefault="0018318B" w:rsidP="001468B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This could put negative pressure on credit rating and costs</w:t>
            </w:r>
          </w:p>
        </w:tc>
        <w:tc>
          <w:tcPr>
            <w:tcW w:w="4157" w:type="dxa"/>
            <w:shd w:val="clear" w:color="auto" w:fill="F2F2F2" w:themeFill="background1" w:themeFillShade="F2"/>
            <w:vAlign w:val="center"/>
          </w:tcPr>
          <w:p w:rsidR="0018318B" w:rsidRPr="00A84770" w:rsidRDefault="00F03B9B" w:rsidP="001468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Substantially Complete</w:t>
            </w:r>
          </w:p>
        </w:tc>
        <w:tc>
          <w:tcPr>
            <w:tcW w:w="2563" w:type="dxa"/>
            <w:shd w:val="clear" w:color="auto" w:fill="F2F2F2" w:themeFill="background1" w:themeFillShade="F2"/>
            <w:vAlign w:val="center"/>
            <w:hideMark/>
          </w:tcPr>
          <w:p w:rsidR="0018318B" w:rsidRPr="00A84770" w:rsidRDefault="00F03B9B" w:rsidP="001468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Substantially Complete</w:t>
            </w:r>
          </w:p>
        </w:tc>
        <w:tc>
          <w:tcPr>
            <w:tcW w:w="1405" w:type="dxa"/>
            <w:shd w:val="clear" w:color="auto" w:fill="F2F2F2" w:themeFill="background1" w:themeFillShade="F2"/>
            <w:noWrap/>
            <w:vAlign w:val="center"/>
            <w:hideMark/>
          </w:tcPr>
          <w:p w:rsidR="0018318B" w:rsidRPr="003D2995" w:rsidRDefault="00F03B9B" w:rsidP="001468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N/A</w:t>
            </w:r>
          </w:p>
        </w:tc>
      </w:tr>
    </w:tbl>
    <w:p w:rsidR="0018318B" w:rsidRDefault="0018318B" w:rsidP="00725C91"/>
    <w:sectPr w:rsidR="0018318B" w:rsidSect="000B504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4D3" w:rsidRDefault="00E354D3" w:rsidP="003D2995">
      <w:pPr>
        <w:spacing w:after="0" w:line="240" w:lineRule="auto"/>
      </w:pPr>
      <w:r>
        <w:separator/>
      </w:r>
    </w:p>
  </w:endnote>
  <w:endnote w:type="continuationSeparator" w:id="0">
    <w:p w:rsidR="00E354D3" w:rsidRDefault="00E354D3" w:rsidP="003D2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4D3" w:rsidRDefault="00E354D3" w:rsidP="003D2995">
      <w:pPr>
        <w:spacing w:after="0" w:line="240" w:lineRule="auto"/>
      </w:pPr>
      <w:r>
        <w:separator/>
      </w:r>
    </w:p>
  </w:footnote>
  <w:footnote w:type="continuationSeparator" w:id="0">
    <w:p w:rsidR="00E354D3" w:rsidRDefault="00E354D3" w:rsidP="003D2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995" w:rsidRPr="003D2995" w:rsidRDefault="003D2995" w:rsidP="003D2995">
    <w:pPr>
      <w:pStyle w:val="Header"/>
      <w:jc w:val="center"/>
      <w:rPr>
        <w:rFonts w:ascii="Arial" w:hAnsi="Arial" w:cs="Arial"/>
        <w:b/>
        <w:sz w:val="28"/>
        <w:u w:val="single"/>
      </w:rPr>
    </w:pPr>
    <w:r w:rsidRPr="003D2995">
      <w:rPr>
        <w:rFonts w:ascii="Arial" w:hAnsi="Arial" w:cs="Arial"/>
        <w:b/>
        <w:sz w:val="28"/>
        <w:u w:val="single"/>
      </w:rPr>
      <w:t>Key Outstanding Issues – Fair Hydro Plan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4A6"/>
    <w:multiLevelType w:val="hybridMultilevel"/>
    <w:tmpl w:val="8E0A808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C1A41"/>
    <w:multiLevelType w:val="hybridMultilevel"/>
    <w:tmpl w:val="CF1C05C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150D8"/>
    <w:multiLevelType w:val="hybridMultilevel"/>
    <w:tmpl w:val="74648C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250A6D"/>
    <w:multiLevelType w:val="hybridMultilevel"/>
    <w:tmpl w:val="A3383E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77F"/>
    <w:rsid w:val="00044C1F"/>
    <w:rsid w:val="000545C3"/>
    <w:rsid w:val="000B504C"/>
    <w:rsid w:val="000E434A"/>
    <w:rsid w:val="000E5178"/>
    <w:rsid w:val="00102A0B"/>
    <w:rsid w:val="0011488A"/>
    <w:rsid w:val="00136D89"/>
    <w:rsid w:val="00143EE3"/>
    <w:rsid w:val="0018318B"/>
    <w:rsid w:val="001E46F2"/>
    <w:rsid w:val="00224E4C"/>
    <w:rsid w:val="0027635B"/>
    <w:rsid w:val="002E18D1"/>
    <w:rsid w:val="002F6DA4"/>
    <w:rsid w:val="00351858"/>
    <w:rsid w:val="00352B08"/>
    <w:rsid w:val="003D2995"/>
    <w:rsid w:val="003F6317"/>
    <w:rsid w:val="004046DB"/>
    <w:rsid w:val="00460108"/>
    <w:rsid w:val="00462AE6"/>
    <w:rsid w:val="004A282F"/>
    <w:rsid w:val="004F04CA"/>
    <w:rsid w:val="005213D8"/>
    <w:rsid w:val="00522F07"/>
    <w:rsid w:val="00530D4C"/>
    <w:rsid w:val="00560F12"/>
    <w:rsid w:val="005920E3"/>
    <w:rsid w:val="005E2B7B"/>
    <w:rsid w:val="005F37EC"/>
    <w:rsid w:val="00625A7A"/>
    <w:rsid w:val="00631642"/>
    <w:rsid w:val="006363E8"/>
    <w:rsid w:val="006777D5"/>
    <w:rsid w:val="006C6196"/>
    <w:rsid w:val="006F657D"/>
    <w:rsid w:val="00725C91"/>
    <w:rsid w:val="0073487A"/>
    <w:rsid w:val="00786EC6"/>
    <w:rsid w:val="007B15C0"/>
    <w:rsid w:val="007B6FCD"/>
    <w:rsid w:val="007D33BD"/>
    <w:rsid w:val="008334CA"/>
    <w:rsid w:val="008452A5"/>
    <w:rsid w:val="008616F4"/>
    <w:rsid w:val="00895780"/>
    <w:rsid w:val="008D3321"/>
    <w:rsid w:val="008F465D"/>
    <w:rsid w:val="00935343"/>
    <w:rsid w:val="00990A4D"/>
    <w:rsid w:val="00996C18"/>
    <w:rsid w:val="009B3BD9"/>
    <w:rsid w:val="009D1AD8"/>
    <w:rsid w:val="009E2254"/>
    <w:rsid w:val="009E6BCF"/>
    <w:rsid w:val="00A31F43"/>
    <w:rsid w:val="00A47B8A"/>
    <w:rsid w:val="00A55EAD"/>
    <w:rsid w:val="00A84770"/>
    <w:rsid w:val="00AA5879"/>
    <w:rsid w:val="00B04762"/>
    <w:rsid w:val="00B35A78"/>
    <w:rsid w:val="00B45684"/>
    <w:rsid w:val="00B46E1A"/>
    <w:rsid w:val="00BA32DC"/>
    <w:rsid w:val="00BC0465"/>
    <w:rsid w:val="00BC0C76"/>
    <w:rsid w:val="00C31475"/>
    <w:rsid w:val="00C41622"/>
    <w:rsid w:val="00C81B60"/>
    <w:rsid w:val="00C83AD8"/>
    <w:rsid w:val="00CA2812"/>
    <w:rsid w:val="00CD68D1"/>
    <w:rsid w:val="00CE144D"/>
    <w:rsid w:val="00CE7405"/>
    <w:rsid w:val="00D5466B"/>
    <w:rsid w:val="00D56138"/>
    <w:rsid w:val="00D74058"/>
    <w:rsid w:val="00D9224F"/>
    <w:rsid w:val="00DB526A"/>
    <w:rsid w:val="00DB577F"/>
    <w:rsid w:val="00DC2E30"/>
    <w:rsid w:val="00DD4EC3"/>
    <w:rsid w:val="00E136D4"/>
    <w:rsid w:val="00E354D3"/>
    <w:rsid w:val="00E96691"/>
    <w:rsid w:val="00EF54A4"/>
    <w:rsid w:val="00F03B9B"/>
    <w:rsid w:val="00F11DDA"/>
    <w:rsid w:val="00F21413"/>
    <w:rsid w:val="00F665D1"/>
    <w:rsid w:val="00F75656"/>
    <w:rsid w:val="00F76D39"/>
    <w:rsid w:val="00F84326"/>
    <w:rsid w:val="00FC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8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6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5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D2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2995"/>
  </w:style>
  <w:style w:type="paragraph" w:styleId="Footer">
    <w:name w:val="footer"/>
    <w:basedOn w:val="Normal"/>
    <w:link w:val="FooterChar"/>
    <w:uiPriority w:val="99"/>
    <w:semiHidden/>
    <w:unhideWhenUsed/>
    <w:rsid w:val="003D2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2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Keegan Tully</dc:creator>
  <cp:lastModifiedBy>792883</cp:lastModifiedBy>
  <cp:revision>2</cp:revision>
  <cp:lastPrinted>2017-07-17T20:10:00Z</cp:lastPrinted>
  <dcterms:created xsi:type="dcterms:W3CDTF">2017-07-17T21:33:00Z</dcterms:created>
  <dcterms:modified xsi:type="dcterms:W3CDTF">2017-07-17T21:33:00Z</dcterms:modified>
</cp:coreProperties>
</file>