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D77" w:rsidRPr="004B09BC" w:rsidRDefault="009F5412" w:rsidP="009F5412">
      <w:pPr>
        <w:jc w:val="center"/>
        <w:rPr>
          <w:rFonts w:ascii="Arial" w:hAnsi="Arial" w:cs="Arial"/>
          <w:b/>
          <w:u w:val="single"/>
        </w:rPr>
      </w:pPr>
      <w:r w:rsidRPr="004B09BC">
        <w:rPr>
          <w:rFonts w:ascii="Arial" w:hAnsi="Arial" w:cs="Arial"/>
          <w:b/>
          <w:u w:val="single"/>
        </w:rPr>
        <w:t>Fair Allocation Curve</w:t>
      </w:r>
    </w:p>
    <w:p w:rsidR="009F5412" w:rsidRDefault="009F5412">
      <w:pPr>
        <w:rPr>
          <w:rFonts w:ascii="Arial" w:hAnsi="Arial" w:cs="Arial"/>
        </w:rPr>
      </w:pPr>
      <w:r w:rsidRPr="009F5412">
        <w:rPr>
          <w:rFonts w:ascii="Arial" w:hAnsi="Arial" w:cs="Arial"/>
          <w:b/>
        </w:rPr>
        <w:t>Purpose</w:t>
      </w:r>
    </w:p>
    <w:p w:rsidR="009F5412" w:rsidRDefault="009F5412">
      <w:pPr>
        <w:rPr>
          <w:rFonts w:ascii="Arial" w:hAnsi="Arial" w:cs="Arial"/>
        </w:rPr>
      </w:pPr>
      <w:r>
        <w:rPr>
          <w:rFonts w:ascii="Arial" w:hAnsi="Arial" w:cs="Arial"/>
        </w:rPr>
        <w:t>The Ministry of Energy has provided OPG with a verbal update on their work regarding the fair allocation curve.</w:t>
      </w:r>
    </w:p>
    <w:p w:rsidR="009F5412" w:rsidRPr="009F5412" w:rsidRDefault="009F5412">
      <w:pPr>
        <w:rPr>
          <w:rFonts w:ascii="Arial" w:hAnsi="Arial" w:cs="Arial"/>
          <w:b/>
        </w:rPr>
      </w:pPr>
      <w:r w:rsidRPr="009F5412">
        <w:rPr>
          <w:rFonts w:ascii="Arial" w:hAnsi="Arial" w:cs="Arial"/>
          <w:b/>
        </w:rPr>
        <w:t xml:space="preserve">Key </w:t>
      </w:r>
      <w:r w:rsidR="004B09BC">
        <w:rPr>
          <w:rFonts w:ascii="Arial" w:hAnsi="Arial" w:cs="Arial"/>
          <w:b/>
        </w:rPr>
        <w:t>Updates</w:t>
      </w:r>
    </w:p>
    <w:p w:rsidR="009F5412" w:rsidRDefault="009F5412" w:rsidP="009F541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F5412">
        <w:rPr>
          <w:rFonts w:ascii="Arial" w:hAnsi="Arial" w:cs="Arial"/>
        </w:rPr>
        <w:t>The M</w:t>
      </w:r>
      <w:r w:rsidR="004B09BC">
        <w:rPr>
          <w:rFonts w:ascii="Arial" w:hAnsi="Arial" w:cs="Arial"/>
        </w:rPr>
        <w:t>inistry believes that it</w:t>
      </w:r>
      <w:r>
        <w:rPr>
          <w:rFonts w:ascii="Arial" w:hAnsi="Arial" w:cs="Arial"/>
        </w:rPr>
        <w:t xml:space="preserve"> only has legal justification to use the Fair Hydro Plan to reduce electricity bills for 4 years (at </w:t>
      </w:r>
      <w:r w:rsidR="00AE009F">
        <w:rPr>
          <w:rFonts w:ascii="Arial" w:hAnsi="Arial" w:cs="Arial"/>
        </w:rPr>
        <w:t>-</w:t>
      </w:r>
      <w:r>
        <w:rPr>
          <w:rFonts w:ascii="Arial" w:hAnsi="Arial" w:cs="Arial"/>
        </w:rPr>
        <w:t>25% plus inflation). There will be a small amount of potential reduction remaining after 4 years.</w:t>
      </w:r>
    </w:p>
    <w:p w:rsidR="001625C4" w:rsidRDefault="009F5412" w:rsidP="009F541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If no other measures are taken, electricity ratepayers would face a significant increase in bills at this time (as high as 2</w:t>
      </w:r>
      <w:r w:rsidR="00842822">
        <w:rPr>
          <w:rFonts w:ascii="Arial" w:hAnsi="Arial" w:cs="Arial"/>
        </w:rPr>
        <w:t>0-2</w:t>
      </w:r>
      <w:r>
        <w:rPr>
          <w:rFonts w:ascii="Arial" w:hAnsi="Arial" w:cs="Arial"/>
        </w:rPr>
        <w:t xml:space="preserve">5%). </w:t>
      </w:r>
    </w:p>
    <w:p w:rsidR="009F5412" w:rsidRDefault="009F5412" w:rsidP="009F541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Ministry is working to </w:t>
      </w:r>
      <w:r w:rsidR="001625C4">
        <w:rPr>
          <w:rFonts w:ascii="Arial" w:hAnsi="Arial" w:cs="Arial"/>
        </w:rPr>
        <w:t>remove costs from the electricity system</w:t>
      </w:r>
      <w:r>
        <w:rPr>
          <w:rFonts w:ascii="Arial" w:hAnsi="Arial" w:cs="Arial"/>
        </w:rPr>
        <w:t xml:space="preserve"> during this period but will likely need to use the tax base to </w:t>
      </w:r>
      <w:r w:rsidR="001625C4">
        <w:rPr>
          <w:rFonts w:ascii="Arial" w:hAnsi="Arial" w:cs="Arial"/>
        </w:rPr>
        <w:t>smooth the increase in</w:t>
      </w:r>
      <w:r>
        <w:rPr>
          <w:rFonts w:ascii="Arial" w:hAnsi="Arial" w:cs="Arial"/>
        </w:rPr>
        <w:t xml:space="preserve"> electricity bills.</w:t>
      </w:r>
    </w:p>
    <w:p w:rsidR="001625C4" w:rsidRPr="00D405BC" w:rsidRDefault="001625C4" w:rsidP="001625C4">
      <w:pPr>
        <w:rPr>
          <w:rFonts w:ascii="Arial" w:hAnsi="Arial" w:cs="Arial"/>
          <w:b/>
        </w:rPr>
      </w:pPr>
      <w:r w:rsidRPr="00D405BC">
        <w:rPr>
          <w:rFonts w:ascii="Arial" w:hAnsi="Arial" w:cs="Arial"/>
          <w:b/>
        </w:rPr>
        <w:t>Fair Allocation Curve Methodology</w:t>
      </w:r>
    </w:p>
    <w:p w:rsidR="001625C4" w:rsidRPr="001625C4" w:rsidRDefault="001625C4" w:rsidP="009C4CE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625C4">
        <w:rPr>
          <w:rFonts w:ascii="Arial" w:hAnsi="Arial" w:cs="Arial"/>
        </w:rPr>
        <w:t>The Ministry hired Navigant Consulting to assess the useful life and benefits of investments in Ontario’s electricity system since 2005 including:</w:t>
      </w:r>
    </w:p>
    <w:p w:rsidR="001625C4" w:rsidRDefault="001625C4" w:rsidP="001625C4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Gas</w:t>
      </w:r>
    </w:p>
    <w:p w:rsidR="001625C4" w:rsidRDefault="001625C4" w:rsidP="001625C4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Wind </w:t>
      </w:r>
    </w:p>
    <w:p w:rsidR="001625C4" w:rsidRDefault="001625C4" w:rsidP="001625C4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Solar </w:t>
      </w:r>
    </w:p>
    <w:p w:rsidR="001625C4" w:rsidRDefault="001625C4" w:rsidP="001625C4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Conservation</w:t>
      </w:r>
    </w:p>
    <w:p w:rsidR="001625C4" w:rsidRDefault="001625C4" w:rsidP="00D405BC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Coal contingency support payments (CSPs)</w:t>
      </w:r>
      <w:r w:rsidRPr="00D405BC">
        <w:rPr>
          <w:rFonts w:ascii="Arial" w:hAnsi="Arial" w:cs="Arial"/>
        </w:rPr>
        <w:t xml:space="preserve"> </w:t>
      </w:r>
    </w:p>
    <w:p w:rsidR="00D209DF" w:rsidRDefault="00D209DF" w:rsidP="00D209DF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Navigant Findings</w:t>
      </w:r>
    </w:p>
    <w:p w:rsidR="00333B97" w:rsidRPr="00333B97" w:rsidRDefault="00333B97" w:rsidP="00D209DF">
      <w:pPr>
        <w:rPr>
          <w:rFonts w:ascii="Arial" w:hAnsi="Arial" w:cs="Arial"/>
        </w:rPr>
      </w:pPr>
      <w:r>
        <w:rPr>
          <w:rFonts w:ascii="Arial" w:hAnsi="Arial" w:cs="Arial"/>
        </w:rPr>
        <w:t>Key asset life assumptions are set out in the following table:</w:t>
      </w:r>
    </w:p>
    <w:tbl>
      <w:tblPr>
        <w:tblStyle w:val="GridTable4-Accent11"/>
        <w:tblW w:w="9828" w:type="dxa"/>
        <w:jc w:val="center"/>
        <w:tblLook w:val="04A0" w:firstRow="1" w:lastRow="0" w:firstColumn="1" w:lastColumn="0" w:noHBand="0" w:noVBand="1"/>
      </w:tblPr>
      <w:tblGrid>
        <w:gridCol w:w="1622"/>
        <w:gridCol w:w="1966"/>
        <w:gridCol w:w="2589"/>
        <w:gridCol w:w="3651"/>
      </w:tblGrid>
      <w:tr w:rsidR="00D405BC" w:rsidTr="00D209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2" w:type="dxa"/>
            <w:tcBorders>
              <w:top w:val="nil"/>
              <w:left w:val="nil"/>
              <w:bottom w:val="nil"/>
            </w:tcBorders>
          </w:tcPr>
          <w:p w:rsidR="00D405BC" w:rsidRPr="00D209DF" w:rsidRDefault="00D405BC" w:rsidP="00D209DF">
            <w:pPr>
              <w:jc w:val="center"/>
              <w:rPr>
                <w:rFonts w:ascii="Arial" w:hAnsi="Arial" w:cs="Arial"/>
                <w:b w:val="0"/>
              </w:rPr>
            </w:pPr>
            <w:r w:rsidRPr="00D209DF">
              <w:rPr>
                <w:rFonts w:ascii="Arial" w:hAnsi="Arial" w:cs="Arial"/>
                <w:b w:val="0"/>
              </w:rPr>
              <w:t>Investment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D405BC" w:rsidRPr="00D209DF" w:rsidRDefault="00D405BC" w:rsidP="00D209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D209DF">
              <w:rPr>
                <w:rFonts w:ascii="Arial" w:hAnsi="Arial" w:cs="Arial"/>
                <w:b w:val="0"/>
              </w:rPr>
              <w:t>Contract Life</w:t>
            </w:r>
          </w:p>
        </w:tc>
        <w:tc>
          <w:tcPr>
            <w:tcW w:w="2589" w:type="dxa"/>
            <w:tcBorders>
              <w:top w:val="nil"/>
              <w:bottom w:val="nil"/>
            </w:tcBorders>
          </w:tcPr>
          <w:p w:rsidR="00D405BC" w:rsidRPr="00D209DF" w:rsidRDefault="00D405BC" w:rsidP="00D209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D209DF">
              <w:rPr>
                <w:rFonts w:ascii="Arial" w:hAnsi="Arial" w:cs="Arial"/>
                <w:b w:val="0"/>
              </w:rPr>
              <w:t>Initial Useful Life</w:t>
            </w:r>
          </w:p>
        </w:tc>
        <w:tc>
          <w:tcPr>
            <w:tcW w:w="3651" w:type="dxa"/>
            <w:tcBorders>
              <w:top w:val="nil"/>
              <w:bottom w:val="nil"/>
              <w:right w:val="nil"/>
            </w:tcBorders>
          </w:tcPr>
          <w:p w:rsidR="00D405BC" w:rsidRPr="00D209DF" w:rsidRDefault="00D405BC" w:rsidP="00D209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D209DF">
              <w:rPr>
                <w:rFonts w:ascii="Arial" w:hAnsi="Arial" w:cs="Arial"/>
                <w:b w:val="0"/>
              </w:rPr>
              <w:t>Additional Life</w:t>
            </w:r>
          </w:p>
        </w:tc>
      </w:tr>
      <w:tr w:rsidR="00D405BC" w:rsidTr="00D20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2" w:type="dxa"/>
            <w:tcBorders>
              <w:top w:val="nil"/>
            </w:tcBorders>
          </w:tcPr>
          <w:p w:rsidR="00D405BC" w:rsidRDefault="00D405BC" w:rsidP="00D405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Gas</w:t>
            </w:r>
          </w:p>
        </w:tc>
        <w:tc>
          <w:tcPr>
            <w:tcW w:w="1966" w:type="dxa"/>
            <w:tcBorders>
              <w:top w:val="nil"/>
            </w:tcBorders>
          </w:tcPr>
          <w:p w:rsidR="00D405BC" w:rsidRDefault="00D405BC" w:rsidP="00D405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years</w:t>
            </w:r>
          </w:p>
        </w:tc>
        <w:tc>
          <w:tcPr>
            <w:tcW w:w="2589" w:type="dxa"/>
            <w:tcBorders>
              <w:top w:val="nil"/>
            </w:tcBorders>
          </w:tcPr>
          <w:p w:rsidR="00D405BC" w:rsidRDefault="00D405BC" w:rsidP="00D405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 years</w:t>
            </w:r>
          </w:p>
        </w:tc>
        <w:tc>
          <w:tcPr>
            <w:tcW w:w="3651" w:type="dxa"/>
            <w:tcBorders>
              <w:top w:val="nil"/>
            </w:tcBorders>
          </w:tcPr>
          <w:p w:rsidR="00D405BC" w:rsidRDefault="00D405BC" w:rsidP="00D405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years – Major maintenance investment</w:t>
            </w:r>
          </w:p>
        </w:tc>
      </w:tr>
      <w:tr w:rsidR="00D405BC" w:rsidTr="00D20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2" w:type="dxa"/>
          </w:tcPr>
          <w:p w:rsidR="00D405BC" w:rsidRDefault="00D405BC" w:rsidP="00D405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Wind</w:t>
            </w:r>
          </w:p>
        </w:tc>
        <w:tc>
          <w:tcPr>
            <w:tcW w:w="1966" w:type="dxa"/>
          </w:tcPr>
          <w:p w:rsidR="00D405BC" w:rsidRDefault="00D405BC" w:rsidP="00D40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years</w:t>
            </w:r>
          </w:p>
        </w:tc>
        <w:tc>
          <w:tcPr>
            <w:tcW w:w="2589" w:type="dxa"/>
          </w:tcPr>
          <w:p w:rsidR="00D405BC" w:rsidRDefault="00D405BC" w:rsidP="00D40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 years</w:t>
            </w:r>
          </w:p>
        </w:tc>
        <w:tc>
          <w:tcPr>
            <w:tcW w:w="3651" w:type="dxa"/>
          </w:tcPr>
          <w:p w:rsidR="00D405BC" w:rsidRDefault="00D405BC" w:rsidP="00D40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 years – Requires rebuild at original cost</w:t>
            </w:r>
          </w:p>
        </w:tc>
      </w:tr>
      <w:tr w:rsidR="00D405BC" w:rsidTr="00D20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2" w:type="dxa"/>
          </w:tcPr>
          <w:p w:rsidR="00D405BC" w:rsidRDefault="00D405BC" w:rsidP="00D405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Solar</w:t>
            </w:r>
          </w:p>
        </w:tc>
        <w:tc>
          <w:tcPr>
            <w:tcW w:w="1966" w:type="dxa"/>
          </w:tcPr>
          <w:p w:rsidR="00D405BC" w:rsidRDefault="00D405BC" w:rsidP="00D405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years</w:t>
            </w:r>
          </w:p>
        </w:tc>
        <w:tc>
          <w:tcPr>
            <w:tcW w:w="2589" w:type="dxa"/>
          </w:tcPr>
          <w:p w:rsidR="00D405BC" w:rsidRDefault="00D405BC" w:rsidP="00D405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 years</w:t>
            </w:r>
          </w:p>
        </w:tc>
        <w:tc>
          <w:tcPr>
            <w:tcW w:w="3651" w:type="dxa"/>
          </w:tcPr>
          <w:p w:rsidR="00D405BC" w:rsidRDefault="00D405BC" w:rsidP="00D405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 years – Requires rebuild but at much lower cost</w:t>
            </w:r>
          </w:p>
        </w:tc>
      </w:tr>
      <w:tr w:rsidR="00D405BC" w:rsidTr="00D20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2" w:type="dxa"/>
          </w:tcPr>
          <w:p w:rsidR="00D405BC" w:rsidRDefault="00D405BC" w:rsidP="00D405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Conservation</w:t>
            </w:r>
          </w:p>
        </w:tc>
        <w:tc>
          <w:tcPr>
            <w:tcW w:w="1966" w:type="dxa"/>
          </w:tcPr>
          <w:p w:rsidR="00D405BC" w:rsidRDefault="00D405BC" w:rsidP="00D40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Expensed in year</w:t>
            </w:r>
          </w:p>
        </w:tc>
        <w:tc>
          <w:tcPr>
            <w:tcW w:w="2589" w:type="dxa"/>
          </w:tcPr>
          <w:p w:rsidR="00D405BC" w:rsidRDefault="00D405BC" w:rsidP="00D40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year persistence</w:t>
            </w:r>
          </w:p>
        </w:tc>
        <w:tc>
          <w:tcPr>
            <w:tcW w:w="3651" w:type="dxa"/>
          </w:tcPr>
          <w:p w:rsidR="00D405BC" w:rsidRDefault="00D405BC" w:rsidP="00D40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D405BC" w:rsidTr="00D20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2" w:type="dxa"/>
          </w:tcPr>
          <w:p w:rsidR="00D405BC" w:rsidRDefault="00D405BC" w:rsidP="00D405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Coal CSPs</w:t>
            </w:r>
          </w:p>
        </w:tc>
        <w:tc>
          <w:tcPr>
            <w:tcW w:w="1966" w:type="dxa"/>
          </w:tcPr>
          <w:p w:rsidR="00D405BC" w:rsidRDefault="00D405BC" w:rsidP="00D405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2009-2014</w:t>
            </w:r>
          </w:p>
        </w:tc>
        <w:tc>
          <w:tcPr>
            <w:tcW w:w="2589" w:type="dxa"/>
          </w:tcPr>
          <w:p w:rsidR="00D405BC" w:rsidRDefault="00D405BC" w:rsidP="00D405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 years (life of replacement gas plants)</w:t>
            </w:r>
          </w:p>
        </w:tc>
        <w:tc>
          <w:tcPr>
            <w:tcW w:w="3651" w:type="dxa"/>
          </w:tcPr>
          <w:p w:rsidR="00D405BC" w:rsidRDefault="00D405BC" w:rsidP="00D405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</w:tbl>
    <w:p w:rsidR="00C33024" w:rsidRDefault="00C33024" w:rsidP="00C33024">
      <w:pPr>
        <w:pStyle w:val="ListParagraph"/>
        <w:ind w:left="360"/>
        <w:rPr>
          <w:rFonts w:ascii="Arial" w:hAnsi="Arial" w:cs="Arial"/>
        </w:rPr>
      </w:pPr>
    </w:p>
    <w:p w:rsidR="004F4558" w:rsidRPr="00AE009F" w:rsidRDefault="004F4558" w:rsidP="00AE009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E009F">
        <w:rPr>
          <w:rFonts w:ascii="Arial" w:hAnsi="Arial" w:cs="Arial"/>
        </w:rPr>
        <w:t>Because the contracted lives are shorter than the useful li</w:t>
      </w:r>
      <w:r w:rsidR="004B09BC">
        <w:rPr>
          <w:rFonts w:ascii="Arial" w:hAnsi="Arial" w:cs="Arial"/>
        </w:rPr>
        <w:t>ves</w:t>
      </w:r>
      <w:r w:rsidRPr="00AE009F">
        <w:rPr>
          <w:rFonts w:ascii="Arial" w:hAnsi="Arial" w:cs="Arial"/>
        </w:rPr>
        <w:t xml:space="preserve">, Navigant then reallocated the cost of the clean investments over the full useful life. As a result, ratepayers were theoretically overpaying for the clean energy costs in the past and will continue to do so for a number of years. </w:t>
      </w:r>
    </w:p>
    <w:p w:rsidR="00AE009F" w:rsidRPr="00AE009F" w:rsidRDefault="00AE009F" w:rsidP="00AE009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E009F">
        <w:rPr>
          <w:rFonts w:ascii="Arial" w:hAnsi="Arial" w:cs="Arial"/>
        </w:rPr>
        <w:t>This overpayment is the legal justification for the FHP.</w:t>
      </w:r>
      <w:r>
        <w:rPr>
          <w:rFonts w:ascii="Arial" w:hAnsi="Arial" w:cs="Arial"/>
        </w:rPr>
        <w:t xml:space="preserve"> The FHP aligns the costs of the clean investments with their true useful life.</w:t>
      </w:r>
      <w:r w:rsidRPr="00AE009F">
        <w:rPr>
          <w:rFonts w:ascii="Arial" w:hAnsi="Arial" w:cs="Arial"/>
        </w:rPr>
        <w:t xml:space="preserve"> </w:t>
      </w:r>
    </w:p>
    <w:p w:rsidR="00AE009F" w:rsidRPr="00AE009F" w:rsidRDefault="00AE009F" w:rsidP="00AE009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E009F">
        <w:rPr>
          <w:rFonts w:ascii="Arial" w:hAnsi="Arial" w:cs="Arial"/>
        </w:rPr>
        <w:lastRenderedPageBreak/>
        <w:t xml:space="preserve">The amounts that ratepayers overpaid in the past can be thought of as a ‘piggy bank’ of overpayment that can be brought forward to the present to reduce bills further than can be justified by the reallocated costs alone. </w:t>
      </w:r>
      <w:r w:rsidR="004B09BC">
        <w:rPr>
          <w:rFonts w:ascii="Arial" w:hAnsi="Arial" w:cs="Arial"/>
        </w:rPr>
        <w:t>Navigant calculated the ‘piggy bank’ at $8.2 billion</w:t>
      </w:r>
      <w:r w:rsidR="00541927">
        <w:rPr>
          <w:rFonts w:ascii="Arial" w:hAnsi="Arial" w:cs="Arial"/>
        </w:rPr>
        <w:t xml:space="preserve"> before interest</w:t>
      </w:r>
      <w:r w:rsidR="004B09BC">
        <w:rPr>
          <w:rFonts w:ascii="Arial" w:hAnsi="Arial" w:cs="Arial"/>
        </w:rPr>
        <w:t>.</w:t>
      </w:r>
    </w:p>
    <w:p w:rsidR="005913BC" w:rsidRDefault="005913BC" w:rsidP="005913BC">
      <w:pPr>
        <w:jc w:val="center"/>
        <w:rPr>
          <w:rFonts w:ascii="Arial" w:hAnsi="Arial" w:cs="Arial"/>
        </w:rPr>
      </w:pPr>
      <w:r>
        <w:rPr>
          <w:noProof/>
          <w:lang w:eastAsia="en-CA"/>
        </w:rPr>
        <w:drawing>
          <wp:inline distT="0" distB="0" distL="0" distR="0">
            <wp:extent cx="6570550" cy="1692846"/>
            <wp:effectExtent l="0" t="0" r="1905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/>
                    <a:srcRect l="63783" t="47493" r="10736" b="35879"/>
                    <a:stretch/>
                  </pic:blipFill>
                  <pic:spPr bwMode="auto">
                    <a:xfrm>
                      <a:off x="0" y="0"/>
                      <a:ext cx="6578148" cy="16948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09BC" w:rsidRDefault="004B09BC" w:rsidP="004B09B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In total Navigant calculated that a maximum of $23 billion in debt can be taken on under the FHP.</w:t>
      </w:r>
      <w:r w:rsidR="00541927">
        <w:rPr>
          <w:rFonts w:ascii="Arial" w:hAnsi="Arial" w:cs="Arial"/>
        </w:rPr>
        <w:t xml:space="preserve"> This debt would be used to fund reductions in bills as well as interest on debt used to fund previous reductions.</w:t>
      </w:r>
      <w:r>
        <w:rPr>
          <w:rFonts w:ascii="Arial" w:hAnsi="Arial" w:cs="Arial"/>
        </w:rPr>
        <w:t xml:space="preserve"> </w:t>
      </w:r>
    </w:p>
    <w:p w:rsidR="00AE009F" w:rsidRDefault="00541927" w:rsidP="004B09B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For calculating</w:t>
      </w:r>
      <w:r w:rsidR="00AE009F">
        <w:rPr>
          <w:rFonts w:ascii="Arial" w:hAnsi="Arial" w:cs="Arial"/>
        </w:rPr>
        <w:t xml:space="preserve"> the</w:t>
      </w:r>
      <w:r>
        <w:rPr>
          <w:rFonts w:ascii="Arial" w:hAnsi="Arial" w:cs="Arial"/>
        </w:rPr>
        <w:t xml:space="preserve"> interest</w:t>
      </w:r>
      <w:r w:rsidR="00AE009F">
        <w:rPr>
          <w:rFonts w:ascii="Arial" w:hAnsi="Arial" w:cs="Arial"/>
        </w:rPr>
        <w:t xml:space="preserve"> cost of carrying the capital over a longer period as well as</w:t>
      </w:r>
      <w:r>
        <w:rPr>
          <w:rFonts w:ascii="Arial" w:hAnsi="Arial" w:cs="Arial"/>
        </w:rPr>
        <w:t xml:space="preserve"> interest on</w:t>
      </w:r>
      <w:r w:rsidR="00AE009F">
        <w:rPr>
          <w:rFonts w:ascii="Arial" w:hAnsi="Arial" w:cs="Arial"/>
        </w:rPr>
        <w:t xml:space="preserve"> the past overpayment ‘piggy bank</w:t>
      </w:r>
      <w:r>
        <w:rPr>
          <w:rFonts w:ascii="Arial" w:hAnsi="Arial" w:cs="Arial"/>
        </w:rPr>
        <w:t>,</w:t>
      </w:r>
      <w:r w:rsidR="00AE009F">
        <w:rPr>
          <w:rFonts w:ascii="Arial" w:hAnsi="Arial" w:cs="Arial"/>
        </w:rPr>
        <w:t>’</w:t>
      </w:r>
      <w:r w:rsidR="004B09BC">
        <w:rPr>
          <w:rFonts w:ascii="Arial" w:hAnsi="Arial" w:cs="Arial"/>
        </w:rPr>
        <w:t xml:space="preserve"> Navigant used a 4.5% interest rate which is based on the social discount rate. </w:t>
      </w:r>
    </w:p>
    <w:p w:rsidR="00541927" w:rsidRDefault="00541927" w:rsidP="004B09B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Implications for the </w:t>
      </w:r>
      <w:r w:rsidR="006C682A">
        <w:rPr>
          <w:rFonts w:ascii="Arial" w:hAnsi="Arial" w:cs="Arial"/>
          <w:b/>
        </w:rPr>
        <w:t>FHP/</w:t>
      </w:r>
      <w:r>
        <w:rPr>
          <w:rFonts w:ascii="Arial" w:hAnsi="Arial" w:cs="Arial"/>
          <w:b/>
        </w:rPr>
        <w:t>Trust</w:t>
      </w:r>
    </w:p>
    <w:p w:rsidR="00541927" w:rsidRPr="00440ADD" w:rsidRDefault="00440ADD" w:rsidP="00541927">
      <w:pPr>
        <w:pStyle w:val="ListParagraph"/>
        <w:numPr>
          <w:ilvl w:val="0"/>
          <w:numId w:val="7"/>
        </w:num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The Trust can only purchase regulatory assets if financing obligations related to the purchase align with the Fair Allocation curve. </w:t>
      </w:r>
    </w:p>
    <w:p w:rsidR="00440ADD" w:rsidRPr="00440ADD" w:rsidRDefault="00440ADD" w:rsidP="00541927">
      <w:pPr>
        <w:pStyle w:val="ListParagraph"/>
        <w:numPr>
          <w:ilvl w:val="0"/>
          <w:numId w:val="7"/>
        </w:num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The Fair Allocation curve is not expected to be sufficient to facilitate the full reductions that were originally envisaged by government in the later years of the FHP. </w:t>
      </w:r>
    </w:p>
    <w:p w:rsidR="00440ADD" w:rsidRPr="006C682A" w:rsidRDefault="00440ADD" w:rsidP="00541927">
      <w:pPr>
        <w:pStyle w:val="ListParagraph"/>
        <w:numPr>
          <w:ilvl w:val="0"/>
          <w:numId w:val="7"/>
        </w:num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As a result, when the </w:t>
      </w:r>
      <w:r w:rsidR="006C682A">
        <w:rPr>
          <w:rFonts w:ascii="Arial" w:hAnsi="Arial" w:cs="Arial"/>
        </w:rPr>
        <w:t>FAA</w:t>
      </w:r>
      <w:bookmarkStart w:id="0" w:name="_GoBack"/>
      <w:bookmarkEnd w:id="0"/>
      <w:r w:rsidR="006C682A">
        <w:rPr>
          <w:rFonts w:ascii="Arial" w:hAnsi="Arial" w:cs="Arial"/>
        </w:rPr>
        <w:t xml:space="preserve"> has been used up, the government is expected to</w:t>
      </w:r>
      <w:r w:rsidR="00842822">
        <w:rPr>
          <w:rFonts w:ascii="Arial" w:hAnsi="Arial" w:cs="Arial"/>
        </w:rPr>
        <w:t xml:space="preserve"> recognize this and</w:t>
      </w:r>
      <w:r w:rsidR="006C682A">
        <w:rPr>
          <w:rFonts w:ascii="Arial" w:hAnsi="Arial" w:cs="Arial"/>
        </w:rPr>
        <w:t xml:space="preserve"> instruct the OEB to set rates to recover actual </w:t>
      </w:r>
      <w:r w:rsidR="00842822">
        <w:rPr>
          <w:rFonts w:ascii="Arial" w:hAnsi="Arial" w:cs="Arial"/>
        </w:rPr>
        <w:t xml:space="preserve">electricity system </w:t>
      </w:r>
      <w:r w:rsidR="006C682A">
        <w:rPr>
          <w:rFonts w:ascii="Arial" w:hAnsi="Arial" w:cs="Arial"/>
        </w:rPr>
        <w:t xml:space="preserve">costs. As such the IESO will not have a collections deficiency and will not need to create a regulatory asset to be purchased by the Trust. </w:t>
      </w:r>
    </w:p>
    <w:p w:rsidR="006C682A" w:rsidRPr="00842822" w:rsidRDefault="006C682A" w:rsidP="00541927">
      <w:pPr>
        <w:pStyle w:val="ListParagraph"/>
        <w:numPr>
          <w:ilvl w:val="0"/>
          <w:numId w:val="7"/>
        </w:num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If the government still wishes to reduce electricity rates, it can do </w:t>
      </w:r>
      <w:r w:rsidR="00842822">
        <w:rPr>
          <w:rFonts w:ascii="Arial" w:hAnsi="Arial" w:cs="Arial"/>
        </w:rPr>
        <w:t xml:space="preserve">so </w:t>
      </w:r>
      <w:r>
        <w:rPr>
          <w:rFonts w:ascii="Arial" w:hAnsi="Arial" w:cs="Arial"/>
        </w:rPr>
        <w:t xml:space="preserve">using tax funding outside of the FHP such as by increasing the 8% HST rebate. </w:t>
      </w:r>
    </w:p>
    <w:p w:rsidR="00842822" w:rsidRPr="00541927" w:rsidRDefault="00C33024" w:rsidP="00541927">
      <w:pPr>
        <w:pStyle w:val="ListParagraph"/>
        <w:numPr>
          <w:ilvl w:val="0"/>
          <w:numId w:val="7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It is uncertain how ratings agencies will react</w:t>
      </w:r>
      <w:r>
        <w:rPr>
          <w:rFonts w:ascii="Arial" w:hAnsi="Arial" w:cs="Arial"/>
        </w:rPr>
        <w:t xml:space="preserve"> to </w:t>
      </w:r>
      <w:r w:rsidR="00842822">
        <w:rPr>
          <w:rFonts w:ascii="Arial" w:hAnsi="Arial" w:cs="Arial"/>
        </w:rPr>
        <w:t>forecast</w:t>
      </w:r>
      <w:r>
        <w:rPr>
          <w:rFonts w:ascii="Arial" w:hAnsi="Arial" w:cs="Arial"/>
        </w:rPr>
        <w:t>s that bills will</w:t>
      </w:r>
      <w:r w:rsidR="00842822">
        <w:rPr>
          <w:rFonts w:ascii="Arial" w:hAnsi="Arial" w:cs="Arial"/>
        </w:rPr>
        <w:t xml:space="preserve"> increase dramatically when the FAA has been used up</w:t>
      </w:r>
      <w:r>
        <w:rPr>
          <w:rFonts w:ascii="Arial" w:hAnsi="Arial" w:cs="Arial"/>
        </w:rPr>
        <w:t>. There could be concern related to</w:t>
      </w:r>
      <w:r w:rsidR="00842822">
        <w:rPr>
          <w:rFonts w:ascii="Arial" w:hAnsi="Arial" w:cs="Arial"/>
        </w:rPr>
        <w:t xml:space="preserve"> p</w:t>
      </w:r>
      <w:r w:rsidR="00CE7A70">
        <w:rPr>
          <w:rFonts w:ascii="Arial" w:hAnsi="Arial" w:cs="Arial"/>
        </w:rPr>
        <w:t xml:space="preserve">olitical action </w:t>
      </w:r>
      <w:r>
        <w:rPr>
          <w:rFonts w:ascii="Arial" w:hAnsi="Arial" w:cs="Arial"/>
        </w:rPr>
        <w:t>to manage customer dissatisfaction</w:t>
      </w:r>
      <w:r w:rsidR="00CE7A70">
        <w:rPr>
          <w:rFonts w:ascii="Arial" w:hAnsi="Arial" w:cs="Arial"/>
        </w:rPr>
        <w:t xml:space="preserve">. Clarity that the government will use the tax base outside of the FHP to smooth bill increases may help mitigate </w:t>
      </w:r>
      <w:r>
        <w:rPr>
          <w:rFonts w:ascii="Arial" w:hAnsi="Arial" w:cs="Arial"/>
        </w:rPr>
        <w:t>any potential</w:t>
      </w:r>
      <w:r w:rsidR="00CE7A70">
        <w:rPr>
          <w:rFonts w:ascii="Arial" w:hAnsi="Arial" w:cs="Arial"/>
        </w:rPr>
        <w:t xml:space="preserve"> concern</w:t>
      </w:r>
      <w:r>
        <w:rPr>
          <w:rFonts w:ascii="Arial" w:hAnsi="Arial" w:cs="Arial"/>
        </w:rPr>
        <w:t>s</w:t>
      </w:r>
      <w:r w:rsidR="00CE7A70">
        <w:rPr>
          <w:rFonts w:ascii="Arial" w:hAnsi="Arial" w:cs="Arial"/>
        </w:rPr>
        <w:t xml:space="preserve">. </w:t>
      </w:r>
    </w:p>
    <w:p w:rsidR="004B09BC" w:rsidRDefault="004B09BC" w:rsidP="004B09BC">
      <w:pPr>
        <w:rPr>
          <w:rFonts w:ascii="Arial" w:hAnsi="Arial" w:cs="Arial"/>
        </w:rPr>
      </w:pPr>
      <w:r w:rsidRPr="004B09BC">
        <w:rPr>
          <w:rFonts w:ascii="Arial" w:hAnsi="Arial" w:cs="Arial"/>
          <w:b/>
        </w:rPr>
        <w:t>Next Steps</w:t>
      </w:r>
    </w:p>
    <w:p w:rsidR="004B09BC" w:rsidRDefault="004B09BC" w:rsidP="004B09B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Ministry and Navigant have further work to do to refine their calculations and socialize the concepts with key stakeholders over the week of July 24-29. </w:t>
      </w:r>
    </w:p>
    <w:p w:rsidR="004B09BC" w:rsidRDefault="004B09BC" w:rsidP="004B09B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Ministry anticipates that it will re-engage with OPG at the start of August to begin working on the formal Fair Allocation Amount calculation required under the FHP regulation. </w:t>
      </w:r>
    </w:p>
    <w:sectPr w:rsidR="004B09BC" w:rsidSect="000E51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345" w:rsidRDefault="00904345" w:rsidP="00D9258E">
      <w:pPr>
        <w:spacing w:after="0" w:line="240" w:lineRule="auto"/>
      </w:pPr>
      <w:r>
        <w:separator/>
      </w:r>
    </w:p>
  </w:endnote>
  <w:endnote w:type="continuationSeparator" w:id="0">
    <w:p w:rsidR="00904345" w:rsidRDefault="00904345" w:rsidP="00D92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345" w:rsidRDefault="00904345" w:rsidP="00D9258E">
      <w:pPr>
        <w:spacing w:after="0" w:line="240" w:lineRule="auto"/>
      </w:pPr>
      <w:r>
        <w:separator/>
      </w:r>
    </w:p>
  </w:footnote>
  <w:footnote w:type="continuationSeparator" w:id="0">
    <w:p w:rsidR="00904345" w:rsidRDefault="00904345" w:rsidP="00D92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2528"/>
    <w:multiLevelType w:val="hybridMultilevel"/>
    <w:tmpl w:val="52E47A8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8A211C"/>
    <w:multiLevelType w:val="hybridMultilevel"/>
    <w:tmpl w:val="CD0CFA6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15E03"/>
    <w:multiLevelType w:val="hybridMultilevel"/>
    <w:tmpl w:val="C040CAC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1C6F84"/>
    <w:multiLevelType w:val="hybridMultilevel"/>
    <w:tmpl w:val="E4505DF0"/>
    <w:lvl w:ilvl="0" w:tplc="35CAEFCC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4F7DC7"/>
    <w:multiLevelType w:val="hybridMultilevel"/>
    <w:tmpl w:val="257E9DE6"/>
    <w:lvl w:ilvl="0" w:tplc="35CAEFCC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8D5437"/>
    <w:multiLevelType w:val="hybridMultilevel"/>
    <w:tmpl w:val="24E27C14"/>
    <w:lvl w:ilvl="0" w:tplc="35CAEFCC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5E29D8"/>
    <w:multiLevelType w:val="hybridMultilevel"/>
    <w:tmpl w:val="09462054"/>
    <w:lvl w:ilvl="0" w:tplc="35CAEFCC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412"/>
    <w:rsid w:val="000E5178"/>
    <w:rsid w:val="00143EE3"/>
    <w:rsid w:val="001625C4"/>
    <w:rsid w:val="001C2BFE"/>
    <w:rsid w:val="001E46F2"/>
    <w:rsid w:val="00221EDE"/>
    <w:rsid w:val="002262D1"/>
    <w:rsid w:val="00251BF6"/>
    <w:rsid w:val="00333B97"/>
    <w:rsid w:val="00337628"/>
    <w:rsid w:val="00440ADD"/>
    <w:rsid w:val="00452178"/>
    <w:rsid w:val="004B09BC"/>
    <w:rsid w:val="004F04CA"/>
    <w:rsid w:val="004F4558"/>
    <w:rsid w:val="00541927"/>
    <w:rsid w:val="005913BC"/>
    <w:rsid w:val="005E2B7B"/>
    <w:rsid w:val="00625A7A"/>
    <w:rsid w:val="006C6196"/>
    <w:rsid w:val="006C682A"/>
    <w:rsid w:val="007122E8"/>
    <w:rsid w:val="007B15C0"/>
    <w:rsid w:val="007D33BD"/>
    <w:rsid w:val="008129BB"/>
    <w:rsid w:val="00842822"/>
    <w:rsid w:val="008D22A6"/>
    <w:rsid w:val="00904345"/>
    <w:rsid w:val="00932CB6"/>
    <w:rsid w:val="009E6BCF"/>
    <w:rsid w:val="009F5412"/>
    <w:rsid w:val="00AA5879"/>
    <w:rsid w:val="00AE009F"/>
    <w:rsid w:val="00BC68CD"/>
    <w:rsid w:val="00C33024"/>
    <w:rsid w:val="00C56937"/>
    <w:rsid w:val="00C8262C"/>
    <w:rsid w:val="00CE7A70"/>
    <w:rsid w:val="00D209DF"/>
    <w:rsid w:val="00D405BC"/>
    <w:rsid w:val="00D5466B"/>
    <w:rsid w:val="00D9258E"/>
    <w:rsid w:val="00DB526A"/>
    <w:rsid w:val="00DC2E30"/>
    <w:rsid w:val="00DD4EC3"/>
    <w:rsid w:val="00E136D4"/>
    <w:rsid w:val="00F464C0"/>
    <w:rsid w:val="00F7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22ECA"/>
  <w15:docId w15:val="{61B4E7C9-41D6-474D-A1DB-F0F946702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51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5412"/>
    <w:pPr>
      <w:ind w:left="720"/>
      <w:contextualSpacing/>
    </w:pPr>
  </w:style>
  <w:style w:type="table" w:styleId="TableGrid">
    <w:name w:val="Table Grid"/>
    <w:basedOn w:val="TableNormal"/>
    <w:uiPriority w:val="59"/>
    <w:rsid w:val="00D40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TableNormal"/>
    <w:uiPriority w:val="49"/>
    <w:rsid w:val="00D405BC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D925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258E"/>
  </w:style>
  <w:style w:type="paragraph" w:styleId="Footer">
    <w:name w:val="footer"/>
    <w:basedOn w:val="Normal"/>
    <w:link w:val="FooterChar"/>
    <w:uiPriority w:val="99"/>
    <w:unhideWhenUsed/>
    <w:rsid w:val="00D925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258E"/>
  </w:style>
  <w:style w:type="character" w:styleId="CommentReference">
    <w:name w:val="annotation reference"/>
    <w:basedOn w:val="DefaultParagraphFont"/>
    <w:uiPriority w:val="99"/>
    <w:semiHidden/>
    <w:unhideWhenUsed/>
    <w:rsid w:val="00251B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1B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1B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1B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1BF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1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B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D0F66-CC02-4B0A-B503-989B71C08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Ontario Power Generation</Company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TULLY Keegan -CBUSDEV&amp;STRT</dc:creator>
  <cp:keywords/>
  <dc:description/>
  <cp:lastModifiedBy>TULLY Keegan -CBUSDEV&amp;STRT</cp:lastModifiedBy>
  <cp:revision>2</cp:revision>
  <dcterms:created xsi:type="dcterms:W3CDTF">2017-07-24T21:01:00Z</dcterms:created>
  <dcterms:modified xsi:type="dcterms:W3CDTF">2017-07-24T21:01:00Z</dcterms:modified>
</cp:coreProperties>
</file>