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62" w:rsidRDefault="00EC42AE">
      <w:pPr>
        <w:pStyle w:val="Header"/>
        <w:tabs>
          <w:tab w:val="clear" w:pos="4320"/>
          <w:tab w:val="clear" w:pos="8640"/>
        </w:tabs>
      </w:pPr>
      <w:r>
        <w:rPr>
          <w:noProof/>
          <w:lang w:val="en-CA" w:eastAsia="en-CA"/>
        </w:rPr>
        <w:pict>
          <v:shapetype id="_x0000_t202" coordsize="21600,21600" o:spt="202" path="m,l,21600r21600,l21600,xe">
            <v:stroke joinstyle="miter"/>
            <v:path gradientshapeok="t" o:connecttype="rect"/>
          </v:shapetype>
          <v:shape id="Text Box 2" o:spid="_x0000_s1026" type="#_x0000_t202" style="position:absolute;margin-left:258.3pt;margin-top:9.8pt;width:242.5pt;height:5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" o:allowincell="f" stroked="f">
            <v:fill opacity="32896f"/>
            <v:textbox>
              <w:txbxContent>
                <w:p w:rsidR="00882007" w:rsidRDefault="00882007">
                  <w:pPr>
                    <w:jc w:val="right"/>
                    <w:rPr>
                      <w:b/>
                    </w:rPr>
                  </w:pPr>
                  <w:r>
                    <w:rPr>
                      <w:b/>
                    </w:rPr>
                    <w:t xml:space="preserve">Ken </w:t>
                  </w:r>
                  <w:proofErr w:type="spellStart"/>
                  <w:r>
                    <w:rPr>
                      <w:b/>
                    </w:rPr>
                    <w:t>Hartwick</w:t>
                  </w:r>
                  <w:proofErr w:type="spellEnd"/>
                </w:p>
                <w:p w:rsidR="00882007" w:rsidRDefault="00882007">
                  <w:pPr>
                    <w:jc w:val="right"/>
                    <w:rPr>
                      <w:sz w:val="16"/>
                    </w:rPr>
                  </w:pPr>
                  <w:r>
                    <w:rPr>
                      <w:sz w:val="16"/>
                    </w:rPr>
                    <w:t xml:space="preserve">Chief Financial Officer and Senior Vice President, Finance </w:t>
                  </w:r>
                </w:p>
                <w:p w:rsidR="00882007" w:rsidRDefault="00882007">
                  <w:pPr>
                    <w:jc w:val="right"/>
                  </w:pPr>
                </w:p>
              </w:txbxContent>
            </v:textbox>
          </v:shape>
        </w:pict>
      </w:r>
      <w:r w:rsidR="00783665">
        <w:rPr>
          <w:noProof/>
          <w:lang w:val="en-CA" w:eastAsia="en-CA"/>
        </w:rPr>
        <w:drawing>
          <wp:inline distT="0" distB="0" distL="0" distR="0">
            <wp:extent cx="1828800" cy="504825"/>
            <wp:effectExtent l="19050" t="0" r="0" b="0"/>
            <wp:docPr id="1" name="Picture 1" descr="O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G"/>
                    <pic:cNvPicPr>
                      <a:picLocks noChangeAspect="1" noChangeArrowheads="1"/>
                    </pic:cNvPicPr>
                  </pic:nvPicPr>
                  <pic:blipFill>
                    <a:blip r:embed="rId7" cstate="print"/>
                    <a:srcRect/>
                    <a:stretch>
                      <a:fillRect/>
                    </a:stretch>
                  </pic:blipFill>
                  <pic:spPr bwMode="auto">
                    <a:xfrm>
                      <a:off x="0" y="0"/>
                      <a:ext cx="1828800" cy="504825"/>
                    </a:xfrm>
                    <a:prstGeom prst="rect">
                      <a:avLst/>
                    </a:prstGeom>
                    <a:noFill/>
                    <a:ln w="9525">
                      <a:noFill/>
                      <a:miter lim="800000"/>
                      <a:headEnd/>
                      <a:tailEnd/>
                    </a:ln>
                  </pic:spPr>
                </pic:pic>
              </a:graphicData>
            </a:graphic>
          </wp:inline>
        </w:drawing>
      </w:r>
    </w:p>
    <w:p w:rsidR="0027555B" w:rsidRDefault="0027555B">
      <w:pPr>
        <w:ind w:left="720" w:firstLine="720"/>
        <w:rPr>
          <w:sz w:val="16"/>
        </w:rPr>
      </w:pPr>
      <w:r>
        <w:rPr>
          <w:sz w:val="16"/>
        </w:rPr>
        <w:t>_______________________________________________________________________________________________</w:t>
      </w:r>
    </w:p>
    <w:p w:rsidR="00FF7F62" w:rsidRPr="0027555B" w:rsidRDefault="00FF7F62">
      <w:pPr>
        <w:ind w:left="720" w:firstLine="720"/>
        <w:rPr>
          <w:sz w:val="16"/>
        </w:rPr>
      </w:pPr>
      <w:r>
        <w:rPr>
          <w:sz w:val="16"/>
        </w:rPr>
        <w:t xml:space="preserve">700 University Avenue </w:t>
      </w:r>
      <w:r>
        <w:rPr>
          <w:rFonts w:ascii="Lucida Console" w:hAnsi="Lucida Console"/>
          <w:sz w:val="16"/>
        </w:rPr>
        <w:t>·</w:t>
      </w:r>
      <w:r>
        <w:rPr>
          <w:sz w:val="16"/>
        </w:rPr>
        <w:t xml:space="preserve"> Toronto, Ontario M5G 1X6</w:t>
      </w:r>
      <w:r>
        <w:rPr>
          <w:sz w:val="16"/>
        </w:rPr>
        <w:tab/>
      </w:r>
      <w:r>
        <w:rPr>
          <w:sz w:val="16"/>
        </w:rPr>
        <w:tab/>
      </w:r>
      <w:r>
        <w:rPr>
          <w:sz w:val="16"/>
        </w:rPr>
        <w:tab/>
        <w:t xml:space="preserve">      </w:t>
      </w:r>
      <w:r w:rsidR="00552AB1">
        <w:rPr>
          <w:sz w:val="16"/>
        </w:rPr>
        <w:t xml:space="preserve">                </w:t>
      </w:r>
      <w:r w:rsidR="00552AB1" w:rsidRPr="00552AB1">
        <w:rPr>
          <w:sz w:val="16"/>
        </w:rPr>
        <w:t xml:space="preserve">      </w:t>
      </w:r>
      <w:r w:rsidRPr="00552AB1">
        <w:rPr>
          <w:b/>
          <w:sz w:val="16"/>
        </w:rPr>
        <w:t>Tel: 416-</w:t>
      </w:r>
      <w:r w:rsidR="0009160E" w:rsidRPr="00552AB1">
        <w:rPr>
          <w:b/>
          <w:sz w:val="16"/>
        </w:rPr>
        <w:t>592-</w:t>
      </w:r>
      <w:r w:rsidR="00552AB1" w:rsidRPr="00552AB1">
        <w:rPr>
          <w:b/>
          <w:sz w:val="16"/>
        </w:rPr>
        <w:t>6985</w:t>
      </w:r>
      <w:r w:rsidRPr="00552AB1">
        <w:rPr>
          <w:b/>
          <w:sz w:val="16"/>
        </w:rPr>
        <w:t xml:space="preserve">  </w:t>
      </w:r>
    </w:p>
    <w:p w:rsidR="00FF7F62" w:rsidRDefault="00552AB1" w:rsidP="002B37E8">
      <w:pPr>
        <w:ind w:right="126"/>
        <w:jc w:val="right"/>
        <w:rPr>
          <w:sz w:val="16"/>
        </w:rPr>
      </w:pPr>
      <w:r>
        <w:rPr>
          <w:sz w:val="16"/>
        </w:rPr>
        <w:t xml:space="preserve">         ken.hartwick</w:t>
      </w:r>
      <w:r w:rsidR="002B37E8">
        <w:rPr>
          <w:sz w:val="16"/>
        </w:rPr>
        <w:t>@opg.com</w:t>
      </w:r>
    </w:p>
    <w:p w:rsidR="00FF7F62" w:rsidRDefault="00FF7F62">
      <w:pPr>
        <w:ind w:left="1440"/>
      </w:pPr>
    </w:p>
    <w:p w:rsidR="00EC42AE" w:rsidRDefault="00AD0961">
      <w:pPr>
        <w:tabs>
          <w:tab w:val="right" w:pos="8820"/>
        </w:tabs>
        <w:ind w:left="720" w:right="-36"/>
        <w:rPr>
          <w:rFonts w:cs="Arial"/>
          <w:sz w:val="22"/>
          <w:szCs w:val="22"/>
        </w:rPr>
      </w:pPr>
      <w:r w:rsidRPr="009E2D3C">
        <w:rPr>
          <w:rFonts w:cs="Arial"/>
          <w:sz w:val="22"/>
          <w:szCs w:val="22"/>
        </w:rPr>
        <w:t>August 4, 2017</w:t>
      </w:r>
      <w:bookmarkStart w:id="0" w:name="_GoBack"/>
      <w:bookmarkEnd w:id="0"/>
    </w:p>
    <w:p w:rsidR="00EC42AE" w:rsidRDefault="00EC42AE">
      <w:pPr>
        <w:tabs>
          <w:tab w:val="left" w:pos="0"/>
          <w:tab w:val="left" w:pos="1260"/>
          <w:tab w:val="left" w:pos="2160"/>
        </w:tabs>
        <w:ind w:left="720"/>
        <w:jc w:val="center"/>
        <w:rPr>
          <w:rFonts w:cs="Arial"/>
          <w:b/>
          <w:sz w:val="22"/>
          <w:szCs w:val="22"/>
        </w:rPr>
      </w:pPr>
    </w:p>
    <w:p w:rsidR="00EC42AE" w:rsidRDefault="00AD0961">
      <w:pPr>
        <w:tabs>
          <w:tab w:val="left" w:pos="0"/>
          <w:tab w:val="left" w:pos="1260"/>
          <w:tab w:val="left" w:pos="2160"/>
        </w:tabs>
        <w:ind w:left="720"/>
        <w:rPr>
          <w:rFonts w:cs="Arial"/>
          <w:b/>
          <w:sz w:val="22"/>
          <w:szCs w:val="22"/>
        </w:rPr>
      </w:pPr>
      <w:r>
        <w:rPr>
          <w:rFonts w:cs="Arial"/>
          <w:sz w:val="22"/>
          <w:szCs w:val="22"/>
        </w:rPr>
        <w:t>Re:</w:t>
      </w:r>
      <w:r>
        <w:rPr>
          <w:rFonts w:cs="Arial"/>
          <w:sz w:val="22"/>
          <w:szCs w:val="22"/>
        </w:rPr>
        <w:tab/>
      </w:r>
      <w:r w:rsidRPr="0083669D">
        <w:rPr>
          <w:rFonts w:cs="Arial"/>
          <w:b/>
          <w:sz w:val="22"/>
          <w:szCs w:val="22"/>
        </w:rPr>
        <w:t xml:space="preserve">Ontario’s Fair Hydro Plan </w:t>
      </w:r>
      <w:r w:rsidR="00A402DB" w:rsidRPr="0083669D">
        <w:rPr>
          <w:rFonts w:cs="Arial"/>
          <w:b/>
          <w:sz w:val="22"/>
          <w:szCs w:val="22"/>
        </w:rPr>
        <w:t xml:space="preserve">(FHP) </w:t>
      </w:r>
      <w:r w:rsidRPr="0083669D">
        <w:rPr>
          <w:rFonts w:cs="Arial"/>
          <w:b/>
          <w:sz w:val="22"/>
          <w:szCs w:val="22"/>
        </w:rPr>
        <w:t>Update</w:t>
      </w:r>
    </w:p>
    <w:p w:rsidR="00EC42AE" w:rsidRDefault="00EC42AE">
      <w:pPr>
        <w:tabs>
          <w:tab w:val="left" w:pos="0"/>
          <w:tab w:val="left" w:pos="1260"/>
          <w:tab w:val="left" w:pos="2160"/>
        </w:tabs>
        <w:ind w:left="720"/>
        <w:jc w:val="center"/>
        <w:rPr>
          <w:rFonts w:cs="Arial"/>
          <w:b/>
          <w:sz w:val="22"/>
          <w:szCs w:val="22"/>
        </w:rPr>
      </w:pPr>
    </w:p>
    <w:p w:rsidR="00EC42AE" w:rsidRDefault="00753FFC">
      <w:pPr>
        <w:pStyle w:val="-Style2"/>
        <w:numPr>
          <w:ilvl w:val="0"/>
          <w:numId w:val="0"/>
        </w:numPr>
        <w:tabs>
          <w:tab w:val="left" w:pos="0"/>
        </w:tabs>
        <w:ind w:left="720"/>
        <w:rPr>
          <w:rFonts w:cs="Arial"/>
          <w:sz w:val="22"/>
          <w:szCs w:val="22"/>
        </w:rPr>
      </w:pPr>
      <w:r w:rsidRPr="009E2D3C">
        <w:rPr>
          <w:rFonts w:cs="Arial"/>
          <w:sz w:val="22"/>
          <w:szCs w:val="22"/>
        </w:rPr>
        <w:t>OPG continues to work with the Province, the IESO, financial advisors, external counsel, and other relevant parties to enable the FHP Trust to access capital markets in the fall of 2017.  This timeline is approximately a month later than original</w:t>
      </w:r>
      <w:r w:rsidR="00A402DB">
        <w:rPr>
          <w:rFonts w:cs="Arial"/>
          <w:sz w:val="22"/>
          <w:szCs w:val="22"/>
        </w:rPr>
        <w:t xml:space="preserve">ly anticipated due to </w:t>
      </w:r>
      <w:r w:rsidRPr="009E2D3C">
        <w:rPr>
          <w:rFonts w:cs="Arial"/>
          <w:sz w:val="22"/>
          <w:szCs w:val="22"/>
        </w:rPr>
        <w:t>the</w:t>
      </w:r>
      <w:r w:rsidR="00A402DB">
        <w:rPr>
          <w:rFonts w:cs="Arial"/>
          <w:sz w:val="22"/>
          <w:szCs w:val="22"/>
        </w:rPr>
        <w:t xml:space="preserve"> </w:t>
      </w:r>
      <w:r w:rsidR="0078340B">
        <w:rPr>
          <w:rFonts w:cs="Arial"/>
          <w:sz w:val="22"/>
          <w:szCs w:val="22"/>
        </w:rPr>
        <w:t>following outstanding</w:t>
      </w:r>
      <w:r w:rsidR="00E953B5">
        <w:rPr>
          <w:rFonts w:cs="Arial"/>
          <w:sz w:val="22"/>
          <w:szCs w:val="22"/>
        </w:rPr>
        <w:t xml:space="preserve"> items</w:t>
      </w:r>
      <w:r w:rsidR="0078340B">
        <w:rPr>
          <w:rFonts w:cs="Arial"/>
          <w:sz w:val="22"/>
          <w:szCs w:val="22"/>
        </w:rPr>
        <w:t>:</w:t>
      </w:r>
      <w:r w:rsidR="00A402DB">
        <w:rPr>
          <w:rFonts w:cs="Arial"/>
          <w:sz w:val="22"/>
          <w:szCs w:val="22"/>
        </w:rPr>
        <w:t xml:space="preserve">  </w:t>
      </w:r>
    </w:p>
    <w:p w:rsidR="00EC42AE" w:rsidRDefault="00EC42AE">
      <w:pPr>
        <w:pStyle w:val="-Style2"/>
        <w:numPr>
          <w:ilvl w:val="0"/>
          <w:numId w:val="0"/>
        </w:numPr>
        <w:tabs>
          <w:tab w:val="left" w:pos="0"/>
        </w:tabs>
        <w:ind w:left="720"/>
        <w:rPr>
          <w:rFonts w:cs="Arial"/>
          <w:sz w:val="22"/>
          <w:szCs w:val="22"/>
        </w:rPr>
      </w:pPr>
    </w:p>
    <w:p w:rsidR="00EC42AE" w:rsidRDefault="009570D6">
      <w:pPr>
        <w:pStyle w:val="-Style2"/>
        <w:numPr>
          <w:ilvl w:val="0"/>
          <w:numId w:val="15"/>
        </w:numPr>
        <w:tabs>
          <w:tab w:val="left" w:pos="0"/>
        </w:tabs>
        <w:ind w:left="1440"/>
        <w:rPr>
          <w:rFonts w:cs="Arial"/>
          <w:bCs/>
          <w:sz w:val="22"/>
          <w:szCs w:val="22"/>
        </w:rPr>
      </w:pPr>
      <w:r w:rsidRPr="00FF0930">
        <w:rPr>
          <w:rFonts w:cs="Arial"/>
          <w:b/>
          <w:bCs/>
          <w:sz w:val="22"/>
          <w:szCs w:val="22"/>
        </w:rPr>
        <w:t>Delays in debt repayment profile (Fair Allocation curve)</w:t>
      </w:r>
    </w:p>
    <w:p w:rsidR="00EC42AE" w:rsidRDefault="009570D6">
      <w:pPr>
        <w:pStyle w:val="-Style2"/>
        <w:numPr>
          <w:ilvl w:val="1"/>
          <w:numId w:val="15"/>
        </w:numPr>
        <w:tabs>
          <w:tab w:val="clear" w:pos="1260"/>
          <w:tab w:val="left" w:pos="0"/>
          <w:tab w:val="left" w:pos="1440"/>
        </w:tabs>
        <w:ind w:left="2160"/>
        <w:rPr>
          <w:rFonts w:cs="Arial"/>
          <w:bCs/>
          <w:sz w:val="22"/>
          <w:szCs w:val="22"/>
        </w:rPr>
      </w:pPr>
      <w:r w:rsidRPr="009570D6">
        <w:rPr>
          <w:rFonts w:cs="Arial"/>
          <w:bCs/>
          <w:sz w:val="22"/>
          <w:szCs w:val="22"/>
        </w:rPr>
        <w:t xml:space="preserve">The curve is a significant requirement for the credit ratings process </w:t>
      </w:r>
      <w:r w:rsidRPr="00FF0930">
        <w:rPr>
          <w:rFonts w:cs="Arial"/>
          <w:bCs/>
          <w:sz w:val="22"/>
          <w:szCs w:val="22"/>
        </w:rPr>
        <w:t xml:space="preserve">as it is a critical input to establishing an overall financing program, </w:t>
      </w:r>
      <w:r>
        <w:rPr>
          <w:rFonts w:cs="Arial"/>
          <w:bCs/>
          <w:sz w:val="22"/>
          <w:szCs w:val="22"/>
        </w:rPr>
        <w:t xml:space="preserve">setting up a financial model for the program, and for the notes being issued.  </w:t>
      </w:r>
    </w:p>
    <w:p w:rsidR="00EC42AE" w:rsidRDefault="009570D6">
      <w:pPr>
        <w:pStyle w:val="-Style2"/>
        <w:numPr>
          <w:ilvl w:val="1"/>
          <w:numId w:val="15"/>
        </w:numPr>
        <w:tabs>
          <w:tab w:val="clear" w:pos="1260"/>
          <w:tab w:val="left" w:pos="0"/>
          <w:tab w:val="left" w:pos="1440"/>
        </w:tabs>
        <w:ind w:left="2160"/>
        <w:rPr>
          <w:rFonts w:cs="Arial"/>
          <w:bCs/>
          <w:sz w:val="22"/>
          <w:szCs w:val="22"/>
        </w:rPr>
      </w:pPr>
      <w:r>
        <w:rPr>
          <w:rFonts w:cs="Arial"/>
          <w:bCs/>
          <w:sz w:val="22"/>
          <w:szCs w:val="22"/>
        </w:rPr>
        <w:t xml:space="preserve">The release of this information is linked to the development and finalization of the Province’s LTEP.  Continued delays in the finalization of this requirement will further push out the implementation of the program. </w:t>
      </w:r>
    </w:p>
    <w:p w:rsidR="00EC42AE" w:rsidRDefault="006E5D3D">
      <w:pPr>
        <w:pStyle w:val="-Style2"/>
        <w:numPr>
          <w:ilvl w:val="0"/>
          <w:numId w:val="15"/>
        </w:numPr>
        <w:tabs>
          <w:tab w:val="left" w:pos="0"/>
        </w:tabs>
        <w:ind w:left="1440"/>
        <w:rPr>
          <w:rFonts w:cs="Arial"/>
          <w:bCs/>
          <w:sz w:val="22"/>
          <w:szCs w:val="22"/>
        </w:rPr>
      </w:pPr>
      <w:r w:rsidRPr="008C3D1F">
        <w:rPr>
          <w:rFonts w:cs="Arial"/>
          <w:b/>
          <w:bCs/>
          <w:sz w:val="22"/>
          <w:szCs w:val="22"/>
        </w:rPr>
        <w:t xml:space="preserve">Four-year moratorium </w:t>
      </w:r>
      <w:r w:rsidRPr="00E76D8B">
        <w:rPr>
          <w:rFonts w:cs="Arial"/>
          <w:b/>
          <w:bCs/>
          <w:sz w:val="22"/>
          <w:szCs w:val="22"/>
        </w:rPr>
        <w:t xml:space="preserve">accounting issues and financing </w:t>
      </w:r>
      <w:r w:rsidRPr="008C3D1F">
        <w:rPr>
          <w:rFonts w:cs="Arial"/>
          <w:b/>
          <w:bCs/>
          <w:sz w:val="22"/>
          <w:szCs w:val="22"/>
        </w:rPr>
        <w:t>challenges</w:t>
      </w:r>
      <w:r w:rsidRPr="00882007">
        <w:rPr>
          <w:rFonts w:cs="Arial"/>
          <w:bCs/>
          <w:sz w:val="22"/>
          <w:szCs w:val="22"/>
        </w:rPr>
        <w:t xml:space="preserve"> </w:t>
      </w:r>
    </w:p>
    <w:p w:rsidR="00EC42AE" w:rsidRDefault="006E5D3D">
      <w:pPr>
        <w:pStyle w:val="-Style2"/>
        <w:numPr>
          <w:ilvl w:val="1"/>
          <w:numId w:val="15"/>
        </w:numPr>
        <w:tabs>
          <w:tab w:val="clear" w:pos="1260"/>
          <w:tab w:val="left" w:pos="0"/>
          <w:tab w:val="left" w:pos="1530"/>
        </w:tabs>
        <w:ind w:left="2160"/>
        <w:rPr>
          <w:rFonts w:cs="Arial"/>
          <w:bCs/>
          <w:sz w:val="22"/>
          <w:szCs w:val="22"/>
        </w:rPr>
      </w:pPr>
      <w:r w:rsidRPr="009570D6">
        <w:rPr>
          <w:rFonts w:cs="Arial"/>
          <w:bCs/>
          <w:sz w:val="22"/>
          <w:szCs w:val="22"/>
        </w:rPr>
        <w:t xml:space="preserve">There remains several accounting issues related to the treatment of interest on the Trust debt. This continues to be worked on by </w:t>
      </w:r>
      <w:r>
        <w:rPr>
          <w:rFonts w:cs="Arial"/>
          <w:bCs/>
          <w:sz w:val="22"/>
          <w:szCs w:val="22"/>
        </w:rPr>
        <w:t xml:space="preserve">the </w:t>
      </w:r>
      <w:r w:rsidRPr="009570D6">
        <w:rPr>
          <w:rFonts w:cs="Arial"/>
          <w:bCs/>
          <w:sz w:val="22"/>
          <w:szCs w:val="22"/>
        </w:rPr>
        <w:t>MOF, IESO and OPG with a resolution expected in the coming weeks.</w:t>
      </w:r>
    </w:p>
    <w:p w:rsidR="00EC42AE" w:rsidRDefault="008B59AE">
      <w:pPr>
        <w:pStyle w:val="-Style2"/>
        <w:numPr>
          <w:ilvl w:val="0"/>
          <w:numId w:val="15"/>
        </w:numPr>
        <w:tabs>
          <w:tab w:val="left" w:pos="0"/>
        </w:tabs>
        <w:ind w:left="1440"/>
        <w:rPr>
          <w:rFonts w:cs="Arial"/>
          <w:bCs/>
          <w:sz w:val="22"/>
          <w:szCs w:val="22"/>
        </w:rPr>
      </w:pPr>
      <w:r w:rsidRPr="008C3D1F">
        <w:rPr>
          <w:rFonts w:cs="Arial"/>
          <w:b/>
          <w:bCs/>
          <w:sz w:val="22"/>
          <w:szCs w:val="22"/>
        </w:rPr>
        <w:t>F</w:t>
      </w:r>
      <w:r w:rsidR="00753FFC" w:rsidRPr="008C3D1F">
        <w:rPr>
          <w:rFonts w:cs="Arial"/>
          <w:b/>
          <w:bCs/>
          <w:sz w:val="22"/>
          <w:szCs w:val="22"/>
        </w:rPr>
        <w:t>ee</w:t>
      </w:r>
      <w:r w:rsidRPr="008C3D1F">
        <w:rPr>
          <w:rFonts w:cs="Arial"/>
          <w:b/>
          <w:bCs/>
          <w:sz w:val="22"/>
          <w:szCs w:val="22"/>
        </w:rPr>
        <w:t>s</w:t>
      </w:r>
      <w:r w:rsidR="00753FFC" w:rsidRPr="008C3D1F">
        <w:rPr>
          <w:rFonts w:cs="Arial"/>
          <w:b/>
          <w:bCs/>
          <w:sz w:val="22"/>
          <w:szCs w:val="22"/>
        </w:rPr>
        <w:t xml:space="preserve"> for services provided by OPG and the approach to subordinated debt</w:t>
      </w:r>
      <w:r w:rsidR="00F33DA6" w:rsidRPr="008C3D1F">
        <w:rPr>
          <w:rFonts w:cs="Arial"/>
          <w:b/>
          <w:bCs/>
          <w:sz w:val="22"/>
          <w:szCs w:val="22"/>
        </w:rPr>
        <w:t xml:space="preserve"> </w:t>
      </w:r>
      <w:r w:rsidR="008C3D1F" w:rsidRPr="008C3D1F">
        <w:rPr>
          <w:rFonts w:cs="Arial"/>
          <w:b/>
          <w:bCs/>
          <w:sz w:val="22"/>
          <w:szCs w:val="22"/>
        </w:rPr>
        <w:t>pricing</w:t>
      </w:r>
      <w:r w:rsidR="008C3D1F">
        <w:rPr>
          <w:rFonts w:cs="Arial"/>
          <w:bCs/>
          <w:sz w:val="22"/>
          <w:szCs w:val="22"/>
        </w:rPr>
        <w:t xml:space="preserve"> </w:t>
      </w:r>
    </w:p>
    <w:p w:rsidR="00EC42AE" w:rsidRDefault="008B59AE">
      <w:pPr>
        <w:pStyle w:val="-Style2"/>
        <w:numPr>
          <w:ilvl w:val="1"/>
          <w:numId w:val="15"/>
        </w:numPr>
        <w:tabs>
          <w:tab w:val="clear" w:pos="1260"/>
          <w:tab w:val="left" w:pos="0"/>
          <w:tab w:val="left" w:pos="1440"/>
        </w:tabs>
        <w:ind w:left="2160"/>
        <w:rPr>
          <w:rFonts w:cs="Arial"/>
          <w:bCs/>
          <w:sz w:val="22"/>
          <w:szCs w:val="22"/>
        </w:rPr>
      </w:pPr>
      <w:r>
        <w:rPr>
          <w:rFonts w:cs="Arial"/>
          <w:bCs/>
          <w:sz w:val="22"/>
          <w:szCs w:val="22"/>
        </w:rPr>
        <w:t xml:space="preserve">OPG </w:t>
      </w:r>
      <w:r w:rsidR="00753FFC" w:rsidRPr="009E2D3C">
        <w:rPr>
          <w:rFonts w:cs="Arial"/>
          <w:bCs/>
          <w:sz w:val="22"/>
          <w:szCs w:val="22"/>
        </w:rPr>
        <w:t>continues to maintain its position that the structure of the fees and pricing of debt must reflect commercial terms</w:t>
      </w:r>
      <w:r w:rsidR="00FF0930">
        <w:rPr>
          <w:rFonts w:cs="Arial"/>
          <w:bCs/>
          <w:sz w:val="22"/>
          <w:szCs w:val="22"/>
        </w:rPr>
        <w:t xml:space="preserve">. </w:t>
      </w:r>
      <w:r w:rsidR="00FF0930" w:rsidRPr="00D7180B">
        <w:rPr>
          <w:rFonts w:cs="Arial"/>
          <w:bCs/>
          <w:sz w:val="22"/>
          <w:szCs w:val="22"/>
        </w:rPr>
        <w:t>This item is expected to be resolved after the two items noted above.</w:t>
      </w:r>
      <w:r w:rsidR="00FF0930">
        <w:rPr>
          <w:rFonts w:cs="Arial"/>
          <w:bCs/>
          <w:sz w:val="22"/>
          <w:szCs w:val="22"/>
        </w:rPr>
        <w:t xml:space="preserve"> </w:t>
      </w:r>
      <w:r w:rsidR="00753FFC" w:rsidRPr="009E2D3C">
        <w:rPr>
          <w:rFonts w:cs="Arial"/>
          <w:bCs/>
          <w:sz w:val="22"/>
          <w:szCs w:val="22"/>
        </w:rPr>
        <w:t xml:space="preserve"> </w:t>
      </w:r>
    </w:p>
    <w:p w:rsidR="00EC42AE" w:rsidRDefault="00EC42AE">
      <w:pPr>
        <w:pStyle w:val="-Style2"/>
        <w:numPr>
          <w:ilvl w:val="0"/>
          <w:numId w:val="0"/>
        </w:numPr>
        <w:tabs>
          <w:tab w:val="clear" w:pos="1260"/>
          <w:tab w:val="left" w:pos="0"/>
          <w:tab w:val="left" w:pos="1440"/>
        </w:tabs>
        <w:ind w:left="2160"/>
        <w:rPr>
          <w:rFonts w:cs="Arial"/>
          <w:bCs/>
          <w:sz w:val="22"/>
          <w:szCs w:val="22"/>
        </w:rPr>
      </w:pPr>
    </w:p>
    <w:p w:rsidR="00EC42AE" w:rsidRDefault="00FF0930">
      <w:pPr>
        <w:pStyle w:val="-Style2"/>
        <w:numPr>
          <w:ilvl w:val="0"/>
          <w:numId w:val="0"/>
        </w:numPr>
        <w:tabs>
          <w:tab w:val="left" w:pos="0"/>
        </w:tabs>
        <w:ind w:left="720"/>
        <w:rPr>
          <w:rFonts w:cs="Arial"/>
          <w:bCs/>
          <w:sz w:val="22"/>
          <w:szCs w:val="22"/>
        </w:rPr>
      </w:pPr>
      <w:r w:rsidRPr="009570D6">
        <w:rPr>
          <w:rFonts w:cs="Arial"/>
          <w:bCs/>
          <w:sz w:val="22"/>
          <w:szCs w:val="22"/>
        </w:rPr>
        <w:t>With these items outstanding</w:t>
      </w:r>
      <w:r w:rsidR="006E5D3D">
        <w:rPr>
          <w:rFonts w:cs="Arial"/>
          <w:bCs/>
          <w:sz w:val="22"/>
          <w:szCs w:val="22"/>
        </w:rPr>
        <w:t>,</w:t>
      </w:r>
      <w:r w:rsidRPr="009570D6">
        <w:rPr>
          <w:rFonts w:cs="Arial"/>
          <w:bCs/>
          <w:sz w:val="22"/>
          <w:szCs w:val="22"/>
        </w:rPr>
        <w:t xml:space="preserve"> management has recommended to the Special Committee that documents support</w:t>
      </w:r>
      <w:r w:rsidR="006E5D3D">
        <w:rPr>
          <w:rFonts w:cs="Arial"/>
          <w:bCs/>
          <w:sz w:val="22"/>
          <w:szCs w:val="22"/>
        </w:rPr>
        <w:t>ing</w:t>
      </w:r>
      <w:r w:rsidRPr="009570D6">
        <w:rPr>
          <w:rFonts w:cs="Arial"/>
          <w:bCs/>
          <w:sz w:val="22"/>
          <w:szCs w:val="22"/>
        </w:rPr>
        <w:t xml:space="preserve"> the Trust and </w:t>
      </w:r>
      <w:r w:rsidR="006E5D3D">
        <w:rPr>
          <w:rFonts w:cs="Arial"/>
          <w:bCs/>
          <w:sz w:val="22"/>
          <w:szCs w:val="22"/>
        </w:rPr>
        <w:t xml:space="preserve">financing </w:t>
      </w:r>
      <w:r w:rsidRPr="009570D6">
        <w:rPr>
          <w:rFonts w:cs="Arial"/>
          <w:bCs/>
          <w:sz w:val="22"/>
          <w:szCs w:val="22"/>
        </w:rPr>
        <w:t xml:space="preserve">program be tabled for review and approval at a later date. The Special Committee concurs with this recommendation. </w:t>
      </w:r>
    </w:p>
    <w:p w:rsidR="00EC42AE" w:rsidRDefault="00EC42AE">
      <w:pPr>
        <w:tabs>
          <w:tab w:val="left" w:pos="0"/>
          <w:tab w:val="left" w:pos="1260"/>
          <w:tab w:val="left" w:pos="1710"/>
          <w:tab w:val="left" w:pos="2070"/>
          <w:tab w:val="right" w:pos="9864"/>
        </w:tabs>
        <w:ind w:left="720"/>
        <w:rPr>
          <w:rFonts w:cs="Arial"/>
          <w:bCs/>
          <w:sz w:val="22"/>
          <w:szCs w:val="22"/>
        </w:rPr>
      </w:pPr>
    </w:p>
    <w:p w:rsidR="00EC42AE" w:rsidRDefault="009C63FD">
      <w:pPr>
        <w:tabs>
          <w:tab w:val="left" w:pos="0"/>
          <w:tab w:val="left" w:pos="1260"/>
          <w:tab w:val="left" w:pos="1710"/>
          <w:tab w:val="left" w:pos="2070"/>
          <w:tab w:val="right" w:pos="9864"/>
        </w:tabs>
        <w:ind w:left="720"/>
        <w:rPr>
          <w:rFonts w:cs="Arial"/>
          <w:sz w:val="22"/>
          <w:szCs w:val="22"/>
        </w:rPr>
      </w:pPr>
      <w:r w:rsidRPr="009C63FD">
        <w:rPr>
          <w:rFonts w:cs="Arial"/>
          <w:bCs/>
          <w:sz w:val="22"/>
          <w:szCs w:val="22"/>
        </w:rPr>
        <w:t>The table below provides an update to the Board of Directors’ con</w:t>
      </w:r>
      <w:r w:rsidR="007E3DB7">
        <w:rPr>
          <w:rFonts w:cs="Arial"/>
          <w:sz w:val="22"/>
          <w:szCs w:val="22"/>
        </w:rPr>
        <w:t xml:space="preserve">ditions for </w:t>
      </w:r>
      <w:r w:rsidR="00753FFC" w:rsidRPr="009E2D3C">
        <w:rPr>
          <w:rFonts w:cs="Arial"/>
          <w:sz w:val="22"/>
          <w:szCs w:val="22"/>
        </w:rPr>
        <w:t>OPG’s participation in the FHP</w:t>
      </w:r>
      <w:r w:rsidR="007E3DB7">
        <w:rPr>
          <w:rFonts w:cs="Arial"/>
          <w:sz w:val="22"/>
          <w:szCs w:val="22"/>
        </w:rPr>
        <w:t>:</w:t>
      </w:r>
      <w:r w:rsidR="00753FFC" w:rsidRPr="009E2D3C">
        <w:rPr>
          <w:rFonts w:cs="Arial"/>
          <w:sz w:val="22"/>
          <w:szCs w:val="22"/>
        </w:rPr>
        <w:t xml:space="preserve">  </w:t>
      </w:r>
    </w:p>
    <w:p w:rsidR="00753FFC" w:rsidRPr="009E2D3C" w:rsidRDefault="00753FFC" w:rsidP="00753FFC">
      <w:pPr>
        <w:tabs>
          <w:tab w:val="left" w:pos="0"/>
          <w:tab w:val="left" w:pos="1260"/>
          <w:tab w:val="left" w:pos="1710"/>
          <w:tab w:val="left" w:pos="2070"/>
          <w:tab w:val="right" w:pos="9864"/>
        </w:tabs>
        <w:rPr>
          <w:rFonts w:cs="Arial"/>
          <w:sz w:val="22"/>
          <w:szCs w:val="22"/>
        </w:rPr>
      </w:pPr>
    </w:p>
    <w:tbl>
      <w:tblPr>
        <w:tblW w:w="9900" w:type="dxa"/>
        <w:tblInd w:w="144" w:type="dxa"/>
        <w:tblCellMar>
          <w:left w:w="0" w:type="dxa"/>
          <w:right w:w="0" w:type="dxa"/>
        </w:tblCellMar>
        <w:tblLook w:val="04A0"/>
      </w:tblPr>
      <w:tblGrid>
        <w:gridCol w:w="3330"/>
        <w:gridCol w:w="6570"/>
      </w:tblGrid>
      <w:tr w:rsidR="00753FFC" w:rsidRPr="009E2D3C" w:rsidTr="00EA1D15">
        <w:trPr>
          <w:trHeight w:val="457"/>
          <w:tblHeader/>
        </w:trPr>
        <w:tc>
          <w:tcPr>
            <w:tcW w:w="333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rPr>
                <w:rFonts w:cs="Arial"/>
                <w:sz w:val="22"/>
                <w:szCs w:val="22"/>
                <w:lang w:val="en-CA"/>
              </w:rPr>
            </w:pPr>
            <w:r w:rsidRPr="009E2D3C">
              <w:rPr>
                <w:rFonts w:cs="Arial"/>
                <w:b/>
                <w:bCs/>
                <w:sz w:val="22"/>
                <w:szCs w:val="22"/>
                <w:lang w:val="en-US"/>
              </w:rPr>
              <w:t>Conditions</w:t>
            </w:r>
          </w:p>
        </w:tc>
        <w:tc>
          <w:tcPr>
            <w:tcW w:w="657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jc w:val="center"/>
              <w:rPr>
                <w:rFonts w:cs="Arial"/>
                <w:sz w:val="22"/>
                <w:szCs w:val="22"/>
                <w:lang w:val="en-CA"/>
              </w:rPr>
            </w:pPr>
            <w:r w:rsidRPr="009E2D3C">
              <w:rPr>
                <w:rFonts w:cs="Arial"/>
                <w:b/>
                <w:bCs/>
                <w:sz w:val="22"/>
                <w:szCs w:val="22"/>
                <w:lang w:val="en-US"/>
              </w:rPr>
              <w:t>Status</w:t>
            </w:r>
          </w:p>
        </w:tc>
      </w:tr>
      <w:tr w:rsidR="00753FFC" w:rsidRPr="009E2D3C" w:rsidTr="00EA1D15">
        <w:trPr>
          <w:trHeight w:val="584"/>
        </w:trPr>
        <w:tc>
          <w:tcPr>
            <w:tcW w:w="333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Province enacts FHP legislation and regulations that are consistent with OPG’s requirements and objectives </w:t>
            </w:r>
          </w:p>
        </w:tc>
        <w:tc>
          <w:tcPr>
            <w:tcW w:w="65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620" w:rsidRDefault="00EC6D15" w:rsidP="00753FFC">
            <w:pPr>
              <w:numPr>
                <w:ilvl w:val="0"/>
                <w:numId w:val="11"/>
              </w:numPr>
              <w:tabs>
                <w:tab w:val="right" w:pos="10620"/>
              </w:tabs>
              <w:ind w:left="396"/>
              <w:rPr>
                <w:rFonts w:cs="Arial"/>
                <w:lang w:val="en-CA"/>
              </w:rPr>
            </w:pPr>
            <w:r>
              <w:rPr>
                <w:rFonts w:cs="Arial"/>
                <w:i/>
                <w:lang w:val="en-CA"/>
              </w:rPr>
              <w:t>Bill 132</w:t>
            </w:r>
            <w:r w:rsidR="000D7620">
              <w:rPr>
                <w:rFonts w:cs="Arial"/>
                <w:lang w:val="en-CA"/>
              </w:rPr>
              <w:t xml:space="preserve"> and </w:t>
            </w:r>
            <w:r w:rsidR="000D7620" w:rsidRPr="00E03E9E">
              <w:rPr>
                <w:rFonts w:cs="Arial"/>
                <w:i/>
                <w:lang w:val="en-CA"/>
              </w:rPr>
              <w:t xml:space="preserve">O. </w:t>
            </w:r>
            <w:proofErr w:type="spellStart"/>
            <w:r w:rsidR="000D7620" w:rsidRPr="00E03E9E">
              <w:rPr>
                <w:rFonts w:cs="Arial"/>
                <w:i/>
                <w:lang w:val="en-CA"/>
              </w:rPr>
              <w:t>Reg</w:t>
            </w:r>
            <w:proofErr w:type="spellEnd"/>
            <w:r w:rsidR="000D7620" w:rsidRPr="00E03E9E">
              <w:rPr>
                <w:rFonts w:cs="Arial"/>
                <w:i/>
                <w:lang w:val="en-CA"/>
              </w:rPr>
              <w:t xml:space="preserve"> 206/17</w:t>
            </w:r>
            <w:r w:rsidR="000D7620">
              <w:rPr>
                <w:rFonts w:cs="Arial"/>
                <w:lang w:val="en-CA"/>
              </w:rPr>
              <w:t xml:space="preserve"> were enacted in June 2017</w:t>
            </w:r>
          </w:p>
          <w:p w:rsidR="000D7620" w:rsidRPr="0012465C" w:rsidRDefault="00753FFC" w:rsidP="000D7620">
            <w:pPr>
              <w:numPr>
                <w:ilvl w:val="0"/>
                <w:numId w:val="11"/>
              </w:numPr>
              <w:tabs>
                <w:tab w:val="right" w:pos="10620"/>
              </w:tabs>
              <w:ind w:left="396"/>
              <w:rPr>
                <w:rFonts w:cs="Arial"/>
                <w:lang w:val="en-CA"/>
              </w:rPr>
            </w:pPr>
            <w:r w:rsidRPr="0012465C">
              <w:rPr>
                <w:rFonts w:cs="Arial"/>
                <w:lang w:val="en-CA"/>
              </w:rPr>
              <w:t>Regulation addressing fees for OPG’s services and OEB oversight are outstanding</w:t>
            </w:r>
          </w:p>
        </w:tc>
      </w:tr>
      <w:tr w:rsidR="00753FFC" w:rsidRPr="009E2D3C" w:rsidTr="00EA1D15">
        <w:trPr>
          <w:trHeight w:val="584"/>
        </w:trPr>
        <w:tc>
          <w:tcPr>
            <w:tcW w:w="33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Amendment of OPG’s Articles of Amalgamation to allow OPG to access public debt market without restrictions </w:t>
            </w:r>
            <w:r w:rsidRPr="0012465C">
              <w:rPr>
                <w:rFonts w:cs="Arial"/>
                <w:lang w:val="en-CA"/>
              </w:rPr>
              <w:t xml:space="preserve"> </w:t>
            </w:r>
          </w:p>
        </w:tc>
        <w:tc>
          <w:tcPr>
            <w:tcW w:w="65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numPr>
                <w:ilvl w:val="0"/>
                <w:numId w:val="12"/>
              </w:numPr>
              <w:tabs>
                <w:tab w:val="right" w:pos="10620"/>
              </w:tabs>
              <w:ind w:left="396"/>
              <w:rPr>
                <w:rFonts w:cs="Arial"/>
                <w:lang w:val="en-CA"/>
              </w:rPr>
            </w:pPr>
            <w:r w:rsidRPr="0012465C">
              <w:rPr>
                <w:rFonts w:cs="Arial"/>
                <w:lang w:val="en-CA"/>
              </w:rPr>
              <w:t>The Articles of Amalgamation were amended in June 2017</w:t>
            </w:r>
          </w:p>
        </w:tc>
      </w:tr>
      <w:tr w:rsidR="00753FFC" w:rsidRPr="009E2D3C" w:rsidTr="000D7620">
        <w:trPr>
          <w:trHeight w:val="367"/>
        </w:trPr>
        <w:tc>
          <w:tcPr>
            <w:tcW w:w="333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proofErr w:type="spellStart"/>
            <w:r w:rsidRPr="0012465C">
              <w:rPr>
                <w:rFonts w:cs="Arial"/>
                <w:lang w:val="en-US"/>
              </w:rPr>
              <w:t>Fa</w:t>
            </w:r>
            <w:r w:rsidRPr="0012465C">
              <w:rPr>
                <w:rFonts w:cs="Arial"/>
                <w:lang w:val="en-CA"/>
              </w:rPr>
              <w:t>ir</w:t>
            </w:r>
            <w:proofErr w:type="spellEnd"/>
            <w:r w:rsidRPr="0012465C">
              <w:rPr>
                <w:rFonts w:cs="Arial"/>
                <w:lang w:val="en-CA"/>
              </w:rPr>
              <w:t xml:space="preserve"> Allocation Amount is confirmed by the Province in writing</w:t>
            </w:r>
          </w:p>
        </w:tc>
        <w:tc>
          <w:tcPr>
            <w:tcW w:w="65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rPr>
              <w:t xml:space="preserve">The Fair Allocation Amount and </w:t>
            </w:r>
            <w:r w:rsidR="0061145B">
              <w:rPr>
                <w:rFonts w:cs="Arial"/>
              </w:rPr>
              <w:t xml:space="preserve">curve </w:t>
            </w:r>
            <w:r w:rsidRPr="0012465C">
              <w:rPr>
                <w:rFonts w:cs="Arial"/>
              </w:rPr>
              <w:t>from the Province are delayed until the LTEP is finalized as this forms a significant component of the plan</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rPr>
              <w:t>OPG proposed a range approach to allow credit rating agencies to commence their assessment prior to the finalization of the curve</w:t>
            </w:r>
          </w:p>
        </w:tc>
      </w:tr>
      <w:tr w:rsidR="00753FFC" w:rsidRPr="009E2D3C" w:rsidTr="00EA1D15">
        <w:trPr>
          <w:trHeight w:val="584"/>
        </w:trPr>
        <w:tc>
          <w:tcPr>
            <w:tcW w:w="33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753FFC" w:rsidRPr="0012465C" w:rsidRDefault="00753FFC" w:rsidP="00F33DA6">
            <w:pPr>
              <w:tabs>
                <w:tab w:val="right" w:pos="10620"/>
              </w:tabs>
              <w:rPr>
                <w:rFonts w:cs="Arial"/>
                <w:lang w:val="en-CA"/>
              </w:rPr>
            </w:pPr>
            <w:r w:rsidRPr="0012465C">
              <w:rPr>
                <w:rFonts w:cs="Arial"/>
                <w:lang w:val="en-US"/>
              </w:rPr>
              <w:t>Province confirms that the FHP and the Fair Allocation Amount are Constitutional</w:t>
            </w:r>
          </w:p>
        </w:tc>
        <w:tc>
          <w:tcPr>
            <w:tcW w:w="65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numPr>
                <w:ilvl w:val="0"/>
                <w:numId w:val="14"/>
              </w:numPr>
              <w:tabs>
                <w:tab w:val="right" w:pos="10620"/>
              </w:tabs>
              <w:ind w:left="396"/>
              <w:rPr>
                <w:rFonts w:cs="Arial"/>
                <w:lang w:val="en-CA"/>
              </w:rPr>
            </w:pPr>
            <w:r w:rsidRPr="0012465C">
              <w:rPr>
                <w:rFonts w:cs="Arial"/>
                <w:lang w:val="en-CA"/>
              </w:rPr>
              <w:t xml:space="preserve">The Province confirmed that the FHP meets all requirements of applicable law in its letter to OPG in May 2017 </w:t>
            </w:r>
          </w:p>
        </w:tc>
      </w:tr>
    </w:tbl>
    <w:p w:rsidR="00753FFC" w:rsidRPr="009E2D3C" w:rsidRDefault="00753FFC" w:rsidP="00753FFC">
      <w:pPr>
        <w:tabs>
          <w:tab w:val="left" w:pos="0"/>
          <w:tab w:val="left" w:pos="1710"/>
          <w:tab w:val="left" w:pos="2070"/>
          <w:tab w:val="right" w:pos="9864"/>
        </w:tabs>
        <w:rPr>
          <w:rFonts w:cs="Arial"/>
          <w:sz w:val="22"/>
          <w:szCs w:val="22"/>
        </w:rPr>
      </w:pPr>
    </w:p>
    <w:p w:rsidR="00753FFC" w:rsidRPr="009E2D3C" w:rsidRDefault="00753FFC" w:rsidP="00753FFC">
      <w:pPr>
        <w:keepNext/>
        <w:tabs>
          <w:tab w:val="left" w:pos="0"/>
          <w:tab w:val="left" w:pos="1710"/>
          <w:tab w:val="left" w:pos="2070"/>
          <w:tab w:val="right" w:pos="9864"/>
        </w:tabs>
        <w:rPr>
          <w:rFonts w:cs="Arial"/>
          <w:sz w:val="22"/>
          <w:szCs w:val="22"/>
        </w:rPr>
      </w:pPr>
      <w:r w:rsidRPr="009E2D3C">
        <w:rPr>
          <w:rFonts w:cs="Arial"/>
          <w:sz w:val="22"/>
          <w:szCs w:val="22"/>
        </w:rPr>
        <w:t xml:space="preserve">The statuses of the FHP Trust’s key activities are as follows: </w:t>
      </w:r>
    </w:p>
    <w:p w:rsidR="00753FFC" w:rsidRPr="009E2D3C" w:rsidRDefault="00753FFC" w:rsidP="00753FFC">
      <w:pPr>
        <w:keepNext/>
        <w:tabs>
          <w:tab w:val="left" w:pos="0"/>
          <w:tab w:val="left" w:pos="1710"/>
          <w:tab w:val="left" w:pos="2070"/>
          <w:tab w:val="right" w:pos="9864"/>
        </w:tabs>
        <w:rPr>
          <w:rFonts w:cs="Arial"/>
          <w:sz w:val="22"/>
          <w:szCs w:val="22"/>
        </w:rPr>
      </w:pPr>
    </w:p>
    <w:tbl>
      <w:tblPr>
        <w:tblW w:w="9900" w:type="dxa"/>
        <w:tblInd w:w="144" w:type="dxa"/>
        <w:tblCellMar>
          <w:left w:w="0" w:type="dxa"/>
          <w:right w:w="0" w:type="dxa"/>
        </w:tblCellMar>
        <w:tblLook w:val="04A0"/>
      </w:tblPr>
      <w:tblGrid>
        <w:gridCol w:w="3330"/>
        <w:gridCol w:w="6570"/>
      </w:tblGrid>
      <w:tr w:rsidR="00753FFC" w:rsidRPr="009E2D3C" w:rsidTr="00EA1D15">
        <w:trPr>
          <w:trHeight w:val="457"/>
        </w:trPr>
        <w:tc>
          <w:tcPr>
            <w:tcW w:w="333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rPr>
                <w:rFonts w:cs="Arial"/>
                <w:sz w:val="22"/>
                <w:szCs w:val="22"/>
                <w:lang w:val="en-CA"/>
              </w:rPr>
            </w:pPr>
            <w:r w:rsidRPr="009E2D3C">
              <w:rPr>
                <w:rFonts w:cs="Arial"/>
                <w:b/>
                <w:bCs/>
                <w:sz w:val="22"/>
                <w:szCs w:val="22"/>
                <w:lang w:val="en-US"/>
              </w:rPr>
              <w:t>Key Activities</w:t>
            </w:r>
          </w:p>
        </w:tc>
        <w:tc>
          <w:tcPr>
            <w:tcW w:w="657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jc w:val="center"/>
              <w:rPr>
                <w:rFonts w:cs="Arial"/>
                <w:sz w:val="22"/>
                <w:szCs w:val="22"/>
                <w:lang w:val="en-CA"/>
              </w:rPr>
            </w:pPr>
            <w:r w:rsidRPr="009E2D3C">
              <w:rPr>
                <w:rFonts w:cs="Arial"/>
                <w:b/>
                <w:bCs/>
                <w:sz w:val="22"/>
                <w:szCs w:val="22"/>
                <w:lang w:val="en-US"/>
              </w:rPr>
              <w:t>Status</w:t>
            </w:r>
          </w:p>
        </w:tc>
      </w:tr>
      <w:tr w:rsidR="00753FFC" w:rsidRPr="009E2D3C" w:rsidTr="00EA1D15">
        <w:trPr>
          <w:trHeight w:val="584"/>
        </w:trPr>
        <w:tc>
          <w:tcPr>
            <w:tcW w:w="333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r w:rsidRPr="0012465C">
              <w:rPr>
                <w:rFonts w:cs="Arial"/>
                <w:lang w:val="en-CA"/>
              </w:rPr>
              <w:t>Concluding the contractual arrangements and structural documents to implement the FHP</w:t>
            </w:r>
          </w:p>
        </w:tc>
        <w:tc>
          <w:tcPr>
            <w:tcW w:w="65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pStyle w:val="BulletStyl1"/>
              <w:numPr>
                <w:ilvl w:val="0"/>
                <w:numId w:val="13"/>
              </w:numPr>
              <w:tabs>
                <w:tab w:val="clear" w:pos="720"/>
              </w:tabs>
              <w:ind w:left="396"/>
              <w:jc w:val="left"/>
              <w:rPr>
                <w:rFonts w:cs="Arial"/>
                <w:lang w:val="en-CA"/>
              </w:rPr>
            </w:pPr>
            <w:r w:rsidRPr="0012465C">
              <w:rPr>
                <w:rFonts w:cs="Arial"/>
                <w:lang w:val="en-US"/>
              </w:rPr>
              <w:t>Key documents include: Declaration of Trust, Master Trust Indenture, Master Transfer &amp; Servicing Agreement, Financial Services &amp; Management Agreement and Administration Agreement</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lang w:val="en-US"/>
              </w:rPr>
              <w:t>All agreements have been drafted and are undergoing review by stakeholders</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lang w:val="en-US"/>
              </w:rPr>
              <w:t>Commercial aspects relating to OPG’s fees and subordinated debt pricing are continuing</w:t>
            </w:r>
          </w:p>
        </w:tc>
      </w:tr>
      <w:tr w:rsidR="00753FFC" w:rsidRPr="009E2D3C" w:rsidTr="00EA1D15">
        <w:trPr>
          <w:trHeight w:val="584"/>
        </w:trPr>
        <w:tc>
          <w:tcPr>
            <w:tcW w:w="333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Implementation of financing </w:t>
            </w:r>
          </w:p>
        </w:tc>
        <w:tc>
          <w:tcPr>
            <w:tcW w:w="65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pStyle w:val="BulletStyl1"/>
              <w:numPr>
                <w:ilvl w:val="0"/>
                <w:numId w:val="13"/>
              </w:numPr>
              <w:tabs>
                <w:tab w:val="clear" w:pos="720"/>
              </w:tabs>
              <w:ind w:left="396"/>
              <w:jc w:val="left"/>
              <w:rPr>
                <w:rFonts w:cs="Arial"/>
                <w:lang w:val="en-US"/>
              </w:rPr>
            </w:pPr>
            <w:r w:rsidRPr="0012465C">
              <w:rPr>
                <w:rFonts w:cs="Arial"/>
                <w:lang w:val="en-US"/>
              </w:rPr>
              <w:t xml:space="preserve">Credit ratings are in the process of being secured.  </w:t>
            </w:r>
            <w:r w:rsidRPr="0012465C">
              <w:rPr>
                <w:rFonts w:cs="Arial"/>
              </w:rPr>
              <w:t>Due to the complexity and uniqueness of the program, more time is required by rating agencies to conduct a full assessment</w:t>
            </w:r>
          </w:p>
          <w:p w:rsidR="00753FFC" w:rsidRPr="0012465C" w:rsidRDefault="00753FFC" w:rsidP="00753FFC">
            <w:pPr>
              <w:pStyle w:val="BulletStyl1"/>
              <w:numPr>
                <w:ilvl w:val="0"/>
                <w:numId w:val="13"/>
              </w:numPr>
              <w:tabs>
                <w:tab w:val="clear" w:pos="720"/>
              </w:tabs>
              <w:ind w:left="396"/>
              <w:jc w:val="left"/>
              <w:rPr>
                <w:rFonts w:cs="Arial"/>
                <w:lang w:val="en-US"/>
              </w:rPr>
            </w:pPr>
            <w:r w:rsidRPr="0012465C">
              <w:rPr>
                <w:rFonts w:cs="Arial"/>
              </w:rPr>
              <w:t>Four-year moratorium is posing a challenge to establish a short-term warehouse facility.  Stakeholders are discussing potential solutions and alternatives</w:t>
            </w:r>
          </w:p>
        </w:tc>
      </w:tr>
      <w:tr w:rsidR="00753FFC" w:rsidRPr="009E2D3C" w:rsidTr="00EA1D15">
        <w:trPr>
          <w:trHeight w:val="584"/>
        </w:trPr>
        <w:tc>
          <w:tcPr>
            <w:tcW w:w="333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r w:rsidRPr="0012465C">
              <w:rPr>
                <w:rFonts w:cs="Arial"/>
                <w:lang w:val="en-CA"/>
              </w:rPr>
              <w:t>Establishment of the FHP Trust including its legal and operational governance framework</w:t>
            </w:r>
          </w:p>
        </w:tc>
        <w:tc>
          <w:tcPr>
            <w:tcW w:w="65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numPr>
                <w:ilvl w:val="0"/>
                <w:numId w:val="11"/>
              </w:numPr>
              <w:tabs>
                <w:tab w:val="right" w:pos="10620"/>
              </w:tabs>
              <w:ind w:left="396"/>
              <w:rPr>
                <w:rFonts w:cs="Arial"/>
                <w:lang w:val="en-CA"/>
              </w:rPr>
            </w:pPr>
            <w:r w:rsidRPr="0012465C">
              <w:rPr>
                <w:rFonts w:cs="Arial"/>
                <w:lang w:val="en-US"/>
              </w:rPr>
              <w:t xml:space="preserve">OPG Management Oversight Committee was established and includes Jeffrey </w:t>
            </w:r>
            <w:proofErr w:type="spellStart"/>
            <w:r w:rsidRPr="0012465C">
              <w:rPr>
                <w:rFonts w:cs="Arial"/>
                <w:lang w:val="en-US"/>
              </w:rPr>
              <w:t>Lyash</w:t>
            </w:r>
            <w:proofErr w:type="spellEnd"/>
            <w:r w:rsidRPr="0012465C">
              <w:rPr>
                <w:rFonts w:cs="Arial"/>
                <w:lang w:val="en-US"/>
              </w:rPr>
              <w:t xml:space="preserve"> (Chair), Chris </w:t>
            </w:r>
            <w:proofErr w:type="spellStart"/>
            <w:r w:rsidRPr="0012465C">
              <w:rPr>
                <w:rFonts w:cs="Arial"/>
                <w:lang w:val="en-US"/>
              </w:rPr>
              <w:t>Ginther</w:t>
            </w:r>
            <w:proofErr w:type="spellEnd"/>
            <w:r w:rsidRPr="0012465C">
              <w:rPr>
                <w:rFonts w:cs="Arial"/>
                <w:lang w:val="en-US"/>
              </w:rPr>
              <w:t xml:space="preserve"> and Ken </w:t>
            </w:r>
            <w:proofErr w:type="spellStart"/>
            <w:r w:rsidRPr="0012465C">
              <w:rPr>
                <w:rFonts w:cs="Arial"/>
                <w:lang w:val="en-US"/>
              </w:rPr>
              <w:t>Hartwick</w:t>
            </w:r>
            <w:proofErr w:type="spellEnd"/>
            <w:r w:rsidRPr="0012465C">
              <w:rPr>
                <w:rFonts w:cs="Arial"/>
                <w:lang w:val="en-US"/>
              </w:rPr>
              <w:t>.  The charter has been drafted and undergoing review</w:t>
            </w:r>
          </w:p>
          <w:p w:rsidR="00753FFC" w:rsidRPr="0012465C" w:rsidRDefault="00753FFC" w:rsidP="00753FFC">
            <w:pPr>
              <w:numPr>
                <w:ilvl w:val="0"/>
                <w:numId w:val="11"/>
              </w:numPr>
              <w:tabs>
                <w:tab w:val="right" w:pos="10620"/>
              </w:tabs>
              <w:ind w:left="396"/>
              <w:rPr>
                <w:rFonts w:cs="Arial"/>
                <w:lang w:val="en-CA"/>
              </w:rPr>
            </w:pPr>
            <w:r w:rsidRPr="0012465C">
              <w:rPr>
                <w:rFonts w:cs="Arial"/>
                <w:lang w:val="en-US"/>
              </w:rPr>
              <w:t xml:space="preserve">Organizational Authority Register has been drafted based on Treasury register and is undergoing review </w:t>
            </w:r>
          </w:p>
          <w:p w:rsidR="00753FFC" w:rsidRPr="0012465C" w:rsidRDefault="00753FFC" w:rsidP="00753FFC">
            <w:pPr>
              <w:numPr>
                <w:ilvl w:val="0"/>
                <w:numId w:val="12"/>
              </w:numPr>
              <w:tabs>
                <w:tab w:val="clear" w:pos="720"/>
                <w:tab w:val="right" w:pos="10620"/>
              </w:tabs>
              <w:ind w:left="396"/>
              <w:rPr>
                <w:rFonts w:cs="Arial"/>
                <w:lang w:val="en-CA"/>
              </w:rPr>
            </w:pPr>
            <w:r w:rsidRPr="0012465C">
              <w:rPr>
                <w:rFonts w:cs="Arial"/>
                <w:lang w:val="en-US"/>
              </w:rPr>
              <w:t>Job positions within the FHP Trust have been created and rated, and 3 positions have been filled</w:t>
            </w:r>
          </w:p>
        </w:tc>
      </w:tr>
    </w:tbl>
    <w:p w:rsidR="00753FFC" w:rsidRPr="009E2D3C" w:rsidRDefault="00753FFC" w:rsidP="00753FFC">
      <w:pPr>
        <w:tabs>
          <w:tab w:val="left" w:pos="0"/>
          <w:tab w:val="left" w:pos="1710"/>
          <w:tab w:val="left" w:pos="2070"/>
          <w:tab w:val="right" w:pos="9864"/>
        </w:tabs>
        <w:rPr>
          <w:rFonts w:cs="Arial"/>
          <w:sz w:val="22"/>
          <w:szCs w:val="22"/>
        </w:rPr>
      </w:pPr>
    </w:p>
    <w:p w:rsidR="00FF7F62" w:rsidRPr="009E2D3C" w:rsidRDefault="00FF7F62" w:rsidP="000B0687">
      <w:pPr>
        <w:rPr>
          <w:rFonts w:cs="Arial"/>
          <w:sz w:val="22"/>
          <w:szCs w:val="22"/>
        </w:rPr>
      </w:pPr>
    </w:p>
    <w:p w:rsidR="00091316" w:rsidRDefault="00091316" w:rsidP="000B0687">
      <w:pPr>
        <w:rPr>
          <w:rFonts w:cs="Arial"/>
          <w:sz w:val="22"/>
          <w:szCs w:val="22"/>
        </w:rPr>
      </w:pPr>
    </w:p>
    <w:p w:rsidR="00091316" w:rsidRDefault="00091316" w:rsidP="000B0687">
      <w:pPr>
        <w:rPr>
          <w:rFonts w:cs="Arial"/>
          <w:sz w:val="22"/>
          <w:szCs w:val="22"/>
        </w:rPr>
      </w:pPr>
    </w:p>
    <w:p w:rsidR="0087630A" w:rsidRPr="009E2D3C" w:rsidRDefault="0087630A" w:rsidP="000B0687">
      <w:pPr>
        <w:rPr>
          <w:rFonts w:cs="Arial"/>
          <w:sz w:val="22"/>
          <w:szCs w:val="22"/>
        </w:rPr>
      </w:pPr>
    </w:p>
    <w:p w:rsidR="00B405CA" w:rsidRPr="009E2D3C" w:rsidRDefault="00B405CA" w:rsidP="000B0687">
      <w:pPr>
        <w:ind w:left="720" w:firstLine="720"/>
        <w:rPr>
          <w:rFonts w:cs="Arial"/>
          <w:sz w:val="22"/>
          <w:szCs w:val="22"/>
        </w:rPr>
      </w:pPr>
    </w:p>
    <w:sectPr w:rsidR="00B405CA" w:rsidRPr="009E2D3C" w:rsidSect="00CF0184">
      <w:pgSz w:w="12240" w:h="15840" w:code="1"/>
      <w:pgMar w:top="864" w:right="1440" w:bottom="864" w:left="86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198" w:rsidRDefault="00264198">
      <w:r>
        <w:separator/>
      </w:r>
    </w:p>
  </w:endnote>
  <w:endnote w:type="continuationSeparator" w:id="0">
    <w:p w:rsidR="00264198" w:rsidRDefault="002641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198" w:rsidRDefault="00264198">
      <w:r>
        <w:separator/>
      </w:r>
    </w:p>
  </w:footnote>
  <w:footnote w:type="continuationSeparator" w:id="0">
    <w:p w:rsidR="00264198" w:rsidRDefault="002641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A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407297B"/>
    <w:multiLevelType w:val="hybridMultilevel"/>
    <w:tmpl w:val="367EEB54"/>
    <w:lvl w:ilvl="0" w:tplc="90C8BE34">
      <w:start w:val="1"/>
      <w:numFmt w:val="bullet"/>
      <w:lvlText w:val="•"/>
      <w:lvlJc w:val="left"/>
      <w:pPr>
        <w:tabs>
          <w:tab w:val="num" w:pos="720"/>
        </w:tabs>
        <w:ind w:left="720" w:hanging="360"/>
      </w:pPr>
      <w:rPr>
        <w:rFonts w:ascii="Arial" w:hAnsi="Arial" w:hint="default"/>
      </w:rPr>
    </w:lvl>
    <w:lvl w:ilvl="1" w:tplc="855A73FA" w:tentative="1">
      <w:start w:val="1"/>
      <w:numFmt w:val="bullet"/>
      <w:lvlText w:val="•"/>
      <w:lvlJc w:val="left"/>
      <w:pPr>
        <w:tabs>
          <w:tab w:val="num" w:pos="1440"/>
        </w:tabs>
        <w:ind w:left="1440" w:hanging="360"/>
      </w:pPr>
      <w:rPr>
        <w:rFonts w:ascii="Arial" w:hAnsi="Arial" w:hint="default"/>
      </w:rPr>
    </w:lvl>
    <w:lvl w:ilvl="2" w:tplc="BE069F40" w:tentative="1">
      <w:start w:val="1"/>
      <w:numFmt w:val="bullet"/>
      <w:lvlText w:val="•"/>
      <w:lvlJc w:val="left"/>
      <w:pPr>
        <w:tabs>
          <w:tab w:val="num" w:pos="2160"/>
        </w:tabs>
        <w:ind w:left="2160" w:hanging="360"/>
      </w:pPr>
      <w:rPr>
        <w:rFonts w:ascii="Arial" w:hAnsi="Arial" w:hint="default"/>
      </w:rPr>
    </w:lvl>
    <w:lvl w:ilvl="3" w:tplc="0BF06A8C" w:tentative="1">
      <w:start w:val="1"/>
      <w:numFmt w:val="bullet"/>
      <w:lvlText w:val="•"/>
      <w:lvlJc w:val="left"/>
      <w:pPr>
        <w:tabs>
          <w:tab w:val="num" w:pos="2880"/>
        </w:tabs>
        <w:ind w:left="2880" w:hanging="360"/>
      </w:pPr>
      <w:rPr>
        <w:rFonts w:ascii="Arial" w:hAnsi="Arial" w:hint="default"/>
      </w:rPr>
    </w:lvl>
    <w:lvl w:ilvl="4" w:tplc="180604D2" w:tentative="1">
      <w:start w:val="1"/>
      <w:numFmt w:val="bullet"/>
      <w:lvlText w:val="•"/>
      <w:lvlJc w:val="left"/>
      <w:pPr>
        <w:tabs>
          <w:tab w:val="num" w:pos="3600"/>
        </w:tabs>
        <w:ind w:left="3600" w:hanging="360"/>
      </w:pPr>
      <w:rPr>
        <w:rFonts w:ascii="Arial" w:hAnsi="Arial" w:hint="default"/>
      </w:rPr>
    </w:lvl>
    <w:lvl w:ilvl="5" w:tplc="42A64C1C" w:tentative="1">
      <w:start w:val="1"/>
      <w:numFmt w:val="bullet"/>
      <w:lvlText w:val="•"/>
      <w:lvlJc w:val="left"/>
      <w:pPr>
        <w:tabs>
          <w:tab w:val="num" w:pos="4320"/>
        </w:tabs>
        <w:ind w:left="4320" w:hanging="360"/>
      </w:pPr>
      <w:rPr>
        <w:rFonts w:ascii="Arial" w:hAnsi="Arial" w:hint="default"/>
      </w:rPr>
    </w:lvl>
    <w:lvl w:ilvl="6" w:tplc="3E966372" w:tentative="1">
      <w:start w:val="1"/>
      <w:numFmt w:val="bullet"/>
      <w:lvlText w:val="•"/>
      <w:lvlJc w:val="left"/>
      <w:pPr>
        <w:tabs>
          <w:tab w:val="num" w:pos="5040"/>
        </w:tabs>
        <w:ind w:left="5040" w:hanging="360"/>
      </w:pPr>
      <w:rPr>
        <w:rFonts w:ascii="Arial" w:hAnsi="Arial" w:hint="default"/>
      </w:rPr>
    </w:lvl>
    <w:lvl w:ilvl="7" w:tplc="A44EF516" w:tentative="1">
      <w:start w:val="1"/>
      <w:numFmt w:val="bullet"/>
      <w:lvlText w:val="•"/>
      <w:lvlJc w:val="left"/>
      <w:pPr>
        <w:tabs>
          <w:tab w:val="num" w:pos="5760"/>
        </w:tabs>
        <w:ind w:left="5760" w:hanging="360"/>
      </w:pPr>
      <w:rPr>
        <w:rFonts w:ascii="Arial" w:hAnsi="Arial" w:hint="default"/>
      </w:rPr>
    </w:lvl>
    <w:lvl w:ilvl="8" w:tplc="0EBE0DB0" w:tentative="1">
      <w:start w:val="1"/>
      <w:numFmt w:val="bullet"/>
      <w:lvlText w:val="•"/>
      <w:lvlJc w:val="left"/>
      <w:pPr>
        <w:tabs>
          <w:tab w:val="num" w:pos="6480"/>
        </w:tabs>
        <w:ind w:left="6480" w:hanging="360"/>
      </w:pPr>
      <w:rPr>
        <w:rFonts w:ascii="Arial" w:hAnsi="Arial" w:hint="default"/>
      </w:rPr>
    </w:lvl>
  </w:abstractNum>
  <w:abstractNum w:abstractNumId="2">
    <w:nsid w:val="1083150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20545E89"/>
    <w:multiLevelType w:val="hybridMultilevel"/>
    <w:tmpl w:val="168409F0"/>
    <w:lvl w:ilvl="0" w:tplc="86DE968A">
      <w:start w:val="416"/>
      <w:numFmt w:val="bullet"/>
      <w:pStyle w:val="-HyphenStyle"/>
      <w:lvlText w:val=""/>
      <w:lvlJc w:val="left"/>
      <w:pPr>
        <w:ind w:left="630" w:hanging="360"/>
      </w:pPr>
      <w:rPr>
        <w:rFonts w:ascii="Symbol" w:eastAsia="Times New Roman" w:hAnsi="Symbol" w:cs="Arial" w:hint="default"/>
      </w:rPr>
    </w:lvl>
    <w:lvl w:ilvl="1" w:tplc="10090003" w:tentative="1">
      <w:start w:val="1"/>
      <w:numFmt w:val="bullet"/>
      <w:lvlText w:val="o"/>
      <w:lvlJc w:val="left"/>
      <w:pPr>
        <w:ind w:left="1350" w:hanging="360"/>
      </w:pPr>
      <w:rPr>
        <w:rFonts w:ascii="Courier New" w:hAnsi="Courier New" w:cs="Courier New" w:hint="default"/>
      </w:rPr>
    </w:lvl>
    <w:lvl w:ilvl="2" w:tplc="10090005" w:tentative="1">
      <w:start w:val="1"/>
      <w:numFmt w:val="bullet"/>
      <w:lvlText w:val=""/>
      <w:lvlJc w:val="left"/>
      <w:pPr>
        <w:ind w:left="2070" w:hanging="360"/>
      </w:pPr>
      <w:rPr>
        <w:rFonts w:ascii="Wingdings" w:hAnsi="Wingdings" w:hint="default"/>
      </w:rPr>
    </w:lvl>
    <w:lvl w:ilvl="3" w:tplc="10090001" w:tentative="1">
      <w:start w:val="1"/>
      <w:numFmt w:val="bullet"/>
      <w:lvlText w:val=""/>
      <w:lvlJc w:val="left"/>
      <w:pPr>
        <w:ind w:left="2790" w:hanging="360"/>
      </w:pPr>
      <w:rPr>
        <w:rFonts w:ascii="Symbol" w:hAnsi="Symbol" w:hint="default"/>
      </w:rPr>
    </w:lvl>
    <w:lvl w:ilvl="4" w:tplc="10090003" w:tentative="1">
      <w:start w:val="1"/>
      <w:numFmt w:val="bullet"/>
      <w:lvlText w:val="o"/>
      <w:lvlJc w:val="left"/>
      <w:pPr>
        <w:ind w:left="3510" w:hanging="360"/>
      </w:pPr>
      <w:rPr>
        <w:rFonts w:ascii="Courier New" w:hAnsi="Courier New" w:cs="Courier New" w:hint="default"/>
      </w:rPr>
    </w:lvl>
    <w:lvl w:ilvl="5" w:tplc="10090005" w:tentative="1">
      <w:start w:val="1"/>
      <w:numFmt w:val="bullet"/>
      <w:lvlText w:val=""/>
      <w:lvlJc w:val="left"/>
      <w:pPr>
        <w:ind w:left="4230" w:hanging="360"/>
      </w:pPr>
      <w:rPr>
        <w:rFonts w:ascii="Wingdings" w:hAnsi="Wingdings" w:hint="default"/>
      </w:rPr>
    </w:lvl>
    <w:lvl w:ilvl="6" w:tplc="10090001" w:tentative="1">
      <w:start w:val="1"/>
      <w:numFmt w:val="bullet"/>
      <w:lvlText w:val=""/>
      <w:lvlJc w:val="left"/>
      <w:pPr>
        <w:ind w:left="4950" w:hanging="360"/>
      </w:pPr>
      <w:rPr>
        <w:rFonts w:ascii="Symbol" w:hAnsi="Symbol" w:hint="default"/>
      </w:rPr>
    </w:lvl>
    <w:lvl w:ilvl="7" w:tplc="10090003" w:tentative="1">
      <w:start w:val="1"/>
      <w:numFmt w:val="bullet"/>
      <w:lvlText w:val="o"/>
      <w:lvlJc w:val="left"/>
      <w:pPr>
        <w:ind w:left="5670" w:hanging="360"/>
      </w:pPr>
      <w:rPr>
        <w:rFonts w:ascii="Courier New" w:hAnsi="Courier New" w:cs="Courier New" w:hint="default"/>
      </w:rPr>
    </w:lvl>
    <w:lvl w:ilvl="8" w:tplc="10090005" w:tentative="1">
      <w:start w:val="1"/>
      <w:numFmt w:val="bullet"/>
      <w:lvlText w:val=""/>
      <w:lvlJc w:val="left"/>
      <w:pPr>
        <w:ind w:left="6390" w:hanging="360"/>
      </w:pPr>
      <w:rPr>
        <w:rFonts w:ascii="Wingdings" w:hAnsi="Wingdings" w:hint="default"/>
      </w:rPr>
    </w:lvl>
  </w:abstractNum>
  <w:abstractNum w:abstractNumId="4">
    <w:nsid w:val="27761B3B"/>
    <w:multiLevelType w:val="singleLevel"/>
    <w:tmpl w:val="DF324544"/>
    <w:lvl w:ilvl="0">
      <w:start w:val="1"/>
      <w:numFmt w:val="decimal"/>
      <w:lvlText w:val="%1)"/>
      <w:lvlJc w:val="left"/>
      <w:pPr>
        <w:tabs>
          <w:tab w:val="num" w:pos="2160"/>
        </w:tabs>
        <w:ind w:left="2160" w:hanging="720"/>
      </w:pPr>
      <w:rPr>
        <w:rFonts w:hint="default"/>
      </w:rPr>
    </w:lvl>
  </w:abstractNum>
  <w:abstractNum w:abstractNumId="5">
    <w:nsid w:val="37446490"/>
    <w:multiLevelType w:val="singleLevel"/>
    <w:tmpl w:val="491C475A"/>
    <w:lvl w:ilvl="0">
      <w:start w:val="1"/>
      <w:numFmt w:val="decimal"/>
      <w:lvlText w:val="%1."/>
      <w:lvlJc w:val="left"/>
      <w:pPr>
        <w:tabs>
          <w:tab w:val="num" w:pos="2160"/>
        </w:tabs>
        <w:ind w:left="2160" w:hanging="720"/>
      </w:pPr>
      <w:rPr>
        <w:rFonts w:hint="default"/>
      </w:rPr>
    </w:lvl>
  </w:abstractNum>
  <w:abstractNum w:abstractNumId="6">
    <w:nsid w:val="3EB27F5E"/>
    <w:multiLevelType w:val="hybridMultilevel"/>
    <w:tmpl w:val="2E062714"/>
    <w:lvl w:ilvl="0" w:tplc="AF829AF6">
      <w:start w:val="1"/>
      <w:numFmt w:val="bullet"/>
      <w:lvlText w:val="•"/>
      <w:lvlJc w:val="left"/>
      <w:pPr>
        <w:tabs>
          <w:tab w:val="num" w:pos="720"/>
        </w:tabs>
        <w:ind w:left="720" w:hanging="360"/>
      </w:pPr>
      <w:rPr>
        <w:rFonts w:ascii="Arial" w:hAnsi="Arial" w:hint="default"/>
      </w:rPr>
    </w:lvl>
    <w:lvl w:ilvl="1" w:tplc="6204B3E0" w:tentative="1">
      <w:start w:val="1"/>
      <w:numFmt w:val="bullet"/>
      <w:lvlText w:val="•"/>
      <w:lvlJc w:val="left"/>
      <w:pPr>
        <w:tabs>
          <w:tab w:val="num" w:pos="1440"/>
        </w:tabs>
        <w:ind w:left="1440" w:hanging="360"/>
      </w:pPr>
      <w:rPr>
        <w:rFonts w:ascii="Arial" w:hAnsi="Arial" w:hint="default"/>
      </w:rPr>
    </w:lvl>
    <w:lvl w:ilvl="2" w:tplc="3BD49132" w:tentative="1">
      <w:start w:val="1"/>
      <w:numFmt w:val="bullet"/>
      <w:lvlText w:val="•"/>
      <w:lvlJc w:val="left"/>
      <w:pPr>
        <w:tabs>
          <w:tab w:val="num" w:pos="2160"/>
        </w:tabs>
        <w:ind w:left="2160" w:hanging="360"/>
      </w:pPr>
      <w:rPr>
        <w:rFonts w:ascii="Arial" w:hAnsi="Arial" w:hint="default"/>
      </w:rPr>
    </w:lvl>
    <w:lvl w:ilvl="3" w:tplc="C900A2B8" w:tentative="1">
      <w:start w:val="1"/>
      <w:numFmt w:val="bullet"/>
      <w:lvlText w:val="•"/>
      <w:lvlJc w:val="left"/>
      <w:pPr>
        <w:tabs>
          <w:tab w:val="num" w:pos="2880"/>
        </w:tabs>
        <w:ind w:left="2880" w:hanging="360"/>
      </w:pPr>
      <w:rPr>
        <w:rFonts w:ascii="Arial" w:hAnsi="Arial" w:hint="default"/>
      </w:rPr>
    </w:lvl>
    <w:lvl w:ilvl="4" w:tplc="D4204948" w:tentative="1">
      <w:start w:val="1"/>
      <w:numFmt w:val="bullet"/>
      <w:lvlText w:val="•"/>
      <w:lvlJc w:val="left"/>
      <w:pPr>
        <w:tabs>
          <w:tab w:val="num" w:pos="3600"/>
        </w:tabs>
        <w:ind w:left="3600" w:hanging="360"/>
      </w:pPr>
      <w:rPr>
        <w:rFonts w:ascii="Arial" w:hAnsi="Arial" w:hint="default"/>
      </w:rPr>
    </w:lvl>
    <w:lvl w:ilvl="5" w:tplc="C4BE5670" w:tentative="1">
      <w:start w:val="1"/>
      <w:numFmt w:val="bullet"/>
      <w:lvlText w:val="•"/>
      <w:lvlJc w:val="left"/>
      <w:pPr>
        <w:tabs>
          <w:tab w:val="num" w:pos="4320"/>
        </w:tabs>
        <w:ind w:left="4320" w:hanging="360"/>
      </w:pPr>
      <w:rPr>
        <w:rFonts w:ascii="Arial" w:hAnsi="Arial" w:hint="default"/>
      </w:rPr>
    </w:lvl>
    <w:lvl w:ilvl="6" w:tplc="994A5C0C" w:tentative="1">
      <w:start w:val="1"/>
      <w:numFmt w:val="bullet"/>
      <w:lvlText w:val="•"/>
      <w:lvlJc w:val="left"/>
      <w:pPr>
        <w:tabs>
          <w:tab w:val="num" w:pos="5040"/>
        </w:tabs>
        <w:ind w:left="5040" w:hanging="360"/>
      </w:pPr>
      <w:rPr>
        <w:rFonts w:ascii="Arial" w:hAnsi="Arial" w:hint="default"/>
      </w:rPr>
    </w:lvl>
    <w:lvl w:ilvl="7" w:tplc="918C4744" w:tentative="1">
      <w:start w:val="1"/>
      <w:numFmt w:val="bullet"/>
      <w:lvlText w:val="•"/>
      <w:lvlJc w:val="left"/>
      <w:pPr>
        <w:tabs>
          <w:tab w:val="num" w:pos="5760"/>
        </w:tabs>
        <w:ind w:left="5760" w:hanging="360"/>
      </w:pPr>
      <w:rPr>
        <w:rFonts w:ascii="Arial" w:hAnsi="Arial" w:hint="default"/>
      </w:rPr>
    </w:lvl>
    <w:lvl w:ilvl="8" w:tplc="78B05A56" w:tentative="1">
      <w:start w:val="1"/>
      <w:numFmt w:val="bullet"/>
      <w:lvlText w:val="•"/>
      <w:lvlJc w:val="left"/>
      <w:pPr>
        <w:tabs>
          <w:tab w:val="num" w:pos="6480"/>
        </w:tabs>
        <w:ind w:left="6480" w:hanging="360"/>
      </w:pPr>
      <w:rPr>
        <w:rFonts w:ascii="Arial" w:hAnsi="Arial" w:hint="default"/>
      </w:rPr>
    </w:lvl>
  </w:abstractNum>
  <w:abstractNum w:abstractNumId="7">
    <w:nsid w:val="48D3794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547D772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5A6B0F71"/>
    <w:multiLevelType w:val="hybridMultilevel"/>
    <w:tmpl w:val="1340E5B4"/>
    <w:lvl w:ilvl="0" w:tplc="AA424C8A">
      <w:start w:val="1"/>
      <w:numFmt w:val="bullet"/>
      <w:lvlText w:val="•"/>
      <w:lvlJc w:val="left"/>
      <w:pPr>
        <w:tabs>
          <w:tab w:val="num" w:pos="720"/>
        </w:tabs>
        <w:ind w:left="720" w:hanging="360"/>
      </w:pPr>
      <w:rPr>
        <w:rFonts w:ascii="Arial" w:hAnsi="Arial" w:hint="default"/>
      </w:rPr>
    </w:lvl>
    <w:lvl w:ilvl="1" w:tplc="CBD42A1A" w:tentative="1">
      <w:start w:val="1"/>
      <w:numFmt w:val="bullet"/>
      <w:lvlText w:val="•"/>
      <w:lvlJc w:val="left"/>
      <w:pPr>
        <w:tabs>
          <w:tab w:val="num" w:pos="1440"/>
        </w:tabs>
        <w:ind w:left="1440" w:hanging="360"/>
      </w:pPr>
      <w:rPr>
        <w:rFonts w:ascii="Arial" w:hAnsi="Arial" w:hint="default"/>
      </w:rPr>
    </w:lvl>
    <w:lvl w:ilvl="2" w:tplc="6FCEA42C" w:tentative="1">
      <w:start w:val="1"/>
      <w:numFmt w:val="bullet"/>
      <w:lvlText w:val="•"/>
      <w:lvlJc w:val="left"/>
      <w:pPr>
        <w:tabs>
          <w:tab w:val="num" w:pos="2160"/>
        </w:tabs>
        <w:ind w:left="2160" w:hanging="360"/>
      </w:pPr>
      <w:rPr>
        <w:rFonts w:ascii="Arial" w:hAnsi="Arial" w:hint="default"/>
      </w:rPr>
    </w:lvl>
    <w:lvl w:ilvl="3" w:tplc="C0946242" w:tentative="1">
      <w:start w:val="1"/>
      <w:numFmt w:val="bullet"/>
      <w:lvlText w:val="•"/>
      <w:lvlJc w:val="left"/>
      <w:pPr>
        <w:tabs>
          <w:tab w:val="num" w:pos="2880"/>
        </w:tabs>
        <w:ind w:left="2880" w:hanging="360"/>
      </w:pPr>
      <w:rPr>
        <w:rFonts w:ascii="Arial" w:hAnsi="Arial" w:hint="default"/>
      </w:rPr>
    </w:lvl>
    <w:lvl w:ilvl="4" w:tplc="E78C74AC" w:tentative="1">
      <w:start w:val="1"/>
      <w:numFmt w:val="bullet"/>
      <w:lvlText w:val="•"/>
      <w:lvlJc w:val="left"/>
      <w:pPr>
        <w:tabs>
          <w:tab w:val="num" w:pos="3600"/>
        </w:tabs>
        <w:ind w:left="3600" w:hanging="360"/>
      </w:pPr>
      <w:rPr>
        <w:rFonts w:ascii="Arial" w:hAnsi="Arial" w:hint="default"/>
      </w:rPr>
    </w:lvl>
    <w:lvl w:ilvl="5" w:tplc="647C51B2" w:tentative="1">
      <w:start w:val="1"/>
      <w:numFmt w:val="bullet"/>
      <w:lvlText w:val="•"/>
      <w:lvlJc w:val="left"/>
      <w:pPr>
        <w:tabs>
          <w:tab w:val="num" w:pos="4320"/>
        </w:tabs>
        <w:ind w:left="4320" w:hanging="360"/>
      </w:pPr>
      <w:rPr>
        <w:rFonts w:ascii="Arial" w:hAnsi="Arial" w:hint="default"/>
      </w:rPr>
    </w:lvl>
    <w:lvl w:ilvl="6" w:tplc="7DD49E90" w:tentative="1">
      <w:start w:val="1"/>
      <w:numFmt w:val="bullet"/>
      <w:lvlText w:val="•"/>
      <w:lvlJc w:val="left"/>
      <w:pPr>
        <w:tabs>
          <w:tab w:val="num" w:pos="5040"/>
        </w:tabs>
        <w:ind w:left="5040" w:hanging="360"/>
      </w:pPr>
      <w:rPr>
        <w:rFonts w:ascii="Arial" w:hAnsi="Arial" w:hint="default"/>
      </w:rPr>
    </w:lvl>
    <w:lvl w:ilvl="7" w:tplc="966AF836" w:tentative="1">
      <w:start w:val="1"/>
      <w:numFmt w:val="bullet"/>
      <w:lvlText w:val="•"/>
      <w:lvlJc w:val="left"/>
      <w:pPr>
        <w:tabs>
          <w:tab w:val="num" w:pos="5760"/>
        </w:tabs>
        <w:ind w:left="5760" w:hanging="360"/>
      </w:pPr>
      <w:rPr>
        <w:rFonts w:ascii="Arial" w:hAnsi="Arial" w:hint="default"/>
      </w:rPr>
    </w:lvl>
    <w:lvl w:ilvl="8" w:tplc="B7FCB04E" w:tentative="1">
      <w:start w:val="1"/>
      <w:numFmt w:val="bullet"/>
      <w:lvlText w:val="•"/>
      <w:lvlJc w:val="left"/>
      <w:pPr>
        <w:tabs>
          <w:tab w:val="num" w:pos="6480"/>
        </w:tabs>
        <w:ind w:left="6480" w:hanging="360"/>
      </w:pPr>
      <w:rPr>
        <w:rFonts w:ascii="Arial" w:hAnsi="Arial" w:hint="default"/>
      </w:rPr>
    </w:lvl>
  </w:abstractNum>
  <w:abstractNum w:abstractNumId="10">
    <w:nsid w:val="62906AA3"/>
    <w:multiLevelType w:val="hybridMultilevel"/>
    <w:tmpl w:val="34BA1364"/>
    <w:lvl w:ilvl="0" w:tplc="10090001">
      <w:start w:val="1"/>
      <w:numFmt w:val="decimal"/>
      <w:pStyle w:val="BulletStyl1"/>
      <w:lvlText w:val="%1."/>
      <w:lvlJc w:val="left"/>
      <w:pPr>
        <w:tabs>
          <w:tab w:val="num" w:pos="720"/>
        </w:tabs>
        <w:ind w:left="720" w:hanging="360"/>
      </w:pPr>
      <w:rPr>
        <w:rFonts w:hint="default"/>
        <w:b/>
      </w:rPr>
    </w:lvl>
    <w:lvl w:ilvl="1" w:tplc="10090003">
      <w:start w:val="5103"/>
      <w:numFmt w:val="bullet"/>
      <w:lvlText w:val=""/>
      <w:lvlJc w:val="left"/>
      <w:pPr>
        <w:tabs>
          <w:tab w:val="num" w:pos="1440"/>
        </w:tabs>
        <w:ind w:left="1440" w:hanging="360"/>
      </w:pPr>
      <w:rPr>
        <w:rFonts w:ascii="Wingdings" w:hAnsi="Wingdings" w:hint="default"/>
      </w:rPr>
    </w:lvl>
    <w:lvl w:ilvl="2" w:tplc="10090005" w:tentative="1">
      <w:start w:val="1"/>
      <w:numFmt w:val="decimal"/>
      <w:lvlText w:val="%3."/>
      <w:lvlJc w:val="left"/>
      <w:pPr>
        <w:tabs>
          <w:tab w:val="num" w:pos="2160"/>
        </w:tabs>
        <w:ind w:left="2160" w:hanging="360"/>
      </w:pPr>
    </w:lvl>
    <w:lvl w:ilvl="3" w:tplc="10090001" w:tentative="1">
      <w:start w:val="1"/>
      <w:numFmt w:val="decimal"/>
      <w:lvlText w:val="%4."/>
      <w:lvlJc w:val="left"/>
      <w:pPr>
        <w:tabs>
          <w:tab w:val="num" w:pos="2880"/>
        </w:tabs>
        <w:ind w:left="2880" w:hanging="360"/>
      </w:pPr>
    </w:lvl>
    <w:lvl w:ilvl="4" w:tplc="10090003" w:tentative="1">
      <w:start w:val="1"/>
      <w:numFmt w:val="decimal"/>
      <w:lvlText w:val="%5."/>
      <w:lvlJc w:val="left"/>
      <w:pPr>
        <w:tabs>
          <w:tab w:val="num" w:pos="3600"/>
        </w:tabs>
        <w:ind w:left="3600" w:hanging="360"/>
      </w:pPr>
    </w:lvl>
    <w:lvl w:ilvl="5" w:tplc="10090005" w:tentative="1">
      <w:start w:val="1"/>
      <w:numFmt w:val="decimal"/>
      <w:lvlText w:val="%6."/>
      <w:lvlJc w:val="left"/>
      <w:pPr>
        <w:tabs>
          <w:tab w:val="num" w:pos="4320"/>
        </w:tabs>
        <w:ind w:left="4320" w:hanging="360"/>
      </w:pPr>
    </w:lvl>
    <w:lvl w:ilvl="6" w:tplc="10090001" w:tentative="1">
      <w:start w:val="1"/>
      <w:numFmt w:val="decimal"/>
      <w:lvlText w:val="%7."/>
      <w:lvlJc w:val="left"/>
      <w:pPr>
        <w:tabs>
          <w:tab w:val="num" w:pos="5040"/>
        </w:tabs>
        <w:ind w:left="5040" w:hanging="360"/>
      </w:pPr>
    </w:lvl>
    <w:lvl w:ilvl="7" w:tplc="10090003" w:tentative="1">
      <w:start w:val="1"/>
      <w:numFmt w:val="decimal"/>
      <w:lvlText w:val="%8."/>
      <w:lvlJc w:val="left"/>
      <w:pPr>
        <w:tabs>
          <w:tab w:val="num" w:pos="5760"/>
        </w:tabs>
        <w:ind w:left="5760" w:hanging="360"/>
      </w:pPr>
    </w:lvl>
    <w:lvl w:ilvl="8" w:tplc="10090005" w:tentative="1">
      <w:start w:val="1"/>
      <w:numFmt w:val="decimal"/>
      <w:lvlText w:val="%9."/>
      <w:lvlJc w:val="left"/>
      <w:pPr>
        <w:tabs>
          <w:tab w:val="num" w:pos="6480"/>
        </w:tabs>
        <w:ind w:left="6480" w:hanging="360"/>
      </w:pPr>
    </w:lvl>
  </w:abstractNum>
  <w:abstractNum w:abstractNumId="11">
    <w:nsid w:val="63370A35"/>
    <w:multiLevelType w:val="hybridMultilevel"/>
    <w:tmpl w:val="2850FA54"/>
    <w:lvl w:ilvl="0" w:tplc="10090001">
      <w:start w:val="1"/>
      <w:numFmt w:val="bullet"/>
      <w:pStyle w:val="CircleStyle1"/>
      <w:lvlText w:val="o"/>
      <w:lvlJc w:val="left"/>
      <w:pPr>
        <w:ind w:left="450" w:hanging="360"/>
      </w:pPr>
      <w:rPr>
        <w:rFonts w:ascii="Courier New" w:hAnsi="Courier New" w:cs="Courier New" w:hint="default"/>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2">
    <w:nsid w:val="63EF25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6E381B1A"/>
    <w:multiLevelType w:val="hybridMultilevel"/>
    <w:tmpl w:val="995CE918"/>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6ED66513"/>
    <w:multiLevelType w:val="hybridMultilevel"/>
    <w:tmpl w:val="8B2EECC6"/>
    <w:lvl w:ilvl="0" w:tplc="13448B8E">
      <w:start w:val="1"/>
      <w:numFmt w:val="bullet"/>
      <w:lvlText w:val="•"/>
      <w:lvlJc w:val="left"/>
      <w:pPr>
        <w:tabs>
          <w:tab w:val="num" w:pos="720"/>
        </w:tabs>
        <w:ind w:left="720" w:hanging="360"/>
      </w:pPr>
      <w:rPr>
        <w:rFonts w:ascii="Arial" w:hAnsi="Arial" w:hint="default"/>
      </w:rPr>
    </w:lvl>
    <w:lvl w:ilvl="1" w:tplc="EB223F02" w:tentative="1">
      <w:start w:val="1"/>
      <w:numFmt w:val="bullet"/>
      <w:lvlText w:val="•"/>
      <w:lvlJc w:val="left"/>
      <w:pPr>
        <w:tabs>
          <w:tab w:val="num" w:pos="1440"/>
        </w:tabs>
        <w:ind w:left="1440" w:hanging="360"/>
      </w:pPr>
      <w:rPr>
        <w:rFonts w:ascii="Arial" w:hAnsi="Arial" w:hint="default"/>
      </w:rPr>
    </w:lvl>
    <w:lvl w:ilvl="2" w:tplc="84949D1C" w:tentative="1">
      <w:start w:val="1"/>
      <w:numFmt w:val="bullet"/>
      <w:lvlText w:val="•"/>
      <w:lvlJc w:val="left"/>
      <w:pPr>
        <w:tabs>
          <w:tab w:val="num" w:pos="2160"/>
        </w:tabs>
        <w:ind w:left="2160" w:hanging="360"/>
      </w:pPr>
      <w:rPr>
        <w:rFonts w:ascii="Arial" w:hAnsi="Arial" w:hint="default"/>
      </w:rPr>
    </w:lvl>
    <w:lvl w:ilvl="3" w:tplc="C0DEAA0C" w:tentative="1">
      <w:start w:val="1"/>
      <w:numFmt w:val="bullet"/>
      <w:lvlText w:val="•"/>
      <w:lvlJc w:val="left"/>
      <w:pPr>
        <w:tabs>
          <w:tab w:val="num" w:pos="2880"/>
        </w:tabs>
        <w:ind w:left="2880" w:hanging="360"/>
      </w:pPr>
      <w:rPr>
        <w:rFonts w:ascii="Arial" w:hAnsi="Arial" w:hint="default"/>
      </w:rPr>
    </w:lvl>
    <w:lvl w:ilvl="4" w:tplc="0AF48556" w:tentative="1">
      <w:start w:val="1"/>
      <w:numFmt w:val="bullet"/>
      <w:lvlText w:val="•"/>
      <w:lvlJc w:val="left"/>
      <w:pPr>
        <w:tabs>
          <w:tab w:val="num" w:pos="3600"/>
        </w:tabs>
        <w:ind w:left="3600" w:hanging="360"/>
      </w:pPr>
      <w:rPr>
        <w:rFonts w:ascii="Arial" w:hAnsi="Arial" w:hint="default"/>
      </w:rPr>
    </w:lvl>
    <w:lvl w:ilvl="5" w:tplc="CF22C0F2" w:tentative="1">
      <w:start w:val="1"/>
      <w:numFmt w:val="bullet"/>
      <w:lvlText w:val="•"/>
      <w:lvlJc w:val="left"/>
      <w:pPr>
        <w:tabs>
          <w:tab w:val="num" w:pos="4320"/>
        </w:tabs>
        <w:ind w:left="4320" w:hanging="360"/>
      </w:pPr>
      <w:rPr>
        <w:rFonts w:ascii="Arial" w:hAnsi="Arial" w:hint="default"/>
      </w:rPr>
    </w:lvl>
    <w:lvl w:ilvl="6" w:tplc="7CAC6E30" w:tentative="1">
      <w:start w:val="1"/>
      <w:numFmt w:val="bullet"/>
      <w:lvlText w:val="•"/>
      <w:lvlJc w:val="left"/>
      <w:pPr>
        <w:tabs>
          <w:tab w:val="num" w:pos="5040"/>
        </w:tabs>
        <w:ind w:left="5040" w:hanging="360"/>
      </w:pPr>
      <w:rPr>
        <w:rFonts w:ascii="Arial" w:hAnsi="Arial" w:hint="default"/>
      </w:rPr>
    </w:lvl>
    <w:lvl w:ilvl="7" w:tplc="8E444F16" w:tentative="1">
      <w:start w:val="1"/>
      <w:numFmt w:val="bullet"/>
      <w:lvlText w:val="•"/>
      <w:lvlJc w:val="left"/>
      <w:pPr>
        <w:tabs>
          <w:tab w:val="num" w:pos="5760"/>
        </w:tabs>
        <w:ind w:left="5760" w:hanging="360"/>
      </w:pPr>
      <w:rPr>
        <w:rFonts w:ascii="Arial" w:hAnsi="Arial" w:hint="default"/>
      </w:rPr>
    </w:lvl>
    <w:lvl w:ilvl="8" w:tplc="8034B03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12"/>
  </w:num>
  <w:num w:numId="5">
    <w:abstractNumId w:val="8"/>
  </w:num>
  <w:num w:numId="6">
    <w:abstractNumId w:val="7"/>
  </w:num>
  <w:num w:numId="7">
    <w:abstractNumId w:val="5"/>
  </w:num>
  <w:num w:numId="8">
    <w:abstractNumId w:val="3"/>
  </w:num>
  <w:num w:numId="9">
    <w:abstractNumId w:val="11"/>
  </w:num>
  <w:num w:numId="10">
    <w:abstractNumId w:val="10"/>
  </w:num>
  <w:num w:numId="11">
    <w:abstractNumId w:val="6"/>
  </w:num>
  <w:num w:numId="12">
    <w:abstractNumId w:val="14"/>
  </w:num>
  <w:num w:numId="13">
    <w:abstractNumId w:val="9"/>
  </w:num>
  <w:num w:numId="14">
    <w:abstractNumId w:val="1"/>
  </w:num>
  <w:num w:numId="15">
    <w:abstractNumId w:val="13"/>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TA LAPIRA May -TREASURY">
    <w15:presenceInfo w15:providerId="AD" w15:userId="S-1-5-21-4051172019-4201845401-128855694-2458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9160E"/>
    <w:rsid w:val="000069D6"/>
    <w:rsid w:val="00021913"/>
    <w:rsid w:val="000319AE"/>
    <w:rsid w:val="00032B23"/>
    <w:rsid w:val="0003799D"/>
    <w:rsid w:val="000552E2"/>
    <w:rsid w:val="00091316"/>
    <w:rsid w:val="0009160E"/>
    <w:rsid w:val="000B0687"/>
    <w:rsid w:val="000C42E6"/>
    <w:rsid w:val="000D7620"/>
    <w:rsid w:val="00117E3A"/>
    <w:rsid w:val="0012465C"/>
    <w:rsid w:val="00174FC2"/>
    <w:rsid w:val="00264198"/>
    <w:rsid w:val="0027555B"/>
    <w:rsid w:val="00280D06"/>
    <w:rsid w:val="002B2693"/>
    <w:rsid w:val="002B37E8"/>
    <w:rsid w:val="00316171"/>
    <w:rsid w:val="0034258D"/>
    <w:rsid w:val="00343BC7"/>
    <w:rsid w:val="00351181"/>
    <w:rsid w:val="003C0EAE"/>
    <w:rsid w:val="003C4EF0"/>
    <w:rsid w:val="003D699C"/>
    <w:rsid w:val="004057E8"/>
    <w:rsid w:val="00440B22"/>
    <w:rsid w:val="0044352C"/>
    <w:rsid w:val="004A7224"/>
    <w:rsid w:val="004F4139"/>
    <w:rsid w:val="00552AB1"/>
    <w:rsid w:val="005A09DD"/>
    <w:rsid w:val="005A45E4"/>
    <w:rsid w:val="005B15B0"/>
    <w:rsid w:val="005D63C5"/>
    <w:rsid w:val="005E4E86"/>
    <w:rsid w:val="0061145B"/>
    <w:rsid w:val="006938D8"/>
    <w:rsid w:val="006D4B1F"/>
    <w:rsid w:val="006E5D3D"/>
    <w:rsid w:val="007102CF"/>
    <w:rsid w:val="00753FFC"/>
    <w:rsid w:val="007666FE"/>
    <w:rsid w:val="0078340B"/>
    <w:rsid w:val="00783665"/>
    <w:rsid w:val="007B5174"/>
    <w:rsid w:val="007D0D5B"/>
    <w:rsid w:val="007E3DB7"/>
    <w:rsid w:val="00810ED1"/>
    <w:rsid w:val="0083054C"/>
    <w:rsid w:val="0083669D"/>
    <w:rsid w:val="00844146"/>
    <w:rsid w:val="008658EB"/>
    <w:rsid w:val="0087630A"/>
    <w:rsid w:val="00882007"/>
    <w:rsid w:val="008B3693"/>
    <w:rsid w:val="008B59AE"/>
    <w:rsid w:val="008C3D1F"/>
    <w:rsid w:val="008C5F75"/>
    <w:rsid w:val="008C63C0"/>
    <w:rsid w:val="008C6754"/>
    <w:rsid w:val="008D5896"/>
    <w:rsid w:val="008F2967"/>
    <w:rsid w:val="009570D6"/>
    <w:rsid w:val="009A74B2"/>
    <w:rsid w:val="009B11D5"/>
    <w:rsid w:val="009C63FD"/>
    <w:rsid w:val="009E2D3C"/>
    <w:rsid w:val="00A02E50"/>
    <w:rsid w:val="00A06127"/>
    <w:rsid w:val="00A1466D"/>
    <w:rsid w:val="00A402DB"/>
    <w:rsid w:val="00A5069B"/>
    <w:rsid w:val="00A62391"/>
    <w:rsid w:val="00A908F4"/>
    <w:rsid w:val="00AB3F6F"/>
    <w:rsid w:val="00AD0961"/>
    <w:rsid w:val="00AD239B"/>
    <w:rsid w:val="00B3197E"/>
    <w:rsid w:val="00B405CA"/>
    <w:rsid w:val="00B5733B"/>
    <w:rsid w:val="00B657D9"/>
    <w:rsid w:val="00B71BF5"/>
    <w:rsid w:val="00B71DF7"/>
    <w:rsid w:val="00BC76F4"/>
    <w:rsid w:val="00BE13D7"/>
    <w:rsid w:val="00BE7962"/>
    <w:rsid w:val="00C17B85"/>
    <w:rsid w:val="00C364F7"/>
    <w:rsid w:val="00C523C5"/>
    <w:rsid w:val="00CE1990"/>
    <w:rsid w:val="00CE5900"/>
    <w:rsid w:val="00CF0184"/>
    <w:rsid w:val="00CF62D9"/>
    <w:rsid w:val="00D31195"/>
    <w:rsid w:val="00D7180B"/>
    <w:rsid w:val="00D82A56"/>
    <w:rsid w:val="00DA702D"/>
    <w:rsid w:val="00DD5FD9"/>
    <w:rsid w:val="00DD7F08"/>
    <w:rsid w:val="00DE1A05"/>
    <w:rsid w:val="00E03E9E"/>
    <w:rsid w:val="00E3023C"/>
    <w:rsid w:val="00E57292"/>
    <w:rsid w:val="00E73A7F"/>
    <w:rsid w:val="00E76D8B"/>
    <w:rsid w:val="00E811D8"/>
    <w:rsid w:val="00E953B5"/>
    <w:rsid w:val="00EA1D15"/>
    <w:rsid w:val="00EC42AE"/>
    <w:rsid w:val="00EC6D15"/>
    <w:rsid w:val="00F31A1E"/>
    <w:rsid w:val="00F33DA6"/>
    <w:rsid w:val="00F4167F"/>
    <w:rsid w:val="00F66FD4"/>
    <w:rsid w:val="00FC289B"/>
    <w:rsid w:val="00FF0930"/>
    <w:rsid w:val="00FF7F6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84"/>
    <w:rPr>
      <w:rFonts w:ascii="Arial" w:hAnsi="Arial"/>
      <w:lang w:val="en-GB" w:eastAsia="en-US"/>
    </w:rPr>
  </w:style>
  <w:style w:type="paragraph" w:styleId="Heading1">
    <w:name w:val="heading 1"/>
    <w:basedOn w:val="Normal"/>
    <w:next w:val="Normal"/>
    <w:qFormat/>
    <w:rsid w:val="00CF0184"/>
    <w:pPr>
      <w:keepNext/>
      <w:ind w:left="1440"/>
      <w:outlineLvl w:val="0"/>
    </w:pPr>
    <w:rPr>
      <w:b/>
    </w:rPr>
  </w:style>
  <w:style w:type="paragraph" w:styleId="Heading2">
    <w:name w:val="heading 2"/>
    <w:basedOn w:val="Normal"/>
    <w:next w:val="Normal"/>
    <w:qFormat/>
    <w:rsid w:val="00CF0184"/>
    <w:pPr>
      <w:keepNext/>
      <w:ind w:left="1440"/>
      <w:jc w:val="center"/>
      <w:outlineLvl w:val="1"/>
    </w:pPr>
    <w:rPr>
      <w:b/>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F0184"/>
    <w:pPr>
      <w:jc w:val="center"/>
    </w:pPr>
    <w:rPr>
      <w:b/>
    </w:rPr>
  </w:style>
  <w:style w:type="paragraph" w:styleId="Header">
    <w:name w:val="header"/>
    <w:basedOn w:val="Normal"/>
    <w:rsid w:val="00CF0184"/>
    <w:pPr>
      <w:tabs>
        <w:tab w:val="center" w:pos="4320"/>
        <w:tab w:val="right" w:pos="8640"/>
      </w:tabs>
    </w:pPr>
  </w:style>
  <w:style w:type="paragraph" w:styleId="Footer">
    <w:name w:val="footer"/>
    <w:basedOn w:val="Normal"/>
    <w:rsid w:val="00CF0184"/>
    <w:pPr>
      <w:tabs>
        <w:tab w:val="center" w:pos="4320"/>
        <w:tab w:val="right" w:pos="8640"/>
      </w:tabs>
    </w:pPr>
  </w:style>
  <w:style w:type="paragraph" w:styleId="BodyTextIndent">
    <w:name w:val="Body Text Indent"/>
    <w:basedOn w:val="Normal"/>
    <w:rsid w:val="00CF0184"/>
    <w:pPr>
      <w:ind w:left="1440"/>
    </w:pPr>
    <w:rPr>
      <w:snapToGrid w:val="0"/>
      <w:lang w:val="en-US"/>
    </w:rPr>
  </w:style>
  <w:style w:type="character" w:styleId="Hyperlink">
    <w:name w:val="Hyperlink"/>
    <w:basedOn w:val="DefaultParagraphFont"/>
    <w:uiPriority w:val="99"/>
    <w:unhideWhenUsed/>
    <w:rsid w:val="002B37E8"/>
    <w:rPr>
      <w:color w:val="0000FF"/>
      <w:u w:val="single"/>
    </w:rPr>
  </w:style>
  <w:style w:type="paragraph" w:customStyle="1" w:styleId="-HyphenStyle">
    <w:name w:val="- Hyphen Style"/>
    <w:basedOn w:val="Normal"/>
    <w:qFormat/>
    <w:rsid w:val="00753FFC"/>
    <w:pPr>
      <w:numPr>
        <w:numId w:val="8"/>
      </w:numPr>
      <w:tabs>
        <w:tab w:val="left" w:pos="1080"/>
        <w:tab w:val="left" w:pos="1620"/>
        <w:tab w:val="right" w:pos="10620"/>
      </w:tabs>
      <w:ind w:hanging="540"/>
      <w:jc w:val="both"/>
    </w:pPr>
  </w:style>
  <w:style w:type="paragraph" w:customStyle="1" w:styleId="CircleStyle1">
    <w:name w:val="Circle Style1"/>
    <w:basedOn w:val="Normal"/>
    <w:rsid w:val="00753FFC"/>
    <w:pPr>
      <w:numPr>
        <w:numId w:val="9"/>
      </w:numPr>
      <w:tabs>
        <w:tab w:val="left" w:pos="1080"/>
        <w:tab w:val="left" w:pos="1620"/>
        <w:tab w:val="right" w:pos="10620"/>
      </w:tabs>
      <w:ind w:left="1620" w:hanging="540"/>
      <w:jc w:val="both"/>
    </w:pPr>
  </w:style>
  <w:style w:type="paragraph" w:customStyle="1" w:styleId="CircleStyle3">
    <w:name w:val="Circle Style 3"/>
    <w:basedOn w:val="CircleStyle1"/>
    <w:link w:val="CircleStyle3Char"/>
    <w:qFormat/>
    <w:rsid w:val="00753FFC"/>
    <w:pPr>
      <w:tabs>
        <w:tab w:val="clear" w:pos="1080"/>
        <w:tab w:val="left" w:pos="1260"/>
      </w:tabs>
      <w:ind w:hanging="360"/>
    </w:pPr>
  </w:style>
  <w:style w:type="character" w:customStyle="1" w:styleId="CircleStyle3Char">
    <w:name w:val="Circle Style 3 Char"/>
    <w:basedOn w:val="DefaultParagraphFont"/>
    <w:link w:val="CircleStyle3"/>
    <w:rsid w:val="00753FFC"/>
    <w:rPr>
      <w:rFonts w:ascii="Arial" w:hAnsi="Arial"/>
      <w:lang w:val="en-GB" w:eastAsia="en-US"/>
    </w:rPr>
  </w:style>
  <w:style w:type="paragraph" w:customStyle="1" w:styleId="-Style2">
    <w:name w:val="- Style 2"/>
    <w:basedOn w:val="-HyphenStyle"/>
    <w:link w:val="-Style2Char"/>
    <w:qFormat/>
    <w:rsid w:val="00753FFC"/>
    <w:pPr>
      <w:tabs>
        <w:tab w:val="clear" w:pos="1080"/>
        <w:tab w:val="left" w:pos="1260"/>
      </w:tabs>
      <w:ind w:hanging="360"/>
    </w:pPr>
  </w:style>
  <w:style w:type="character" w:customStyle="1" w:styleId="-Style2Char">
    <w:name w:val="- Style 2 Char"/>
    <w:basedOn w:val="DefaultParagraphFont"/>
    <w:link w:val="-Style2"/>
    <w:rsid w:val="00753FFC"/>
    <w:rPr>
      <w:rFonts w:ascii="Arial" w:hAnsi="Arial"/>
      <w:lang w:val="en-GB" w:eastAsia="en-US"/>
    </w:rPr>
  </w:style>
  <w:style w:type="paragraph" w:customStyle="1" w:styleId="BulletStyl1">
    <w:name w:val="Bullet Styl 1"/>
    <w:basedOn w:val="Normal"/>
    <w:link w:val="BulletStyl1Char"/>
    <w:qFormat/>
    <w:rsid w:val="00753FFC"/>
    <w:pPr>
      <w:numPr>
        <w:numId w:val="10"/>
      </w:numPr>
      <w:tabs>
        <w:tab w:val="left" w:pos="90"/>
        <w:tab w:val="left" w:pos="450"/>
        <w:tab w:val="right" w:pos="10620"/>
      </w:tabs>
      <w:jc w:val="both"/>
    </w:pPr>
  </w:style>
  <w:style w:type="character" w:customStyle="1" w:styleId="BulletStyl1Char">
    <w:name w:val="Bullet Styl 1 Char"/>
    <w:basedOn w:val="DefaultParagraphFont"/>
    <w:link w:val="BulletStyl1"/>
    <w:rsid w:val="00753FFC"/>
    <w:rPr>
      <w:rFonts w:ascii="Arial" w:hAnsi="Arial"/>
      <w:lang w:val="en-GB" w:eastAsia="en-US"/>
    </w:rPr>
  </w:style>
  <w:style w:type="paragraph" w:styleId="BalloonText">
    <w:name w:val="Balloon Text"/>
    <w:basedOn w:val="Normal"/>
    <w:link w:val="BalloonTextChar"/>
    <w:uiPriority w:val="99"/>
    <w:semiHidden/>
    <w:unhideWhenUsed/>
    <w:rsid w:val="00AD0961"/>
    <w:rPr>
      <w:rFonts w:ascii="Tahoma" w:hAnsi="Tahoma" w:cs="Tahoma"/>
      <w:sz w:val="16"/>
      <w:szCs w:val="16"/>
    </w:rPr>
  </w:style>
  <w:style w:type="character" w:customStyle="1" w:styleId="BalloonTextChar">
    <w:name w:val="Balloon Text Char"/>
    <w:basedOn w:val="DefaultParagraphFont"/>
    <w:link w:val="BalloonText"/>
    <w:uiPriority w:val="99"/>
    <w:semiHidden/>
    <w:rsid w:val="00AD0961"/>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ONTARIOPOWER GENERATION</vt:lpstr>
    </vt:vector>
  </TitlesOfParts>
  <Company>Ontario Hydro</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ONTARIOPOWER GENERATION</dc:title>
  <dc:creator>King</dc:creator>
  <cp:lastModifiedBy>366646</cp:lastModifiedBy>
  <cp:revision>23</cp:revision>
  <cp:lastPrinted>2017-04-18T17:43:00Z</cp:lastPrinted>
  <dcterms:created xsi:type="dcterms:W3CDTF">2017-08-01T15:45:00Z</dcterms:created>
  <dcterms:modified xsi:type="dcterms:W3CDTF">2017-08-01T16:56:00Z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gFAA2RjfPKrF47jls1wTBw8JzQrPJwX6biwy0ji6MzIDyqsNXlrXei7r3h1U1oZDoGzdmeXLlJ6qKMr4
yJfkyTNkqKeygsq8bXf2RZUXv41fBmey69uOxhOrPmvkTxXsQUwyspn4m7ixrQhpIDx8VnvEbEnd
9+xgUgvpfrN1RxxLMuV64Liz1+YR9uTU9Ba0Wk+QwXo35ABF03z4SOiIZTruJ67dsxsutgDGEqr/
ozS6Zags/lbU0q+09</vt:lpwstr>
  </property>
  <property fmtid="{D5CDD505-2E9C-101B-9397-08002B2CF9AE}" pid="3" name="MAIL_MSG_ID2">
    <vt:lpwstr>5A6UfM6AwEsM59GXnGZpGcDcjrcF/PxWj54gJxOnl6rO2GLxutPKOxiHlZg
ruRDzoy662GqjpMsQGWW/TlEsI65E/QCXiOHAQ==</vt:lpwstr>
  </property>
  <property fmtid="{D5CDD505-2E9C-101B-9397-08002B2CF9AE}" pid="4" name="RESPONSE_SENDER_NAME">
    <vt:lpwstr>ABAAv4tRYjpfjUsFUQ6zZiMh+PaDbfgp6PdmCrELQyGnVVRb/fLtYlKVIVFf0PDtkS+N</vt:lpwstr>
  </property>
  <property fmtid="{D5CDD505-2E9C-101B-9397-08002B2CF9AE}" pid="5" name="EMAIL_OWNER_ADDRESS">
    <vt:lpwstr>4AAA9mrMv1QjWAtrYIiPkTVVfTBJm/d0QldEUOUVFbyVGkt87TuUXfNC6Q==</vt:lpwstr>
  </property>
</Properties>
</file>