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B3" w:rsidRPr="004B09BC" w:rsidRDefault="009F5412" w:rsidP="009F5412">
      <w:pPr>
        <w:jc w:val="center"/>
        <w:rPr>
          <w:rFonts w:ascii="Arial" w:hAnsi="Arial" w:cs="Arial"/>
          <w:b/>
          <w:u w:val="single"/>
        </w:rPr>
      </w:pPr>
      <w:r w:rsidRPr="004B09BC">
        <w:rPr>
          <w:rFonts w:ascii="Arial" w:hAnsi="Arial" w:cs="Arial"/>
          <w:b/>
          <w:u w:val="single"/>
        </w:rPr>
        <w:t xml:space="preserve">Fair Allocation </w:t>
      </w:r>
      <w:r w:rsidR="00CD419F">
        <w:rPr>
          <w:rFonts w:ascii="Arial" w:hAnsi="Arial" w:cs="Arial"/>
          <w:b/>
          <w:u w:val="single"/>
        </w:rPr>
        <w:t>Amount</w:t>
      </w:r>
      <w:r w:rsidR="00773D2D">
        <w:rPr>
          <w:rFonts w:ascii="Arial" w:hAnsi="Arial" w:cs="Arial"/>
          <w:b/>
          <w:u w:val="single"/>
        </w:rPr>
        <w:t>s</w:t>
      </w:r>
    </w:p>
    <w:p w:rsidR="009F5412" w:rsidRDefault="009F5412">
      <w:pPr>
        <w:rPr>
          <w:rFonts w:ascii="Arial" w:hAnsi="Arial" w:cs="Arial"/>
        </w:rPr>
      </w:pPr>
      <w:r w:rsidRPr="009F5412">
        <w:rPr>
          <w:rFonts w:ascii="Arial" w:hAnsi="Arial" w:cs="Arial"/>
          <w:b/>
        </w:rPr>
        <w:t>Purpose</w:t>
      </w:r>
    </w:p>
    <w:p w:rsidR="009F5412" w:rsidRDefault="00FA1EF5">
      <w:pPr>
        <w:rPr>
          <w:rFonts w:ascii="Arial" w:hAnsi="Arial" w:cs="Arial"/>
        </w:rPr>
      </w:pPr>
      <w:r>
        <w:rPr>
          <w:rFonts w:ascii="Arial" w:hAnsi="Arial" w:cs="Arial"/>
        </w:rPr>
        <w:t>The Minister</w:t>
      </w:r>
      <w:r w:rsidR="009F5412">
        <w:rPr>
          <w:rFonts w:ascii="Arial" w:hAnsi="Arial" w:cs="Arial"/>
        </w:rPr>
        <w:t xml:space="preserve"> of Energy has provided OPG</w:t>
      </w:r>
      <w:r>
        <w:rPr>
          <w:rFonts w:ascii="Arial" w:hAnsi="Arial" w:cs="Arial"/>
        </w:rPr>
        <w:t>’s Board Chair</w:t>
      </w:r>
      <w:r w:rsidR="009F5412">
        <w:rPr>
          <w:rFonts w:ascii="Arial" w:hAnsi="Arial" w:cs="Arial"/>
        </w:rPr>
        <w:t xml:space="preserve"> with </w:t>
      </w:r>
      <w:r>
        <w:rPr>
          <w:rFonts w:ascii="Arial" w:hAnsi="Arial" w:cs="Arial"/>
        </w:rPr>
        <w:t>the Fair Allocation Amounts</w:t>
      </w:r>
      <w:r w:rsidR="00CD419F">
        <w:rPr>
          <w:rFonts w:ascii="Arial" w:hAnsi="Arial" w:cs="Arial"/>
        </w:rPr>
        <w:t xml:space="preserve"> (FAA</w:t>
      </w:r>
      <w:r w:rsidR="00773D2D">
        <w:rPr>
          <w:rFonts w:ascii="Arial" w:hAnsi="Arial" w:cs="Arial"/>
        </w:rPr>
        <w:t>s</w:t>
      </w:r>
      <w:r w:rsidR="00CD419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that will govern the borrowing and repayment of funds under the Fair Hydro Plan</w:t>
      </w:r>
      <w:r w:rsidR="00CD419F">
        <w:rPr>
          <w:rFonts w:ascii="Arial" w:hAnsi="Arial" w:cs="Arial"/>
        </w:rPr>
        <w:t xml:space="preserve"> (FHP)</w:t>
      </w:r>
      <w:r>
        <w:rPr>
          <w:rFonts w:ascii="Arial" w:hAnsi="Arial" w:cs="Arial"/>
        </w:rPr>
        <w:t>.</w:t>
      </w:r>
    </w:p>
    <w:p w:rsidR="00C33024" w:rsidRPr="002D5298" w:rsidRDefault="00A815F6" w:rsidP="002D529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Fair Allocation Amount</w:t>
      </w:r>
      <w:r w:rsidR="001625C4" w:rsidRPr="00D405BC">
        <w:rPr>
          <w:rFonts w:ascii="Arial" w:hAnsi="Arial" w:cs="Arial"/>
          <w:b/>
        </w:rPr>
        <w:t xml:space="preserve"> </w:t>
      </w:r>
      <w:r w:rsidR="00206148">
        <w:rPr>
          <w:rFonts w:ascii="Arial" w:hAnsi="Arial" w:cs="Arial"/>
          <w:b/>
        </w:rPr>
        <w:t>Concept</w:t>
      </w:r>
    </w:p>
    <w:p w:rsidR="00206148" w:rsidRPr="00206148" w:rsidRDefault="00206148" w:rsidP="002061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Fair Allocation Amount </w:t>
      </w:r>
      <w:r w:rsidR="00773D2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s a legal concept that </w:t>
      </w:r>
      <w:r w:rsidR="002C6537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created to ensure the constitutionality of the FHP. </w:t>
      </w:r>
    </w:p>
    <w:p w:rsidR="00FA1EF5" w:rsidRDefault="00FA1EF5" w:rsidP="00FA1E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A1EF5">
        <w:rPr>
          <w:rFonts w:ascii="Arial" w:hAnsi="Arial" w:cs="Arial"/>
        </w:rPr>
        <w:t xml:space="preserve">Ratepayers </w:t>
      </w:r>
      <w:r w:rsidR="002C6537">
        <w:rPr>
          <w:rFonts w:ascii="Arial" w:hAnsi="Arial" w:cs="Arial"/>
        </w:rPr>
        <w:t>are</w:t>
      </w:r>
      <w:r w:rsidRPr="00FA1EF5">
        <w:rPr>
          <w:rFonts w:ascii="Arial" w:hAnsi="Arial" w:cs="Arial"/>
        </w:rPr>
        <w:t xml:space="preserve"> </w:t>
      </w:r>
      <w:r w:rsidR="00CD419F">
        <w:rPr>
          <w:rFonts w:ascii="Arial" w:hAnsi="Arial" w:cs="Arial"/>
        </w:rPr>
        <w:t>theoretically overpaying for</w:t>
      </w:r>
      <w:r w:rsidRPr="00FA1EF5">
        <w:rPr>
          <w:rFonts w:ascii="Arial" w:hAnsi="Arial" w:cs="Arial"/>
        </w:rPr>
        <w:t xml:space="preserve"> clean energy </w:t>
      </w:r>
      <w:r w:rsidR="00CD419F">
        <w:rPr>
          <w:rFonts w:ascii="Arial" w:hAnsi="Arial" w:cs="Arial"/>
        </w:rPr>
        <w:t>investment</w:t>
      </w:r>
      <w:r w:rsidRPr="00FA1EF5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b</w:t>
      </w:r>
      <w:r w:rsidR="004F4558" w:rsidRPr="00AE009F">
        <w:rPr>
          <w:rFonts w:ascii="Arial" w:hAnsi="Arial" w:cs="Arial"/>
        </w:rPr>
        <w:t xml:space="preserve">ecause the contracted lives </w:t>
      </w:r>
      <w:r>
        <w:rPr>
          <w:rFonts w:ascii="Arial" w:hAnsi="Arial" w:cs="Arial"/>
        </w:rPr>
        <w:t xml:space="preserve">of some electricity generation assets </w:t>
      </w:r>
      <w:r w:rsidR="004F4558" w:rsidRPr="00AE009F">
        <w:rPr>
          <w:rFonts w:ascii="Arial" w:hAnsi="Arial" w:cs="Arial"/>
        </w:rPr>
        <w:t>are shorter than the</w:t>
      </w:r>
      <w:r>
        <w:rPr>
          <w:rFonts w:ascii="Arial" w:hAnsi="Arial" w:cs="Arial"/>
        </w:rPr>
        <w:t>ir</w:t>
      </w:r>
      <w:r w:rsidR="004F4558" w:rsidRPr="00AE009F">
        <w:rPr>
          <w:rFonts w:ascii="Arial" w:hAnsi="Arial" w:cs="Arial"/>
        </w:rPr>
        <w:t xml:space="preserve"> useful li</w:t>
      </w:r>
      <w:r w:rsidR="004B09BC">
        <w:rPr>
          <w:rFonts w:ascii="Arial" w:hAnsi="Arial" w:cs="Arial"/>
        </w:rPr>
        <w:t>ves</w:t>
      </w:r>
      <w:r>
        <w:rPr>
          <w:rFonts w:ascii="Arial" w:hAnsi="Arial" w:cs="Arial"/>
        </w:rPr>
        <w:t>.</w:t>
      </w:r>
    </w:p>
    <w:p w:rsidR="004F4558" w:rsidRPr="00AE009F" w:rsidRDefault="00FA1EF5" w:rsidP="00FA1E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intent of the FHP is to</w:t>
      </w:r>
      <w:r w:rsidR="004F4558" w:rsidRPr="00AE009F">
        <w:rPr>
          <w:rFonts w:ascii="Arial" w:hAnsi="Arial" w:cs="Arial"/>
        </w:rPr>
        <w:t xml:space="preserve"> reallocate</w:t>
      </w:r>
      <w:r>
        <w:rPr>
          <w:rFonts w:ascii="Arial" w:hAnsi="Arial" w:cs="Arial"/>
        </w:rPr>
        <w:t xml:space="preserve"> the cost of the clean energy i</w:t>
      </w:r>
      <w:r w:rsidR="004F4558" w:rsidRPr="00AE009F">
        <w:rPr>
          <w:rFonts w:ascii="Arial" w:hAnsi="Arial" w:cs="Arial"/>
        </w:rPr>
        <w:t xml:space="preserve">nvestments over the full useful life. </w:t>
      </w:r>
    </w:p>
    <w:p w:rsidR="00206148" w:rsidRPr="00AE009F" w:rsidRDefault="00860DA0" w:rsidP="00AE00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When</w:t>
      </w:r>
      <w:r w:rsidR="00206148">
        <w:rPr>
          <w:rFonts w:ascii="Arial" w:hAnsi="Arial" w:cs="Arial"/>
        </w:rPr>
        <w:t xml:space="preserve"> the status quo clean energy costs are compared to those that would occur if they were spread over the full useful life of the generation assets</w:t>
      </w:r>
      <w:r>
        <w:rPr>
          <w:rFonts w:ascii="Arial" w:hAnsi="Arial" w:cs="Arial"/>
        </w:rPr>
        <w:t>, ratepayers are overpaying in the short-term and underpaying in the long-term. This justifies a portion of the borrowing for the FHP.</w:t>
      </w:r>
    </w:p>
    <w:p w:rsidR="00860DA0" w:rsidRPr="00860DA0" w:rsidRDefault="00860DA0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Additionally, ratepayers were also overpaying from 2005</w:t>
      </w:r>
      <w:r w:rsidR="00A815F6">
        <w:rPr>
          <w:rFonts w:ascii="Arial" w:hAnsi="Arial" w:cs="Arial"/>
        </w:rPr>
        <w:t xml:space="preserve"> (when investment in new gas generation began)</w:t>
      </w:r>
      <w:r>
        <w:rPr>
          <w:rFonts w:ascii="Arial" w:hAnsi="Arial" w:cs="Arial"/>
        </w:rPr>
        <w:t xml:space="preserve"> to 2017. </w:t>
      </w:r>
      <w:r w:rsidR="00AE009F" w:rsidRPr="00AE009F">
        <w:rPr>
          <w:rFonts w:ascii="Arial" w:hAnsi="Arial" w:cs="Arial"/>
        </w:rPr>
        <w:t>The amounts that ratepa</w:t>
      </w:r>
      <w:r w:rsidR="00A815F6">
        <w:rPr>
          <w:rFonts w:ascii="Arial" w:hAnsi="Arial" w:cs="Arial"/>
        </w:rPr>
        <w:t xml:space="preserve">yers overpaid in the past </w:t>
      </w:r>
      <w:r w:rsidR="00AE009F" w:rsidRPr="00AE009F">
        <w:rPr>
          <w:rFonts w:ascii="Arial" w:hAnsi="Arial" w:cs="Arial"/>
        </w:rPr>
        <w:t>can be brought forward to the present to reduce bills furt</w:t>
      </w:r>
      <w:r w:rsidR="00A815F6">
        <w:rPr>
          <w:rFonts w:ascii="Arial" w:hAnsi="Arial" w:cs="Arial"/>
        </w:rPr>
        <w:t>her than can be justified by future</w:t>
      </w:r>
      <w:r w:rsidR="00AE009F" w:rsidRPr="00AE009F">
        <w:rPr>
          <w:rFonts w:ascii="Arial" w:hAnsi="Arial" w:cs="Arial"/>
        </w:rPr>
        <w:t xml:space="preserve"> reallocated costs alone. </w:t>
      </w:r>
      <w:r>
        <w:rPr>
          <w:rFonts w:ascii="Arial" w:hAnsi="Arial" w:cs="Arial"/>
        </w:rPr>
        <w:t>This this known as the Readjustment Amount.</w:t>
      </w:r>
    </w:p>
    <w:p w:rsidR="00DC6AD8" w:rsidRPr="00DC6AD8" w:rsidRDefault="00771306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384810</wp:posOffset>
                </wp:positionV>
                <wp:extent cx="1447800" cy="25146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2051" w:rsidRPr="004C2051" w:rsidRDefault="004C2051">
                            <w:pPr>
                              <w:rPr>
                                <w:u w:val="single"/>
                              </w:rPr>
                            </w:pPr>
                            <w:r w:rsidRPr="004C2051">
                              <w:rPr>
                                <w:u w:val="single"/>
                              </w:rPr>
                              <w:t>Illustrative Concept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.2pt;margin-top:30.3pt;width:11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" fillcolor="white [3201]" stroked="f" strokeweight=".5pt">
                <v:path arrowok="t"/>
                <v:textbox>
                  <w:txbxContent>
                    <w:p w:rsidR="004C2051" w:rsidRPr="004C2051" w:rsidRDefault="004C2051">
                      <w:pPr>
                        <w:rPr>
                          <w:u w:val="single"/>
                        </w:rPr>
                      </w:pPr>
                      <w:r w:rsidRPr="004C2051">
                        <w:rPr>
                          <w:u w:val="single"/>
                        </w:rPr>
                        <w:t>Illustrative Concept</w:t>
                      </w:r>
                    </w:p>
                  </w:txbxContent>
                </v:textbox>
              </v:shape>
            </w:pict>
          </mc:Fallback>
        </mc:AlternateContent>
      </w:r>
      <w:r w:rsidR="00FA1EF5">
        <w:rPr>
          <w:rFonts w:ascii="Arial" w:hAnsi="Arial" w:cs="Arial"/>
        </w:rPr>
        <w:t>Based on the Minister’s letter the</w:t>
      </w:r>
      <w:r w:rsidR="00A815F6">
        <w:rPr>
          <w:rFonts w:ascii="Arial" w:hAnsi="Arial" w:cs="Arial"/>
        </w:rPr>
        <w:t xml:space="preserve"> total</w:t>
      </w:r>
      <w:r w:rsidR="002B770A">
        <w:rPr>
          <w:rFonts w:ascii="Arial" w:hAnsi="Arial" w:cs="Arial"/>
        </w:rPr>
        <w:t xml:space="preserve"> Readjustment Amount </w:t>
      </w:r>
      <w:r w:rsidR="00A815F6">
        <w:rPr>
          <w:rFonts w:ascii="Arial" w:hAnsi="Arial" w:cs="Arial"/>
        </w:rPr>
        <w:t>is</w:t>
      </w:r>
      <w:r w:rsidR="00FA1EF5">
        <w:rPr>
          <w:rFonts w:ascii="Arial" w:hAnsi="Arial" w:cs="Arial"/>
        </w:rPr>
        <w:t xml:space="preserve"> approximately $8</w:t>
      </w:r>
      <w:r w:rsidR="004B09BC">
        <w:rPr>
          <w:rFonts w:ascii="Arial" w:hAnsi="Arial" w:cs="Arial"/>
        </w:rPr>
        <w:t xml:space="preserve"> billion.</w:t>
      </w:r>
      <w:r w:rsidR="00DC6AD8" w:rsidRPr="00DC6AD8">
        <w:rPr>
          <w:rFonts w:ascii="Arial" w:hAnsi="Arial" w:cs="Arial"/>
        </w:rPr>
        <w:t xml:space="preserve"> </w:t>
      </w:r>
    </w:p>
    <w:p w:rsidR="005913BC" w:rsidRDefault="00771306" w:rsidP="005913BC">
      <w:pPr>
        <w:jc w:val="center"/>
        <w:rPr>
          <w:rFonts w:ascii="Arial" w:hAnsi="Arial" w:cs="Arial"/>
        </w:rPr>
      </w:pPr>
      <w:r>
        <w:rPr>
          <w:noProof/>
          <w:lang w:eastAsia="en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-483235</wp:posOffset>
            </wp:positionH>
            <wp:positionV relativeFrom="margin">
              <wp:posOffset>4781550</wp:posOffset>
            </wp:positionV>
            <wp:extent cx="6909601" cy="22002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89" t="62517" r="17239" b="15968"/>
                    <a:stretch/>
                  </pic:blipFill>
                  <pic:spPr bwMode="auto">
                    <a:xfrm>
                      <a:off x="0" y="0"/>
                      <a:ext cx="6909601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71306" w:rsidRPr="00771306" w:rsidRDefault="00771306" w:rsidP="00771306">
      <w:pPr>
        <w:pStyle w:val="ListParagraph"/>
        <w:ind w:left="360"/>
        <w:rPr>
          <w:rFonts w:ascii="Arial" w:hAnsi="Arial" w:cs="Arial"/>
          <w:b/>
        </w:rPr>
      </w:pPr>
    </w:p>
    <w:p w:rsidR="00886839" w:rsidRPr="00886839" w:rsidRDefault="002D5298" w:rsidP="002352B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The financing costs (interest and management fees) associ</w:t>
      </w:r>
      <w:r w:rsidR="002B770A">
        <w:rPr>
          <w:rFonts w:ascii="Arial" w:hAnsi="Arial" w:cs="Arial"/>
        </w:rPr>
        <w:t>ated with the FHP are also included in the FAA</w:t>
      </w:r>
      <w:r w:rsidR="00A815F6">
        <w:rPr>
          <w:rFonts w:ascii="Arial" w:hAnsi="Arial" w:cs="Arial"/>
        </w:rPr>
        <w:t>s</w:t>
      </w:r>
      <w:r w:rsidR="002B770A">
        <w:rPr>
          <w:rFonts w:ascii="Arial" w:hAnsi="Arial" w:cs="Arial"/>
        </w:rPr>
        <w:t xml:space="preserve">. OPG staff estimated the financing costs </w:t>
      </w:r>
      <w:r w:rsidR="00CD419F">
        <w:rPr>
          <w:rFonts w:ascii="Arial" w:hAnsi="Arial" w:cs="Arial"/>
        </w:rPr>
        <w:t xml:space="preserve">(5% interest + fees) </w:t>
      </w:r>
      <w:r w:rsidR="002B770A">
        <w:rPr>
          <w:rFonts w:ascii="Arial" w:hAnsi="Arial" w:cs="Arial"/>
        </w:rPr>
        <w:t>and provided them to the Ministry of Energy. Those amounts have been included in the FAA</w:t>
      </w:r>
      <w:r w:rsidR="00A815F6">
        <w:rPr>
          <w:rFonts w:ascii="Arial" w:hAnsi="Arial" w:cs="Arial"/>
        </w:rPr>
        <w:t>s</w:t>
      </w:r>
      <w:r w:rsidR="002B770A">
        <w:rPr>
          <w:rFonts w:ascii="Arial" w:hAnsi="Arial" w:cs="Arial"/>
        </w:rPr>
        <w:t xml:space="preserve"> in the Minister’s letter.</w:t>
      </w:r>
    </w:p>
    <w:p w:rsidR="00771306" w:rsidRDefault="00771306" w:rsidP="00886839">
      <w:pPr>
        <w:rPr>
          <w:rFonts w:ascii="Arial" w:hAnsi="Arial" w:cs="Arial"/>
          <w:b/>
        </w:rPr>
      </w:pPr>
    </w:p>
    <w:p w:rsidR="00860DA0" w:rsidRDefault="00860DA0" w:rsidP="008868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FAA and Borrowing Capacity</w:t>
      </w:r>
    </w:p>
    <w:p w:rsidR="00444271" w:rsidRPr="00444271" w:rsidRDefault="00860DA0" w:rsidP="00860DA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It is important to note </w:t>
      </w:r>
      <w:r w:rsidR="00444271">
        <w:rPr>
          <w:rFonts w:ascii="Arial" w:hAnsi="Arial" w:cs="Arial"/>
        </w:rPr>
        <w:t>the FAAs in the Minister’s letter include various components such as interest and management fees that do not allow for a direct comparison to debt capacity.</w:t>
      </w:r>
    </w:p>
    <w:p w:rsidR="00860DA0" w:rsidRPr="00860DA0" w:rsidRDefault="00860DA0" w:rsidP="00860DA0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OPG staff have worked with the Ministry of Energy on a financial model which takes the Fair Allocation Amounts and Readjustment Amounts and uses them to calculate </w:t>
      </w:r>
      <w:r w:rsidR="00444271">
        <w:rPr>
          <w:rFonts w:ascii="Arial" w:hAnsi="Arial" w:cs="Arial"/>
        </w:rPr>
        <w:t xml:space="preserve">debt </w:t>
      </w:r>
      <w:r>
        <w:rPr>
          <w:rFonts w:ascii="Arial" w:hAnsi="Arial" w:cs="Arial"/>
        </w:rPr>
        <w:t>capacity.</w:t>
      </w:r>
    </w:p>
    <w:p w:rsidR="00860DA0" w:rsidRDefault="00F67490" w:rsidP="00860DA0">
      <w:pPr>
        <w:rPr>
          <w:rFonts w:ascii="Arial" w:hAnsi="Arial" w:cs="Arial"/>
          <w:b/>
        </w:rPr>
      </w:pPr>
      <w:r>
        <w:rPr>
          <w:noProof/>
          <w:lang w:eastAsia="en-CA"/>
        </w:rPr>
        <w:drawing>
          <wp:inline distT="0" distB="0" distL="0" distR="0">
            <wp:extent cx="5653405" cy="208597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0DA0" w:rsidRPr="00860DA0" w:rsidRDefault="004C2051" w:rsidP="00860DA0">
      <w:pPr>
        <w:rPr>
          <w:rFonts w:ascii="Arial" w:hAnsi="Arial" w:cs="Arial"/>
          <w:b/>
        </w:rPr>
      </w:pPr>
      <w:r>
        <w:rPr>
          <w:noProof/>
          <w:lang w:eastAsia="en-CA"/>
        </w:rPr>
        <w:drawing>
          <wp:inline distT="0" distB="0" distL="0" distR="0">
            <wp:extent cx="5710555" cy="2371725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41927" w:rsidRPr="00886839" w:rsidRDefault="00541927" w:rsidP="00886839">
      <w:pPr>
        <w:rPr>
          <w:rFonts w:ascii="Arial" w:hAnsi="Arial" w:cs="Arial"/>
          <w:b/>
        </w:rPr>
      </w:pPr>
      <w:r w:rsidRPr="00886839">
        <w:rPr>
          <w:rFonts w:ascii="Arial" w:hAnsi="Arial" w:cs="Arial"/>
          <w:b/>
        </w:rPr>
        <w:t xml:space="preserve">Implications for the </w:t>
      </w:r>
      <w:r w:rsidR="006C682A" w:rsidRPr="00886839">
        <w:rPr>
          <w:rFonts w:ascii="Arial" w:hAnsi="Arial" w:cs="Arial"/>
          <w:b/>
        </w:rPr>
        <w:t>FHP/</w:t>
      </w:r>
      <w:r w:rsidRPr="00886839">
        <w:rPr>
          <w:rFonts w:ascii="Arial" w:hAnsi="Arial" w:cs="Arial"/>
          <w:b/>
        </w:rPr>
        <w:t>Trust</w:t>
      </w:r>
    </w:p>
    <w:p w:rsidR="00886839" w:rsidRPr="00886839" w:rsidRDefault="00440ADD" w:rsidP="00886839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The Trust can only purchase regulatory assets if financing obligations related to the purchase align with the Fair Allocation </w:t>
      </w:r>
      <w:r w:rsidR="00A815F6">
        <w:rPr>
          <w:rFonts w:ascii="Arial" w:hAnsi="Arial" w:cs="Arial"/>
        </w:rPr>
        <w:t>Amounts</w:t>
      </w:r>
      <w:r>
        <w:rPr>
          <w:rFonts w:ascii="Arial" w:hAnsi="Arial" w:cs="Arial"/>
        </w:rPr>
        <w:t xml:space="preserve">. </w:t>
      </w:r>
    </w:p>
    <w:p w:rsidR="00DC6AD8" w:rsidRPr="00DC6AD8" w:rsidRDefault="00DC6AD8" w:rsidP="00DC6AD8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When the IESO offers a regulatory asset for sale to the Trust, as Financial Services Manager, OPG must asses whether the interest and principal repayment associated with the asset will align with </w:t>
      </w:r>
      <w:r w:rsidR="00773D2D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FAA</w:t>
      </w:r>
      <w:r w:rsidR="00773D2D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:rsidR="00773D2D" w:rsidRPr="00771306" w:rsidRDefault="00DC6AD8" w:rsidP="007713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OPG will </w:t>
      </w:r>
      <w:r w:rsidR="002C6537">
        <w:rPr>
          <w:rFonts w:ascii="Arial" w:hAnsi="Arial" w:cs="Arial"/>
        </w:rPr>
        <w:t xml:space="preserve">use the model it developed with the Ministry to </w:t>
      </w:r>
      <w:r>
        <w:rPr>
          <w:rFonts w:ascii="Arial" w:hAnsi="Arial" w:cs="Arial"/>
        </w:rPr>
        <w:t>look at the tot</w:t>
      </w:r>
      <w:r w:rsidR="00773D2D">
        <w:rPr>
          <w:rFonts w:ascii="Arial" w:hAnsi="Arial" w:cs="Arial"/>
        </w:rPr>
        <w:t>al amount of positive FAA</w:t>
      </w:r>
      <w:r>
        <w:rPr>
          <w:rFonts w:ascii="Arial" w:hAnsi="Arial" w:cs="Arial"/>
        </w:rPr>
        <w:t>s that r</w:t>
      </w:r>
      <w:r w:rsidR="00CD419F">
        <w:rPr>
          <w:rFonts w:ascii="Arial" w:hAnsi="Arial" w:cs="Arial"/>
        </w:rPr>
        <w:t xml:space="preserve">emain to </w:t>
      </w:r>
      <w:r w:rsidR="00A815F6">
        <w:rPr>
          <w:rFonts w:ascii="Arial" w:hAnsi="Arial" w:cs="Arial"/>
        </w:rPr>
        <w:t xml:space="preserve">be collected from customers to </w:t>
      </w:r>
      <w:r w:rsidR="00CD419F">
        <w:rPr>
          <w:rFonts w:ascii="Arial" w:hAnsi="Arial" w:cs="Arial"/>
        </w:rPr>
        <w:t>determine whether</w:t>
      </w:r>
      <w:r>
        <w:rPr>
          <w:rFonts w:ascii="Arial" w:hAnsi="Arial" w:cs="Arial"/>
        </w:rPr>
        <w:t xml:space="preserve"> the asset can be purchased. </w:t>
      </w:r>
      <w:r w:rsidR="00CD419F">
        <w:rPr>
          <w:rFonts w:ascii="Arial" w:hAnsi="Arial" w:cs="Arial"/>
        </w:rPr>
        <w:t>The Trust can continue to purchase regulatory assets until total debt equals the total amount o</w:t>
      </w:r>
      <w:r w:rsidR="00773D2D">
        <w:rPr>
          <w:rFonts w:ascii="Arial" w:hAnsi="Arial" w:cs="Arial"/>
        </w:rPr>
        <w:t>f remaining positive FAAs</w:t>
      </w:r>
      <w:r w:rsidR="00CD419F">
        <w:rPr>
          <w:rFonts w:ascii="Arial" w:hAnsi="Arial" w:cs="Arial"/>
        </w:rPr>
        <w:t>.</w:t>
      </w:r>
      <w:bookmarkStart w:id="0" w:name="_GoBack"/>
      <w:bookmarkEnd w:id="0"/>
    </w:p>
    <w:p w:rsidR="002352B3" w:rsidRDefault="002352B3" w:rsidP="002352B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Reconciliation of FAA </w:t>
      </w:r>
      <w:r w:rsidR="004C2051">
        <w:rPr>
          <w:rFonts w:ascii="Arial" w:hAnsi="Arial" w:cs="Arial"/>
          <w:b/>
        </w:rPr>
        <w:t>+</w:t>
      </w:r>
      <w:r>
        <w:rPr>
          <w:rFonts w:ascii="Arial" w:hAnsi="Arial" w:cs="Arial"/>
          <w:b/>
        </w:rPr>
        <w:t xml:space="preserve"> Readjustment with </w:t>
      </w:r>
      <w:r w:rsidR="004C2051">
        <w:rPr>
          <w:rFonts w:ascii="Arial" w:hAnsi="Arial" w:cs="Arial"/>
          <w:b/>
        </w:rPr>
        <w:t xml:space="preserve">FHP </w:t>
      </w:r>
      <w:r>
        <w:rPr>
          <w:rFonts w:ascii="Arial" w:hAnsi="Arial" w:cs="Arial"/>
          <w:b/>
        </w:rPr>
        <w:t xml:space="preserve">Debt </w:t>
      </w:r>
      <w:r w:rsidR="004C2051">
        <w:rPr>
          <w:rFonts w:ascii="Arial" w:hAnsi="Arial" w:cs="Arial"/>
          <w:b/>
        </w:rPr>
        <w:t>Balance &amp; Interest</w:t>
      </w:r>
    </w:p>
    <w:p w:rsidR="00F67490" w:rsidRPr="002352B3" w:rsidRDefault="00E51515" w:rsidP="002352B3">
      <w:pPr>
        <w:rPr>
          <w:rFonts w:ascii="Arial" w:hAnsi="Arial" w:cs="Arial"/>
          <w:b/>
        </w:rPr>
      </w:pPr>
      <w:r w:rsidRPr="00E51515">
        <w:rPr>
          <w:noProof/>
          <w:lang w:eastAsia="en-CA"/>
        </w:rPr>
        <w:drawing>
          <wp:inline distT="0" distB="0" distL="0" distR="0">
            <wp:extent cx="5943600" cy="768111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7490" w:rsidRPr="002352B3" w:rsidSect="000E517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13" w:rsidRDefault="00850913" w:rsidP="00D9258E">
      <w:pPr>
        <w:spacing w:after="0" w:line="240" w:lineRule="auto"/>
      </w:pPr>
      <w:r>
        <w:separator/>
      </w:r>
    </w:p>
  </w:endnote>
  <w:endnote w:type="continuationSeparator" w:id="0">
    <w:p w:rsidR="00850913" w:rsidRDefault="00850913" w:rsidP="00D92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5F6" w:rsidRDefault="00A815F6">
    <w:pPr>
      <w:pStyle w:val="Footer"/>
    </w:pPr>
    <w:r>
      <w:t>October 4,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13" w:rsidRDefault="00850913" w:rsidP="00D9258E">
      <w:pPr>
        <w:spacing w:after="0" w:line="240" w:lineRule="auto"/>
      </w:pPr>
      <w:r>
        <w:separator/>
      </w:r>
    </w:p>
  </w:footnote>
  <w:footnote w:type="continuationSeparator" w:id="0">
    <w:p w:rsidR="00850913" w:rsidRDefault="00850913" w:rsidP="00D92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528"/>
    <w:multiLevelType w:val="hybridMultilevel"/>
    <w:tmpl w:val="52E47A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A211C"/>
    <w:multiLevelType w:val="hybridMultilevel"/>
    <w:tmpl w:val="CD0CFA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5E03"/>
    <w:multiLevelType w:val="hybridMultilevel"/>
    <w:tmpl w:val="C040CA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C6F84"/>
    <w:multiLevelType w:val="hybridMultilevel"/>
    <w:tmpl w:val="E4505DF0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F7DC7"/>
    <w:multiLevelType w:val="hybridMultilevel"/>
    <w:tmpl w:val="257E9DE6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D5437"/>
    <w:multiLevelType w:val="hybridMultilevel"/>
    <w:tmpl w:val="24E27C1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E29D8"/>
    <w:multiLevelType w:val="hybridMultilevel"/>
    <w:tmpl w:val="09462054"/>
    <w:lvl w:ilvl="0" w:tplc="35CAEFC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12"/>
    <w:rsid w:val="0006687B"/>
    <w:rsid w:val="00092B7F"/>
    <w:rsid w:val="000E5178"/>
    <w:rsid w:val="00143EE3"/>
    <w:rsid w:val="001625C4"/>
    <w:rsid w:val="001C2BFE"/>
    <w:rsid w:val="001E46F2"/>
    <w:rsid w:val="00206148"/>
    <w:rsid w:val="00221EDE"/>
    <w:rsid w:val="002262D1"/>
    <w:rsid w:val="002352B3"/>
    <w:rsid w:val="00251BF6"/>
    <w:rsid w:val="002B770A"/>
    <w:rsid w:val="002C6537"/>
    <w:rsid w:val="002D5298"/>
    <w:rsid w:val="00333B97"/>
    <w:rsid w:val="00337628"/>
    <w:rsid w:val="00440ADD"/>
    <w:rsid w:val="00444271"/>
    <w:rsid w:val="00452178"/>
    <w:rsid w:val="004B09BC"/>
    <w:rsid w:val="004C2051"/>
    <w:rsid w:val="004F04CA"/>
    <w:rsid w:val="004F4558"/>
    <w:rsid w:val="00541927"/>
    <w:rsid w:val="005913BC"/>
    <w:rsid w:val="005E2B7B"/>
    <w:rsid w:val="00625A7A"/>
    <w:rsid w:val="006C6196"/>
    <w:rsid w:val="006C682A"/>
    <w:rsid w:val="007122E8"/>
    <w:rsid w:val="00771306"/>
    <w:rsid w:val="00773D2D"/>
    <w:rsid w:val="007B15C0"/>
    <w:rsid w:val="007D33BD"/>
    <w:rsid w:val="008129BB"/>
    <w:rsid w:val="00842822"/>
    <w:rsid w:val="00850913"/>
    <w:rsid w:val="00860DA0"/>
    <w:rsid w:val="00886839"/>
    <w:rsid w:val="008D22A6"/>
    <w:rsid w:val="00904345"/>
    <w:rsid w:val="00932CB6"/>
    <w:rsid w:val="009E6BCF"/>
    <w:rsid w:val="009F5412"/>
    <w:rsid w:val="00A815F6"/>
    <w:rsid w:val="00A94519"/>
    <w:rsid w:val="00AA5879"/>
    <w:rsid w:val="00AE009F"/>
    <w:rsid w:val="00BC68CD"/>
    <w:rsid w:val="00C0315B"/>
    <w:rsid w:val="00C33024"/>
    <w:rsid w:val="00C56937"/>
    <w:rsid w:val="00C8262C"/>
    <w:rsid w:val="00CB11EB"/>
    <w:rsid w:val="00CD419F"/>
    <w:rsid w:val="00CE7A70"/>
    <w:rsid w:val="00D209DF"/>
    <w:rsid w:val="00D405BC"/>
    <w:rsid w:val="00D5466B"/>
    <w:rsid w:val="00D564E2"/>
    <w:rsid w:val="00D9258E"/>
    <w:rsid w:val="00DB526A"/>
    <w:rsid w:val="00DC2E30"/>
    <w:rsid w:val="00DC6AD8"/>
    <w:rsid w:val="00DD4EC3"/>
    <w:rsid w:val="00E136D4"/>
    <w:rsid w:val="00E14F63"/>
    <w:rsid w:val="00E51515"/>
    <w:rsid w:val="00EE746E"/>
    <w:rsid w:val="00F464C0"/>
    <w:rsid w:val="00F67490"/>
    <w:rsid w:val="00F75656"/>
    <w:rsid w:val="00F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03E5E8D"/>
  <w15:docId w15:val="{C52CDAAD-EF67-4FA4-B020-46F9118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412"/>
    <w:pPr>
      <w:ind w:left="720"/>
      <w:contextualSpacing/>
    </w:pPr>
  </w:style>
  <w:style w:type="table" w:styleId="TableGrid">
    <w:name w:val="Table Grid"/>
    <w:basedOn w:val="TableNormal"/>
    <w:uiPriority w:val="59"/>
    <w:rsid w:val="00D4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TableNormal"/>
    <w:uiPriority w:val="49"/>
    <w:rsid w:val="00D405B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58E"/>
  </w:style>
  <w:style w:type="paragraph" w:styleId="Footer">
    <w:name w:val="footer"/>
    <w:basedOn w:val="Normal"/>
    <w:link w:val="FooterChar"/>
    <w:uiPriority w:val="99"/>
    <w:unhideWhenUsed/>
    <w:rsid w:val="00D92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58E"/>
  </w:style>
  <w:style w:type="character" w:styleId="CommentReference">
    <w:name w:val="annotation reference"/>
    <w:basedOn w:val="DefaultParagraphFont"/>
    <w:uiPriority w:val="99"/>
    <w:semiHidden/>
    <w:unhideWhenUsed/>
    <w:rsid w:val="00251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B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B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ATOU-OGFSPUWSW\217009$\G\My%20Documents\FHP\FAA%20estimates%20for%20Board%20Memo%202017-10-0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CATOU-OGFSPUWSW\217009$\G\My%20Documents\FHP\FAA%20estimates%20for%20Board%20Memo%202017-10-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v>Debt Balance</c:v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calculation'!$D$42:$AH$42</c:f>
              <c:numCache>
                <c:formatCode>_(* #,##0_);_(* \(#,##0\);_(* "-"_);_(@_)</c:formatCode>
                <c:ptCount val="31"/>
                <c:pt idx="0">
                  <c:v>1448.1777417402261</c:v>
                </c:pt>
                <c:pt idx="1">
                  <c:v>3770.2899545522541</c:v>
                </c:pt>
                <c:pt idx="2">
                  <c:v>6323.2560162553591</c:v>
                </c:pt>
                <c:pt idx="3">
                  <c:v>9130.8609491306615</c:v>
                </c:pt>
                <c:pt idx="4">
                  <c:v>11870.756499523861</c:v>
                </c:pt>
                <c:pt idx="5">
                  <c:v>14233.812553469903</c:v>
                </c:pt>
                <c:pt idx="6">
                  <c:v>16053.100135776769</c:v>
                </c:pt>
                <c:pt idx="7">
                  <c:v>17394.673588370089</c:v>
                </c:pt>
                <c:pt idx="8">
                  <c:v>18301.352654950431</c:v>
                </c:pt>
                <c:pt idx="9">
                  <c:v>19255.291414309653</c:v>
                </c:pt>
                <c:pt idx="10">
                  <c:v>20258.953228230152</c:v>
                </c:pt>
                <c:pt idx="11">
                  <c:v>20292.150553037092</c:v>
                </c:pt>
                <c:pt idx="12">
                  <c:v>20292.150553037092</c:v>
                </c:pt>
                <c:pt idx="13">
                  <c:v>19907.426381743073</c:v>
                </c:pt>
                <c:pt idx="14">
                  <c:v>19570.364290691748</c:v>
                </c:pt>
                <c:pt idx="15">
                  <c:v>19055.26169986781</c:v>
                </c:pt>
                <c:pt idx="16">
                  <c:v>18444.09380438814</c:v>
                </c:pt>
                <c:pt idx="17">
                  <c:v>17313.33010901637</c:v>
                </c:pt>
                <c:pt idx="18">
                  <c:v>15940.887735096381</c:v>
                </c:pt>
                <c:pt idx="19">
                  <c:v>14464.145166606577</c:v>
                </c:pt>
                <c:pt idx="20">
                  <c:v>12987.96861110694</c:v>
                </c:pt>
                <c:pt idx="21">
                  <c:v>11407.516437488144</c:v>
                </c:pt>
                <c:pt idx="22">
                  <c:v>10065.002495225595</c:v>
                </c:pt>
                <c:pt idx="23">
                  <c:v>8936.5969809055077</c:v>
                </c:pt>
                <c:pt idx="24">
                  <c:v>7895.1802050558317</c:v>
                </c:pt>
                <c:pt idx="25">
                  <c:v>6820.5457295516362</c:v>
                </c:pt>
                <c:pt idx="26">
                  <c:v>5767.8944383321905</c:v>
                </c:pt>
                <c:pt idx="27">
                  <c:v>4635.9388933629516</c:v>
                </c:pt>
                <c:pt idx="28">
                  <c:v>3436.8286258678272</c:v>
                </c:pt>
                <c:pt idx="29">
                  <c:v>2010.3272420387223</c:v>
                </c:pt>
                <c:pt idx="30">
                  <c:v>2.273736754432325E-12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F4-4A2A-9DF8-82847DA1C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7920000"/>
        <c:axId val="107925888"/>
      </c:areaChart>
      <c:catAx>
        <c:axId val="107920000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925888"/>
        <c:crosses val="autoZero"/>
        <c:auto val="1"/>
        <c:lblAlgn val="ctr"/>
        <c:lblOffset val="100"/>
        <c:noMultiLvlLbl val="0"/>
      </c:catAx>
      <c:valAx>
        <c:axId val="10792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$ millions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_);_(* \(#,##0\);_(* &quot;-&quot;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79200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CA"/>
              <a:t>Debt</a:t>
            </a:r>
            <a:r>
              <a:rPr lang="en-CA" baseline="0"/>
              <a:t> Profile</a:t>
            </a:r>
            <a:endParaRPr lang="en-C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'FAA calculation'!$B$39</c:f>
              <c:strCache>
                <c:ptCount val="1"/>
                <c:pt idx="0">
                  <c:v>Borrowing for Rate Reductions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calculation'!$D$39:$AH$39</c:f>
              <c:numCache>
                <c:formatCode>_(* #,##0_);_(* \(#,##0\);_(* "-"_);_(@_)</c:formatCode>
                <c:ptCount val="31"/>
                <c:pt idx="0">
                  <c:v>1396.24920932585</c:v>
                </c:pt>
                <c:pt idx="1">
                  <c:v>2189.0412865565709</c:v>
                </c:pt>
                <c:pt idx="2">
                  <c:v>2295.5806394475098</c:v>
                </c:pt>
                <c:pt idx="3">
                  <c:v>2413.52495025796</c:v>
                </c:pt>
                <c:pt idx="4">
                  <c:v>2204.3543054525107</c:v>
                </c:pt>
                <c:pt idx="5">
                  <c:v>1700</c:v>
                </c:pt>
                <c:pt idx="6">
                  <c:v>1050</c:v>
                </c:pt>
                <c:pt idx="7">
                  <c:v>492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12-4702-BD67-7AF780D75A12}"/>
            </c:ext>
          </c:extLst>
        </c:ser>
        <c:ser>
          <c:idx val="1"/>
          <c:order val="1"/>
          <c:tx>
            <c:strRef>
              <c:f>'FAA calculation'!$B$40</c:f>
              <c:strCache>
                <c:ptCount val="1"/>
                <c:pt idx="0">
                  <c:v>Borrowing to Offset Interest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calculation'!$D$40:$AH$40</c:f>
              <c:numCache>
                <c:formatCode>_(* #,##0_);_(* \(#,##0\);_(* "-"_);_(@_)</c:formatCode>
                <c:ptCount val="31"/>
                <c:pt idx="0">
                  <c:v>51.92853241437578</c:v>
                </c:pt>
                <c:pt idx="1">
                  <c:v>133.07092625545823</c:v>
                </c:pt>
                <c:pt idx="2">
                  <c:v>257.38542225559399</c:v>
                </c:pt>
                <c:pt idx="3">
                  <c:v>394.07998261734372</c:v>
                </c:pt>
                <c:pt idx="4">
                  <c:v>535.54124494069049</c:v>
                </c:pt>
                <c:pt idx="5">
                  <c:v>663.05605394604163</c:v>
                </c:pt>
                <c:pt idx="6">
                  <c:v>769.28758230686583</c:v>
                </c:pt>
                <c:pt idx="7">
                  <c:v>849.57345259333056</c:v>
                </c:pt>
                <c:pt idx="8">
                  <c:v>906.6790665803419</c:v>
                </c:pt>
                <c:pt idx="9">
                  <c:v>953.93875935920653</c:v>
                </c:pt>
                <c:pt idx="10">
                  <c:v>1003.661813920511</c:v>
                </c:pt>
                <c:pt idx="11">
                  <c:v>33.197324806951663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12-4702-BD67-7AF780D75A12}"/>
            </c:ext>
          </c:extLst>
        </c:ser>
        <c:ser>
          <c:idx val="3"/>
          <c:order val="2"/>
          <c:tx>
            <c:v>Interest &amp; Fees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calculation'!$D$61:$AH$61</c:f>
              <c:numCache>
                <c:formatCode>_(* #,##0_);_(* \(#,##0\);_(* "-"_);_(@_)</c:formatCode>
                <c:ptCount val="31"/>
                <c:pt idx="0">
                  <c:v>-51.92853241437578</c:v>
                </c:pt>
                <c:pt idx="1">
                  <c:v>-133.07092625545823</c:v>
                </c:pt>
                <c:pt idx="2">
                  <c:v>-257.38542225559399</c:v>
                </c:pt>
                <c:pt idx="3">
                  <c:v>-394.07998261734372</c:v>
                </c:pt>
                <c:pt idx="4">
                  <c:v>-535.54124494069049</c:v>
                </c:pt>
                <c:pt idx="5">
                  <c:v>-663.05605394604163</c:v>
                </c:pt>
                <c:pt idx="6">
                  <c:v>-769.28758230686583</c:v>
                </c:pt>
                <c:pt idx="7">
                  <c:v>-849.57345259333056</c:v>
                </c:pt>
                <c:pt idx="8">
                  <c:v>-906.6790665803419</c:v>
                </c:pt>
                <c:pt idx="9">
                  <c:v>-953.93875935920653</c:v>
                </c:pt>
                <c:pt idx="10">
                  <c:v>-1003.661813920511</c:v>
                </c:pt>
                <c:pt idx="11">
                  <c:v>-1029.9980360441884</c:v>
                </c:pt>
                <c:pt idx="12">
                  <c:v>-1030.8412480942848</c:v>
                </c:pt>
                <c:pt idx="13">
                  <c:v>-1021.0692541434161</c:v>
                </c:pt>
                <c:pt idx="14">
                  <c:v>-1002.7358830798445</c:v>
                </c:pt>
                <c:pt idx="15">
                  <c:v>-981.09090016021264</c:v>
                </c:pt>
                <c:pt idx="16">
                  <c:v>-952.483629808101</c:v>
                </c:pt>
                <c:pt idx="17">
                  <c:v>-908.23856740047461</c:v>
                </c:pt>
                <c:pt idx="18">
                  <c:v>-844.65713324046419</c:v>
                </c:pt>
                <c:pt idx="19">
                  <c:v>-772.2878357032555</c:v>
                </c:pt>
                <c:pt idx="20">
                  <c:v>-697.2836899539235</c:v>
                </c:pt>
                <c:pt idx="21">
                  <c:v>-619.64532023431525</c:v>
                </c:pt>
                <c:pt idx="22">
                  <c:v>-545.4019808909286</c:v>
                </c:pt>
                <c:pt idx="23">
                  <c:v>-482.6406266937305</c:v>
                </c:pt>
                <c:pt idx="24">
                  <c:v>-429.21031824201384</c:v>
                </c:pt>
                <c:pt idx="25">
                  <c:v>-375.25101133249029</c:v>
                </c:pt>
                <c:pt idx="26">
                  <c:v>-321.00522428103761</c:v>
                </c:pt>
                <c:pt idx="27">
                  <c:v>-265.29774995822595</c:v>
                </c:pt>
                <c:pt idx="28">
                  <c:v>-205.85557174038493</c:v>
                </c:pt>
                <c:pt idx="29">
                  <c:v>-138.90247463161705</c:v>
                </c:pt>
                <c:pt idx="30">
                  <c:v>-51.26334467198749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12-4702-BD67-7AF780D75A12}"/>
            </c:ext>
          </c:extLst>
        </c:ser>
        <c:ser>
          <c:idx val="2"/>
          <c:order val="3"/>
          <c:tx>
            <c:strRef>
              <c:f>'FAA calculation'!$B$41</c:f>
              <c:strCache>
                <c:ptCount val="1"/>
                <c:pt idx="0">
                  <c:v> Prinicipal Repayment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'FAA calculation'!$D$2:$AH$2</c:f>
              <c:numCache>
                <c:formatCode>0</c:formatCode>
                <c:ptCount val="31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  <c:pt idx="10">
                  <c:v>2027</c:v>
                </c:pt>
                <c:pt idx="11">
                  <c:v>2028</c:v>
                </c:pt>
                <c:pt idx="12">
                  <c:v>2029</c:v>
                </c:pt>
                <c:pt idx="13">
                  <c:v>2030</c:v>
                </c:pt>
                <c:pt idx="14">
                  <c:v>2031</c:v>
                </c:pt>
                <c:pt idx="15">
                  <c:v>2032</c:v>
                </c:pt>
                <c:pt idx="16">
                  <c:v>2033</c:v>
                </c:pt>
                <c:pt idx="17">
                  <c:v>2034</c:v>
                </c:pt>
                <c:pt idx="18">
                  <c:v>2035</c:v>
                </c:pt>
                <c:pt idx="19">
                  <c:v>2036</c:v>
                </c:pt>
                <c:pt idx="20">
                  <c:v>2037</c:v>
                </c:pt>
                <c:pt idx="21">
                  <c:v>2038</c:v>
                </c:pt>
                <c:pt idx="22">
                  <c:v>2039</c:v>
                </c:pt>
                <c:pt idx="23">
                  <c:v>2040</c:v>
                </c:pt>
                <c:pt idx="24">
                  <c:v>2041</c:v>
                </c:pt>
                <c:pt idx="25">
                  <c:v>2042</c:v>
                </c:pt>
                <c:pt idx="26">
                  <c:v>2043</c:v>
                </c:pt>
                <c:pt idx="27">
                  <c:v>2044</c:v>
                </c:pt>
                <c:pt idx="28">
                  <c:v>2045</c:v>
                </c:pt>
                <c:pt idx="29">
                  <c:v>2046</c:v>
                </c:pt>
                <c:pt idx="30">
                  <c:v>2047</c:v>
                </c:pt>
              </c:numCache>
            </c:numRef>
          </c:cat>
          <c:val>
            <c:numRef>
              <c:f>'FAA calculation'!$D$41:$AH$41</c:f>
              <c:numCache>
                <c:formatCode>_(* #,##0_);_(* \(#,##0\);_(* "-"_);_(@_)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-384.72417129404926</c:v>
                </c:pt>
                <c:pt idx="14">
                  <c:v>-337.0620910513083</c:v>
                </c:pt>
                <c:pt idx="15">
                  <c:v>-515.10259082394759</c:v>
                </c:pt>
                <c:pt idx="16">
                  <c:v>-611.16789547966255</c:v>
                </c:pt>
                <c:pt idx="17">
                  <c:v>-1130.7636953717617</c:v>
                </c:pt>
                <c:pt idx="18">
                  <c:v>-1372.4423739199949</c:v>
                </c:pt>
                <c:pt idx="19">
                  <c:v>-1476.7425684898051</c:v>
                </c:pt>
                <c:pt idx="20">
                  <c:v>-1476.1765554996375</c:v>
                </c:pt>
                <c:pt idx="21">
                  <c:v>-1580.4521736187919</c:v>
                </c:pt>
                <c:pt idx="22">
                  <c:v>-1342.5139422625514</c:v>
                </c:pt>
                <c:pt idx="23">
                  <c:v>-1128.4055143200844</c:v>
                </c:pt>
                <c:pt idx="24">
                  <c:v>-1041.4167758496835</c:v>
                </c:pt>
                <c:pt idx="25">
                  <c:v>-1074.6344755041944</c:v>
                </c:pt>
                <c:pt idx="26">
                  <c:v>-1052.6512912194414</c:v>
                </c:pt>
                <c:pt idx="27">
                  <c:v>-1131.9555449692396</c:v>
                </c:pt>
                <c:pt idx="28">
                  <c:v>-1199.1102674951246</c:v>
                </c:pt>
                <c:pt idx="29">
                  <c:v>-1426.5013838291054</c:v>
                </c:pt>
                <c:pt idx="30">
                  <c:v>-2010.32724203872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912-4702-BD67-7AF780D75A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8481664"/>
        <c:axId val="98483200"/>
      </c:barChart>
      <c:catAx>
        <c:axId val="9848166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3200"/>
        <c:crosses val="autoZero"/>
        <c:auto val="1"/>
        <c:lblAlgn val="ctr"/>
        <c:lblOffset val="100"/>
        <c:noMultiLvlLbl val="0"/>
      </c:catAx>
      <c:valAx>
        <c:axId val="9848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CA"/>
                  <a:t>$ millions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_(* #,##0_);_(* \(#,##0\);_(* &quot;-&quot;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48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40C14-9A86-4470-957A-04C002CB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TULLY Keegan -CBUSDEV&amp;STRT</dc:creator>
  <cp:lastModifiedBy>TULLY Keegan -CBUSDEV&amp;STRT</cp:lastModifiedBy>
  <cp:revision>2</cp:revision>
  <cp:lastPrinted>2017-10-02T17:22:00Z</cp:lastPrinted>
  <dcterms:created xsi:type="dcterms:W3CDTF">2017-10-04T16:53:00Z</dcterms:created>
  <dcterms:modified xsi:type="dcterms:W3CDTF">2017-10-04T16:53:00Z</dcterms:modified>
</cp:coreProperties>
</file>