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427E" w:rsidRPr="009319F4" w:rsidRDefault="0012427E" w:rsidP="0012427E">
      <w:pPr>
        <w:jc w:val="center"/>
        <w:rPr>
          <w:rFonts w:ascii="Tahoma" w:eastAsia="Times New Roman" w:hAnsi="Tahoma" w:cs="Tahoma"/>
          <w:b/>
          <w:i/>
          <w:sz w:val="24"/>
          <w:szCs w:val="24"/>
        </w:rPr>
      </w:pPr>
      <w:r w:rsidRPr="009319F4">
        <w:rPr>
          <w:rFonts w:ascii="Tahoma" w:eastAsia="Times New Roman" w:hAnsi="Tahoma" w:cs="Tahoma"/>
          <w:b/>
          <w:i/>
          <w:sz w:val="24"/>
          <w:szCs w:val="24"/>
        </w:rPr>
        <w:t>Topic: OPG and Fair Hydro Plan accounting</w:t>
      </w:r>
      <w:r>
        <w:rPr>
          <w:rFonts w:ascii="Tahoma" w:eastAsia="Times New Roman" w:hAnsi="Tahoma" w:cs="Tahoma"/>
          <w:b/>
          <w:i/>
          <w:sz w:val="24"/>
          <w:szCs w:val="24"/>
        </w:rPr>
        <w:t xml:space="preserve"> - </w:t>
      </w:r>
      <w:r w:rsidRPr="00E57D74">
        <w:rPr>
          <w:rFonts w:ascii="Tahoma" w:eastAsia="Times New Roman" w:hAnsi="Tahoma" w:cs="Tahoma"/>
          <w:b/>
          <w:i/>
          <w:sz w:val="24"/>
          <w:szCs w:val="24"/>
          <w:highlight w:val="yellow"/>
        </w:rPr>
        <w:t>OPG</w:t>
      </w:r>
    </w:p>
    <w:p w:rsidR="0012427E" w:rsidRPr="009319F4" w:rsidRDefault="0012427E" w:rsidP="0012427E">
      <w:pPr>
        <w:rPr>
          <w:rFonts w:ascii="Tahoma" w:eastAsia="Times New Roman" w:hAnsi="Tahoma" w:cs="Tahoma"/>
          <w:sz w:val="24"/>
          <w:szCs w:val="24"/>
        </w:rPr>
      </w:pPr>
    </w:p>
    <w:p w:rsidR="0012427E" w:rsidRPr="009319F4" w:rsidRDefault="0012427E" w:rsidP="0012427E">
      <w:pPr>
        <w:pStyle w:val="ListParagraph"/>
        <w:numPr>
          <w:ilvl w:val="0"/>
          <w:numId w:val="1"/>
        </w:numPr>
        <w:jc w:val="center"/>
        <w:rPr>
          <w:rFonts w:ascii="Tahoma" w:eastAsia="Times New Roman" w:hAnsi="Tahoma" w:cs="Tahoma"/>
          <w:sz w:val="24"/>
          <w:szCs w:val="24"/>
        </w:rPr>
      </w:pPr>
      <w:r w:rsidRPr="009319F4">
        <w:rPr>
          <w:rFonts w:ascii="Tahoma" w:eastAsia="Times New Roman" w:hAnsi="Tahoma" w:cs="Tahoma"/>
          <w:b/>
          <w:sz w:val="24"/>
          <w:szCs w:val="24"/>
        </w:rPr>
        <w:t>OPG and Fair Hydro Plan</w:t>
      </w:r>
    </w:p>
    <w:p w:rsidR="0012427E" w:rsidRPr="009319F4" w:rsidRDefault="0012427E" w:rsidP="0012427E">
      <w:pPr>
        <w:rPr>
          <w:rFonts w:ascii="Tahoma" w:eastAsia="Times New Roman" w:hAnsi="Tahoma" w:cs="Tahoma"/>
          <w:sz w:val="24"/>
          <w:szCs w:val="24"/>
        </w:rPr>
      </w:pPr>
    </w:p>
    <w:p w:rsidR="0012427E" w:rsidRPr="009319F4" w:rsidRDefault="0012427E" w:rsidP="0012427E">
      <w:pPr>
        <w:rPr>
          <w:rFonts w:ascii="Tahoma" w:eastAsia="Times New Roman" w:hAnsi="Tahoma" w:cs="Tahoma"/>
          <w:sz w:val="24"/>
          <w:szCs w:val="24"/>
        </w:rPr>
      </w:pPr>
    </w:p>
    <w:p w:rsidR="0012427E" w:rsidRPr="00C1720F" w:rsidRDefault="0012427E" w:rsidP="0012427E">
      <w:pPr>
        <w:rPr>
          <w:rFonts w:ascii="Tahoma" w:eastAsia="Times New Roman" w:hAnsi="Tahoma" w:cs="Tahoma"/>
          <w:b/>
          <w:i/>
          <w:color w:val="000000"/>
          <w:sz w:val="24"/>
          <w:szCs w:val="24"/>
          <w:u w:val="single"/>
        </w:rPr>
      </w:pPr>
      <w:r w:rsidRPr="00C1720F">
        <w:rPr>
          <w:rFonts w:ascii="Tahoma" w:eastAsia="Times New Roman" w:hAnsi="Tahoma" w:cs="Tahoma"/>
          <w:b/>
          <w:i/>
          <w:color w:val="000000"/>
          <w:sz w:val="24"/>
          <w:szCs w:val="24"/>
          <w:u w:val="single"/>
        </w:rPr>
        <w:t xml:space="preserve">Question: </w:t>
      </w:r>
    </w:p>
    <w:p w:rsidR="0012427E" w:rsidRPr="00C1720F" w:rsidRDefault="0012427E" w:rsidP="0012427E">
      <w:pPr>
        <w:rPr>
          <w:rFonts w:ascii="Tahoma" w:eastAsia="Times New Roman" w:hAnsi="Tahoma" w:cs="Tahoma"/>
          <w:color w:val="000000"/>
          <w:sz w:val="24"/>
          <w:szCs w:val="24"/>
        </w:rPr>
      </w:pPr>
      <w:r w:rsidRPr="00C1720F">
        <w:rPr>
          <w:rFonts w:ascii="Tahoma" w:eastAsia="Times New Roman" w:hAnsi="Tahoma" w:cs="Tahoma"/>
          <w:color w:val="000000"/>
          <w:sz w:val="24"/>
          <w:szCs w:val="24"/>
        </w:rPr>
        <w:t>You have a lot of experience working in the electricity sector in other jurisdictions in North America. Could you tell us about whether you’ve seen this kind of arrangement elsewhere before – in which costs are deferred over a longer period of time than originally planned?</w:t>
      </w:r>
    </w:p>
    <w:p w:rsidR="0012427E" w:rsidRDefault="0012427E" w:rsidP="0012427E">
      <w:pPr>
        <w:rPr>
          <w:rFonts w:ascii="Tahoma" w:eastAsia="Times New Roman" w:hAnsi="Tahoma" w:cs="Tahoma"/>
          <w:b/>
          <w:color w:val="000000"/>
          <w:sz w:val="24"/>
          <w:szCs w:val="24"/>
        </w:rPr>
      </w:pPr>
    </w:p>
    <w:p w:rsidR="007F4FB1" w:rsidRPr="00832647" w:rsidRDefault="007F4FB1" w:rsidP="0011786C">
      <w:pPr>
        <w:pStyle w:val="ListParagraph"/>
        <w:numPr>
          <w:ilvl w:val="0"/>
          <w:numId w:val="9"/>
        </w:numPr>
        <w:spacing w:after="160" w:line="259" w:lineRule="auto"/>
        <w:rPr>
          <w:rFonts w:ascii="Arial" w:eastAsia="Courier New" w:hAnsi="Arial"/>
          <w:b/>
          <w:sz w:val="24"/>
          <w:szCs w:val="24"/>
        </w:rPr>
      </w:pPr>
      <w:r w:rsidRPr="00832647">
        <w:rPr>
          <w:rFonts w:ascii="Arial" w:eastAsia="Courier New" w:hAnsi="Arial"/>
          <w:b/>
          <w:sz w:val="24"/>
          <w:szCs w:val="24"/>
        </w:rPr>
        <w:t>Programs similar in size and concept have been set up in the electricity sector,  especially in the US</w:t>
      </w:r>
    </w:p>
    <w:p w:rsidR="0011786C" w:rsidRPr="00832647" w:rsidRDefault="007F4FB1" w:rsidP="0011786C">
      <w:pPr>
        <w:pStyle w:val="ListParagraph"/>
        <w:numPr>
          <w:ilvl w:val="0"/>
          <w:numId w:val="9"/>
        </w:numPr>
        <w:spacing w:after="160" w:line="259" w:lineRule="auto"/>
        <w:rPr>
          <w:rFonts w:ascii="Arial" w:eastAsia="Courier New" w:hAnsi="Arial"/>
          <w:b/>
          <w:sz w:val="24"/>
          <w:szCs w:val="24"/>
        </w:rPr>
      </w:pPr>
      <w:r w:rsidRPr="00832647">
        <w:rPr>
          <w:rFonts w:ascii="Arial" w:eastAsia="Courier New" w:hAnsi="Arial"/>
          <w:b/>
          <w:sz w:val="24"/>
          <w:szCs w:val="24"/>
        </w:rPr>
        <w:t>The m</w:t>
      </w:r>
      <w:r w:rsidR="0011786C" w:rsidRPr="00832647">
        <w:rPr>
          <w:rFonts w:ascii="Arial" w:eastAsia="Courier New" w:hAnsi="Arial"/>
          <w:b/>
          <w:sz w:val="24"/>
          <w:szCs w:val="24"/>
        </w:rPr>
        <w:t xml:space="preserve">ost recent transactions </w:t>
      </w:r>
      <w:r w:rsidRPr="00832647">
        <w:rPr>
          <w:rFonts w:ascii="Arial" w:eastAsia="Courier New" w:hAnsi="Arial"/>
          <w:b/>
          <w:sz w:val="24"/>
          <w:szCs w:val="24"/>
        </w:rPr>
        <w:t xml:space="preserve">that are similarly several billion in size </w:t>
      </w:r>
      <w:r w:rsidR="0011786C" w:rsidRPr="00832647">
        <w:rPr>
          <w:rFonts w:ascii="Arial" w:eastAsia="Courier New" w:hAnsi="Arial"/>
          <w:b/>
          <w:sz w:val="24"/>
          <w:szCs w:val="24"/>
        </w:rPr>
        <w:t xml:space="preserve">occurred </w:t>
      </w:r>
      <w:r w:rsidRPr="00832647">
        <w:rPr>
          <w:rFonts w:ascii="Arial" w:eastAsia="Courier New" w:hAnsi="Arial"/>
          <w:b/>
          <w:sz w:val="24"/>
          <w:szCs w:val="24"/>
        </w:rPr>
        <w:t xml:space="preserve">at </w:t>
      </w:r>
      <w:r w:rsidR="0011786C" w:rsidRPr="00832647">
        <w:rPr>
          <w:rFonts w:ascii="Arial" w:eastAsia="Courier New" w:hAnsi="Arial"/>
          <w:b/>
          <w:sz w:val="24"/>
          <w:szCs w:val="24"/>
        </w:rPr>
        <w:t xml:space="preserve"> Duke Energy and Long Island Power</w:t>
      </w:r>
    </w:p>
    <w:p w:rsidR="007F4FB1" w:rsidRPr="00832647" w:rsidRDefault="0011786C" w:rsidP="0011786C">
      <w:pPr>
        <w:pStyle w:val="ListParagraph"/>
        <w:numPr>
          <w:ilvl w:val="0"/>
          <w:numId w:val="9"/>
        </w:numPr>
        <w:ind w:right="160"/>
        <w:rPr>
          <w:rFonts w:ascii="Arial" w:eastAsia="Courier New" w:hAnsi="Arial"/>
          <w:b/>
          <w:sz w:val="24"/>
          <w:szCs w:val="24"/>
        </w:rPr>
      </w:pPr>
      <w:r w:rsidRPr="00832647">
        <w:rPr>
          <w:rFonts w:ascii="Arial" w:eastAsia="Courier New" w:hAnsi="Arial"/>
          <w:b/>
          <w:sz w:val="24"/>
          <w:szCs w:val="24"/>
        </w:rPr>
        <w:t>Florida and other states (approximately 18 in total) have passed similar securitization legislation to authorize recoveries by utilities of specified costs, such as hurricane recovery costs, environmental control costs, or costs associated with deregulation of the electricity market</w:t>
      </w:r>
    </w:p>
    <w:p w:rsidR="0011786C" w:rsidRPr="00832647" w:rsidRDefault="007F4FB1" w:rsidP="0011786C">
      <w:pPr>
        <w:pStyle w:val="ListParagraph"/>
        <w:numPr>
          <w:ilvl w:val="0"/>
          <w:numId w:val="9"/>
        </w:numPr>
        <w:ind w:right="160"/>
        <w:rPr>
          <w:rFonts w:ascii="Arial" w:eastAsia="Courier New" w:hAnsi="Arial"/>
          <w:b/>
          <w:sz w:val="24"/>
          <w:szCs w:val="24"/>
        </w:rPr>
      </w:pPr>
      <w:r w:rsidRPr="00832647">
        <w:rPr>
          <w:rFonts w:ascii="Arial" w:eastAsia="Courier New" w:hAnsi="Arial"/>
          <w:b/>
          <w:sz w:val="24"/>
          <w:szCs w:val="24"/>
        </w:rPr>
        <w:t xml:space="preserve">All of these take costs that have been incurred and spread their recovery over several </w:t>
      </w:r>
      <w:r w:rsidR="00832647" w:rsidRPr="00832647">
        <w:rPr>
          <w:rFonts w:ascii="Arial" w:eastAsia="Courier New" w:hAnsi="Arial"/>
          <w:b/>
          <w:sz w:val="24"/>
          <w:szCs w:val="24"/>
        </w:rPr>
        <w:t>years</w:t>
      </w:r>
      <w:r w:rsidRPr="00832647">
        <w:rPr>
          <w:rFonts w:ascii="Arial" w:eastAsia="Courier New" w:hAnsi="Arial"/>
          <w:b/>
          <w:sz w:val="24"/>
          <w:szCs w:val="24"/>
        </w:rPr>
        <w:t xml:space="preserve"> and decades through financing arrangements similar to the FHP….in fact, those </w:t>
      </w:r>
      <w:r w:rsidR="00832647" w:rsidRPr="00832647">
        <w:rPr>
          <w:rFonts w:ascii="Arial" w:eastAsia="Courier New" w:hAnsi="Arial"/>
          <w:b/>
          <w:sz w:val="24"/>
          <w:szCs w:val="24"/>
        </w:rPr>
        <w:t>precedents</w:t>
      </w:r>
      <w:r w:rsidRPr="00832647">
        <w:rPr>
          <w:rFonts w:ascii="Arial" w:eastAsia="Courier New" w:hAnsi="Arial"/>
          <w:b/>
          <w:sz w:val="24"/>
          <w:szCs w:val="24"/>
        </w:rPr>
        <w:t xml:space="preserve"> were used to help determine the form of the legislation we understand</w:t>
      </w:r>
      <w:r w:rsidR="0011786C" w:rsidRPr="00832647">
        <w:rPr>
          <w:rFonts w:ascii="Arial" w:eastAsia="Courier New" w:hAnsi="Arial"/>
          <w:b/>
          <w:sz w:val="24"/>
          <w:szCs w:val="24"/>
        </w:rPr>
        <w:t>.</w:t>
      </w:r>
    </w:p>
    <w:p w:rsidR="0011786C" w:rsidRPr="007F4FB1" w:rsidRDefault="0011786C" w:rsidP="0012427E">
      <w:pPr>
        <w:rPr>
          <w:rFonts w:ascii="Tahoma" w:eastAsia="Times New Roman" w:hAnsi="Tahoma" w:cs="Tahoma"/>
          <w:b/>
          <w:color w:val="000000"/>
          <w:sz w:val="24"/>
          <w:szCs w:val="24"/>
        </w:rPr>
      </w:pPr>
    </w:p>
    <w:p w:rsidR="0011786C" w:rsidRDefault="0011786C" w:rsidP="0012427E">
      <w:pPr>
        <w:rPr>
          <w:rFonts w:ascii="Tahoma" w:eastAsia="Times New Roman" w:hAnsi="Tahoma" w:cs="Tahoma"/>
          <w:b/>
          <w:color w:val="000000"/>
          <w:sz w:val="24"/>
          <w:szCs w:val="24"/>
        </w:rPr>
      </w:pPr>
    </w:p>
    <w:p w:rsidR="0012427E" w:rsidRPr="009319F4" w:rsidRDefault="0012427E" w:rsidP="0012427E">
      <w:pPr>
        <w:rPr>
          <w:rFonts w:ascii="Tahoma" w:eastAsia="Times New Roman" w:hAnsi="Tahoma" w:cs="Tahoma"/>
          <w:b/>
          <w:color w:val="000000"/>
          <w:sz w:val="24"/>
          <w:szCs w:val="24"/>
        </w:rPr>
      </w:pPr>
    </w:p>
    <w:p w:rsidR="0012427E" w:rsidRPr="009319F4" w:rsidRDefault="0012427E" w:rsidP="0012427E">
      <w:pPr>
        <w:pStyle w:val="ListParagraph"/>
        <w:numPr>
          <w:ilvl w:val="0"/>
          <w:numId w:val="1"/>
        </w:numPr>
        <w:jc w:val="center"/>
        <w:rPr>
          <w:rFonts w:ascii="Tahoma" w:eastAsia="Times New Roman" w:hAnsi="Tahoma" w:cs="Tahoma"/>
          <w:b/>
          <w:color w:val="000000"/>
          <w:sz w:val="24"/>
          <w:szCs w:val="24"/>
        </w:rPr>
      </w:pPr>
      <w:r w:rsidRPr="009319F4">
        <w:rPr>
          <w:rFonts w:ascii="Tahoma" w:eastAsia="Times New Roman" w:hAnsi="Tahoma" w:cs="Tahoma"/>
          <w:b/>
          <w:color w:val="000000"/>
          <w:sz w:val="24"/>
          <w:szCs w:val="24"/>
        </w:rPr>
        <w:t>OPG and Fair Hydro Plan</w:t>
      </w:r>
    </w:p>
    <w:p w:rsidR="0012427E" w:rsidRPr="009319F4" w:rsidRDefault="0012427E" w:rsidP="0012427E">
      <w:pPr>
        <w:rPr>
          <w:rFonts w:ascii="Tahoma" w:eastAsia="Times New Roman" w:hAnsi="Tahoma" w:cs="Tahoma"/>
          <w:b/>
          <w:color w:val="000000"/>
          <w:sz w:val="24"/>
          <w:szCs w:val="24"/>
        </w:rPr>
      </w:pPr>
    </w:p>
    <w:p w:rsidR="0012427E" w:rsidRPr="009319F4" w:rsidRDefault="0012427E" w:rsidP="0012427E">
      <w:pPr>
        <w:rPr>
          <w:rFonts w:ascii="Tahoma" w:eastAsia="Times New Roman" w:hAnsi="Tahoma" w:cs="Tahoma"/>
          <w:color w:val="000000"/>
          <w:sz w:val="24"/>
          <w:szCs w:val="24"/>
        </w:rPr>
      </w:pPr>
    </w:p>
    <w:p w:rsidR="0012427E" w:rsidRPr="00C1720F" w:rsidRDefault="0012427E" w:rsidP="0012427E">
      <w:pPr>
        <w:rPr>
          <w:rFonts w:ascii="Tahoma" w:eastAsia="Times New Roman" w:hAnsi="Tahoma" w:cs="Tahoma"/>
          <w:b/>
          <w:i/>
          <w:color w:val="000000"/>
          <w:sz w:val="24"/>
          <w:szCs w:val="24"/>
          <w:u w:val="single"/>
        </w:rPr>
      </w:pPr>
      <w:r w:rsidRPr="00C1720F">
        <w:rPr>
          <w:rFonts w:ascii="Tahoma" w:eastAsia="Times New Roman" w:hAnsi="Tahoma" w:cs="Tahoma"/>
          <w:b/>
          <w:i/>
          <w:color w:val="000000"/>
          <w:sz w:val="24"/>
          <w:szCs w:val="24"/>
          <w:u w:val="single"/>
        </w:rPr>
        <w:t>Question:</w:t>
      </w:r>
    </w:p>
    <w:p w:rsidR="0012427E" w:rsidRDefault="0012427E" w:rsidP="0012427E">
      <w:pPr>
        <w:rPr>
          <w:rFonts w:ascii="Tahoma" w:eastAsia="Times New Roman" w:hAnsi="Tahoma" w:cs="Tahoma"/>
          <w:color w:val="000000"/>
          <w:sz w:val="24"/>
          <w:szCs w:val="24"/>
        </w:rPr>
      </w:pPr>
      <w:r w:rsidRPr="00C1720F">
        <w:rPr>
          <w:rFonts w:ascii="Tahoma" w:eastAsia="Times New Roman" w:hAnsi="Tahoma" w:cs="Tahoma"/>
          <w:color w:val="000000"/>
          <w:sz w:val="24"/>
          <w:szCs w:val="24"/>
        </w:rPr>
        <w:t xml:space="preserve">Could you please tell us about what OPG’s role is in the administration and ongoing operation of the Fair Hydro Plan?  </w:t>
      </w:r>
    </w:p>
    <w:p w:rsidR="00CE3104" w:rsidRDefault="00CE3104" w:rsidP="0012427E">
      <w:pPr>
        <w:rPr>
          <w:rFonts w:ascii="Tahoma" w:eastAsia="Times New Roman" w:hAnsi="Tahoma" w:cs="Tahoma"/>
          <w:color w:val="000000"/>
          <w:sz w:val="24"/>
          <w:szCs w:val="24"/>
        </w:rPr>
      </w:pPr>
    </w:p>
    <w:p w:rsidR="007F4FB1" w:rsidRPr="00832647" w:rsidRDefault="007F4FB1" w:rsidP="00832647">
      <w:pPr>
        <w:pStyle w:val="ListParagraph"/>
        <w:numPr>
          <w:ilvl w:val="0"/>
          <w:numId w:val="9"/>
        </w:numPr>
        <w:spacing w:after="160" w:line="259" w:lineRule="auto"/>
        <w:rPr>
          <w:rFonts w:ascii="Arial" w:eastAsia="Courier New" w:hAnsi="Arial"/>
          <w:b/>
          <w:sz w:val="24"/>
          <w:szCs w:val="24"/>
        </w:rPr>
      </w:pPr>
      <w:r w:rsidRPr="00832647">
        <w:rPr>
          <w:rFonts w:ascii="Arial" w:eastAsia="Courier New" w:hAnsi="Arial"/>
          <w:b/>
          <w:sz w:val="24"/>
          <w:szCs w:val="24"/>
        </w:rPr>
        <w:t>OPG will be acted as the financing manager for the Fair Hydro legislation, basically arranging for a variety of debt financing.</w:t>
      </w:r>
    </w:p>
    <w:p w:rsidR="005653C1" w:rsidRPr="00832647" w:rsidRDefault="007F4FB1" w:rsidP="00832647">
      <w:pPr>
        <w:pStyle w:val="ListParagraph"/>
        <w:numPr>
          <w:ilvl w:val="0"/>
          <w:numId w:val="9"/>
        </w:numPr>
        <w:spacing w:after="160" w:line="259" w:lineRule="auto"/>
        <w:rPr>
          <w:rFonts w:ascii="Arial" w:eastAsia="Courier New" w:hAnsi="Arial"/>
          <w:b/>
          <w:sz w:val="24"/>
          <w:szCs w:val="24"/>
        </w:rPr>
      </w:pPr>
      <w:r w:rsidRPr="00832647">
        <w:rPr>
          <w:rFonts w:ascii="Arial" w:eastAsia="Courier New" w:hAnsi="Arial"/>
          <w:b/>
          <w:sz w:val="24"/>
          <w:szCs w:val="24"/>
        </w:rPr>
        <w:t xml:space="preserve">We have set up a financing </w:t>
      </w:r>
      <w:r w:rsidR="00D26CAD" w:rsidRPr="00832647">
        <w:rPr>
          <w:rFonts w:ascii="Arial" w:eastAsia="Courier New" w:hAnsi="Arial"/>
          <w:b/>
          <w:sz w:val="24"/>
          <w:szCs w:val="24"/>
        </w:rPr>
        <w:t xml:space="preserve">entity (Trust), which is </w:t>
      </w:r>
      <w:r w:rsidRPr="00832647">
        <w:rPr>
          <w:rFonts w:ascii="Arial" w:eastAsia="Courier New" w:hAnsi="Arial"/>
          <w:b/>
          <w:sz w:val="24"/>
          <w:szCs w:val="24"/>
        </w:rPr>
        <w:t>ring fenced from the generation activities of OPG in an effort ot reflect the unique nature of this business and not to put at risk the core generation assets of the company.</w:t>
      </w:r>
      <w:r w:rsidR="00D26CAD" w:rsidRPr="00832647">
        <w:rPr>
          <w:rFonts w:ascii="Arial" w:eastAsia="Courier New" w:hAnsi="Arial"/>
          <w:b/>
          <w:sz w:val="24"/>
          <w:szCs w:val="24"/>
        </w:rPr>
        <w:t xml:space="preserve"> </w:t>
      </w:r>
    </w:p>
    <w:p w:rsidR="00D87256" w:rsidRPr="00832647" w:rsidRDefault="00CE3104" w:rsidP="00832647">
      <w:pPr>
        <w:pStyle w:val="ListParagraph"/>
        <w:numPr>
          <w:ilvl w:val="0"/>
          <w:numId w:val="9"/>
        </w:numPr>
        <w:spacing w:after="160" w:line="259" w:lineRule="auto"/>
        <w:rPr>
          <w:rFonts w:ascii="Arial" w:eastAsia="Courier New" w:hAnsi="Arial"/>
          <w:b/>
          <w:sz w:val="24"/>
          <w:szCs w:val="24"/>
        </w:rPr>
      </w:pPr>
      <w:r w:rsidRPr="00832647">
        <w:rPr>
          <w:rFonts w:ascii="Arial" w:eastAsia="Courier New" w:hAnsi="Arial"/>
          <w:b/>
          <w:sz w:val="24"/>
          <w:szCs w:val="24"/>
        </w:rPr>
        <w:lastRenderedPageBreak/>
        <w:t>Under current forecasts</w:t>
      </w:r>
      <w:r w:rsidR="007F4FB1" w:rsidRPr="00832647">
        <w:rPr>
          <w:rFonts w:ascii="Arial" w:eastAsia="Courier New" w:hAnsi="Arial"/>
          <w:b/>
          <w:sz w:val="24"/>
          <w:szCs w:val="24"/>
        </w:rPr>
        <w:t xml:space="preserve"> from the Province, about </w:t>
      </w:r>
      <w:r w:rsidRPr="00832647">
        <w:rPr>
          <w:rFonts w:ascii="Arial" w:eastAsia="Courier New" w:hAnsi="Arial"/>
          <w:b/>
          <w:sz w:val="24"/>
          <w:szCs w:val="24"/>
        </w:rPr>
        <w:t>$2.</w:t>
      </w:r>
      <w:r w:rsidR="007F4FB1" w:rsidRPr="00832647">
        <w:rPr>
          <w:rFonts w:ascii="Arial" w:eastAsia="Courier New" w:hAnsi="Arial"/>
          <w:b/>
          <w:sz w:val="24"/>
          <w:szCs w:val="24"/>
        </w:rPr>
        <w:t>0</w:t>
      </w:r>
      <w:r w:rsidRPr="00832647">
        <w:rPr>
          <w:rFonts w:ascii="Arial" w:eastAsia="Courier New" w:hAnsi="Arial"/>
          <w:b/>
          <w:sz w:val="24"/>
          <w:szCs w:val="24"/>
        </w:rPr>
        <w:t xml:space="preserve"> billion per year </w:t>
      </w:r>
      <w:r w:rsidR="00D87256" w:rsidRPr="00832647">
        <w:rPr>
          <w:rFonts w:ascii="Arial" w:eastAsia="Courier New" w:hAnsi="Arial"/>
          <w:b/>
          <w:sz w:val="24"/>
          <w:szCs w:val="24"/>
        </w:rPr>
        <w:t>will need to be financed representing reductions in customer bills that will be funded through the Trust raising debt at market rates</w:t>
      </w:r>
      <w:r w:rsidRPr="00832647">
        <w:rPr>
          <w:rFonts w:ascii="Arial" w:eastAsia="Courier New" w:hAnsi="Arial"/>
          <w:b/>
          <w:sz w:val="24"/>
          <w:szCs w:val="24"/>
        </w:rPr>
        <w:t xml:space="preserve">. </w:t>
      </w:r>
    </w:p>
    <w:p w:rsidR="00D87256" w:rsidRPr="00832647" w:rsidRDefault="00D87256" w:rsidP="00832647">
      <w:pPr>
        <w:pStyle w:val="ListParagraph"/>
        <w:numPr>
          <w:ilvl w:val="0"/>
          <w:numId w:val="9"/>
        </w:numPr>
        <w:spacing w:after="160" w:line="259" w:lineRule="auto"/>
        <w:rPr>
          <w:rFonts w:ascii="Arial" w:eastAsia="Courier New" w:hAnsi="Arial"/>
          <w:b/>
          <w:sz w:val="24"/>
          <w:szCs w:val="24"/>
        </w:rPr>
      </w:pPr>
      <w:r w:rsidRPr="00832647">
        <w:rPr>
          <w:rFonts w:ascii="Arial" w:eastAsia="Courier New" w:hAnsi="Arial"/>
          <w:b/>
          <w:sz w:val="24"/>
          <w:szCs w:val="24"/>
        </w:rPr>
        <w:t xml:space="preserve">In </w:t>
      </w:r>
      <w:r w:rsidR="00832647" w:rsidRPr="00832647">
        <w:rPr>
          <w:rFonts w:ascii="Arial" w:eastAsia="Courier New" w:hAnsi="Arial"/>
          <w:b/>
          <w:sz w:val="24"/>
          <w:szCs w:val="24"/>
        </w:rPr>
        <w:t>addition</w:t>
      </w:r>
      <w:r w:rsidRPr="00832647">
        <w:rPr>
          <w:rFonts w:ascii="Arial" w:eastAsia="Courier New" w:hAnsi="Arial"/>
          <w:b/>
          <w:sz w:val="24"/>
          <w:szCs w:val="24"/>
        </w:rPr>
        <w:t xml:space="preserve"> to third party debt, the Province and OPG itself will contribute additional funds through increased equity and debt of the OPG operating company that will be leant to the Trust, also at equivalent market rates</w:t>
      </w:r>
    </w:p>
    <w:p w:rsidR="0012427E" w:rsidRPr="009319F4" w:rsidRDefault="0012427E" w:rsidP="0012427E">
      <w:pPr>
        <w:rPr>
          <w:rFonts w:ascii="Tahoma" w:hAnsi="Tahoma" w:cs="Tahoma"/>
          <w:b/>
          <w:sz w:val="24"/>
          <w:szCs w:val="24"/>
        </w:rPr>
      </w:pPr>
    </w:p>
    <w:p w:rsidR="0012427E" w:rsidRPr="009319F4" w:rsidRDefault="0012427E" w:rsidP="0012427E">
      <w:pPr>
        <w:pStyle w:val="ListParagraph"/>
        <w:numPr>
          <w:ilvl w:val="0"/>
          <w:numId w:val="1"/>
        </w:numPr>
        <w:jc w:val="center"/>
        <w:rPr>
          <w:rFonts w:ascii="Tahoma" w:hAnsi="Tahoma" w:cs="Tahoma"/>
          <w:b/>
          <w:sz w:val="24"/>
          <w:szCs w:val="24"/>
        </w:rPr>
      </w:pPr>
      <w:r w:rsidRPr="009319F4">
        <w:rPr>
          <w:rFonts w:ascii="Tahoma" w:hAnsi="Tahoma" w:cs="Tahoma"/>
          <w:b/>
          <w:sz w:val="24"/>
          <w:szCs w:val="24"/>
        </w:rPr>
        <w:t>OPG and Fair Hydro Plan</w:t>
      </w:r>
    </w:p>
    <w:p w:rsidR="0012427E" w:rsidRPr="009319F4" w:rsidRDefault="0012427E" w:rsidP="0012427E">
      <w:pPr>
        <w:rPr>
          <w:rFonts w:ascii="Tahoma" w:hAnsi="Tahoma" w:cs="Tahoma"/>
          <w:sz w:val="24"/>
          <w:szCs w:val="24"/>
        </w:rPr>
      </w:pPr>
    </w:p>
    <w:p w:rsidR="0012427E" w:rsidRPr="00C1720F" w:rsidRDefault="0012427E" w:rsidP="0012427E">
      <w:pPr>
        <w:rPr>
          <w:rFonts w:ascii="Tahoma" w:hAnsi="Tahoma" w:cs="Tahoma"/>
          <w:b/>
          <w:i/>
          <w:sz w:val="24"/>
          <w:szCs w:val="24"/>
          <w:u w:val="single"/>
        </w:rPr>
      </w:pPr>
      <w:r w:rsidRPr="00C1720F">
        <w:rPr>
          <w:rFonts w:ascii="Tahoma" w:hAnsi="Tahoma" w:cs="Tahoma"/>
          <w:b/>
          <w:i/>
          <w:sz w:val="24"/>
          <w:szCs w:val="24"/>
          <w:u w:val="single"/>
        </w:rPr>
        <w:t>Question:</w:t>
      </w:r>
    </w:p>
    <w:p w:rsidR="0012427E" w:rsidRPr="009319F4" w:rsidRDefault="0012427E" w:rsidP="0012427E">
      <w:pPr>
        <w:rPr>
          <w:rFonts w:ascii="Tahoma" w:hAnsi="Tahoma" w:cs="Tahoma"/>
          <w:sz w:val="24"/>
          <w:szCs w:val="24"/>
        </w:rPr>
      </w:pPr>
      <w:r w:rsidRPr="009319F4">
        <w:rPr>
          <w:rFonts w:ascii="Tahoma" w:hAnsi="Tahoma" w:cs="Tahoma"/>
          <w:sz w:val="24"/>
          <w:szCs w:val="24"/>
        </w:rPr>
        <w:t xml:space="preserve">But is it unusual for an organization like yours to take on this responsibility? </w:t>
      </w:r>
    </w:p>
    <w:p w:rsidR="0012427E" w:rsidRDefault="0012427E" w:rsidP="0012427E">
      <w:pPr>
        <w:rPr>
          <w:rFonts w:ascii="Tahoma" w:hAnsi="Tahoma" w:cs="Tahoma"/>
          <w:sz w:val="24"/>
          <w:szCs w:val="24"/>
        </w:rPr>
      </w:pPr>
      <w:r>
        <w:rPr>
          <w:rFonts w:ascii="Tahoma" w:hAnsi="Tahoma" w:cs="Tahoma"/>
          <w:sz w:val="24"/>
          <w:szCs w:val="24"/>
        </w:rPr>
        <w:br/>
      </w:r>
      <w:r w:rsidRPr="00C1720F">
        <w:rPr>
          <w:rFonts w:ascii="Tahoma" w:hAnsi="Tahoma" w:cs="Tahoma"/>
          <w:sz w:val="24"/>
          <w:szCs w:val="24"/>
        </w:rPr>
        <w:t xml:space="preserve">Could you please explain why OPG might be the appropriate entity to play this kind of role—do you think you are adding value to the process by acting as the Financial Services Manager? </w:t>
      </w:r>
      <w:r w:rsidRPr="00C1720F">
        <w:rPr>
          <w:rFonts w:ascii="Tahoma" w:hAnsi="Tahoma" w:cs="Tahoma"/>
          <w:sz w:val="24"/>
          <w:szCs w:val="24"/>
        </w:rPr>
        <w:br/>
      </w:r>
    </w:p>
    <w:p w:rsidR="00D87256" w:rsidRPr="00832647" w:rsidRDefault="00CE3104" w:rsidP="00D505F9">
      <w:pPr>
        <w:pStyle w:val="ListParagraph"/>
        <w:numPr>
          <w:ilvl w:val="0"/>
          <w:numId w:val="6"/>
        </w:numPr>
        <w:spacing w:after="80"/>
        <w:contextualSpacing w:val="0"/>
        <w:rPr>
          <w:rFonts w:ascii="Arial" w:eastAsia="Courier New" w:hAnsi="Arial"/>
          <w:b/>
          <w:sz w:val="24"/>
          <w:szCs w:val="24"/>
        </w:rPr>
      </w:pPr>
      <w:r w:rsidRPr="00832647">
        <w:rPr>
          <w:rFonts w:ascii="Arial" w:eastAsia="Courier New" w:hAnsi="Arial"/>
          <w:b/>
          <w:sz w:val="24"/>
          <w:szCs w:val="24"/>
        </w:rPr>
        <w:t xml:space="preserve">OPG </w:t>
      </w:r>
      <w:r w:rsidR="00D87256" w:rsidRPr="00832647">
        <w:rPr>
          <w:rFonts w:ascii="Arial" w:eastAsia="Courier New" w:hAnsi="Arial"/>
          <w:b/>
          <w:sz w:val="24"/>
          <w:szCs w:val="24"/>
        </w:rPr>
        <w:t xml:space="preserve">is uniquely positioned as we understand the supply / demand characteristics of the market, we regularly interact with the OEB, IESO and we have experience in </w:t>
      </w:r>
      <w:r w:rsidR="00832647" w:rsidRPr="00832647">
        <w:rPr>
          <w:rFonts w:ascii="Arial" w:eastAsia="Courier New" w:hAnsi="Arial"/>
          <w:b/>
          <w:sz w:val="24"/>
          <w:szCs w:val="24"/>
        </w:rPr>
        <w:t>Treasury</w:t>
      </w:r>
      <w:r w:rsidR="00D87256" w:rsidRPr="00832647">
        <w:rPr>
          <w:rFonts w:ascii="Arial" w:eastAsia="Courier New" w:hAnsi="Arial"/>
          <w:b/>
          <w:sz w:val="24"/>
          <w:szCs w:val="24"/>
        </w:rPr>
        <w:t xml:space="preserve"> </w:t>
      </w:r>
      <w:r w:rsidR="00832647" w:rsidRPr="00832647">
        <w:rPr>
          <w:rFonts w:ascii="Arial" w:eastAsia="Courier New" w:hAnsi="Arial"/>
          <w:b/>
          <w:sz w:val="24"/>
          <w:szCs w:val="24"/>
        </w:rPr>
        <w:t>operations</w:t>
      </w:r>
      <w:r w:rsidR="00D87256" w:rsidRPr="00832647">
        <w:rPr>
          <w:rFonts w:ascii="Arial" w:eastAsia="Courier New" w:hAnsi="Arial"/>
          <w:b/>
          <w:sz w:val="24"/>
          <w:szCs w:val="24"/>
        </w:rPr>
        <w:t xml:space="preserve"> in the marketplace including relationships with </w:t>
      </w:r>
      <w:r w:rsidR="00832647" w:rsidRPr="00832647">
        <w:rPr>
          <w:rFonts w:ascii="Arial" w:eastAsia="Courier New" w:hAnsi="Arial"/>
          <w:b/>
          <w:sz w:val="24"/>
          <w:szCs w:val="24"/>
        </w:rPr>
        <w:t>credit</w:t>
      </w:r>
      <w:r w:rsidR="00D87256" w:rsidRPr="00832647">
        <w:rPr>
          <w:rFonts w:ascii="Arial" w:eastAsia="Courier New" w:hAnsi="Arial"/>
          <w:b/>
          <w:sz w:val="24"/>
          <w:szCs w:val="24"/>
        </w:rPr>
        <w:t xml:space="preserve"> rating agencies, investment banks and dealers </w:t>
      </w:r>
    </w:p>
    <w:p w:rsidR="00D87256" w:rsidRPr="00832647" w:rsidRDefault="00D87256" w:rsidP="00D505F9">
      <w:pPr>
        <w:pStyle w:val="ListParagraph"/>
        <w:numPr>
          <w:ilvl w:val="0"/>
          <w:numId w:val="6"/>
        </w:numPr>
        <w:spacing w:after="80"/>
        <w:contextualSpacing w:val="0"/>
        <w:rPr>
          <w:rFonts w:ascii="Arial" w:eastAsia="Courier New" w:hAnsi="Arial"/>
          <w:b/>
          <w:sz w:val="24"/>
          <w:szCs w:val="24"/>
        </w:rPr>
      </w:pPr>
      <w:r w:rsidRPr="00832647">
        <w:rPr>
          <w:rFonts w:ascii="Arial" w:eastAsia="Courier New" w:hAnsi="Arial"/>
          <w:b/>
          <w:sz w:val="24"/>
          <w:szCs w:val="24"/>
        </w:rPr>
        <w:t xml:space="preserve">This combination and diversity of skills position OPG to add value in the opertaion of </w:t>
      </w:r>
      <w:r w:rsidR="00832647" w:rsidRPr="00832647">
        <w:rPr>
          <w:rFonts w:ascii="Arial" w:eastAsia="Courier New" w:hAnsi="Arial"/>
          <w:b/>
          <w:sz w:val="24"/>
          <w:szCs w:val="24"/>
        </w:rPr>
        <w:t>the</w:t>
      </w:r>
      <w:r w:rsidRPr="00832647">
        <w:rPr>
          <w:rFonts w:ascii="Arial" w:eastAsia="Courier New" w:hAnsi="Arial"/>
          <w:b/>
          <w:sz w:val="24"/>
          <w:szCs w:val="24"/>
        </w:rPr>
        <w:t xml:space="preserve"> FHP.</w:t>
      </w:r>
    </w:p>
    <w:p w:rsidR="00CE3104" w:rsidRDefault="00CE3104" w:rsidP="0012427E">
      <w:pPr>
        <w:rPr>
          <w:rFonts w:ascii="Tahoma" w:hAnsi="Tahoma" w:cs="Tahoma"/>
          <w:sz w:val="24"/>
          <w:szCs w:val="24"/>
        </w:rPr>
      </w:pPr>
    </w:p>
    <w:p w:rsidR="00CE3104" w:rsidRPr="00C1720F" w:rsidRDefault="00CE3104" w:rsidP="0012427E">
      <w:pPr>
        <w:rPr>
          <w:rFonts w:ascii="Tahoma" w:hAnsi="Tahoma" w:cs="Tahoma"/>
          <w:sz w:val="24"/>
          <w:szCs w:val="24"/>
        </w:rPr>
      </w:pPr>
    </w:p>
    <w:p w:rsidR="0012427E" w:rsidRPr="009319F4" w:rsidRDefault="0012427E" w:rsidP="0012427E">
      <w:pPr>
        <w:pStyle w:val="ListParagraph"/>
        <w:numPr>
          <w:ilvl w:val="0"/>
          <w:numId w:val="1"/>
        </w:numPr>
        <w:jc w:val="center"/>
        <w:rPr>
          <w:rFonts w:ascii="Tahoma" w:hAnsi="Tahoma" w:cs="Tahoma"/>
          <w:b/>
          <w:sz w:val="24"/>
          <w:szCs w:val="24"/>
        </w:rPr>
      </w:pPr>
      <w:r w:rsidRPr="009319F4">
        <w:rPr>
          <w:rFonts w:ascii="Tahoma" w:hAnsi="Tahoma" w:cs="Tahoma"/>
          <w:b/>
          <w:sz w:val="24"/>
          <w:szCs w:val="24"/>
        </w:rPr>
        <w:t>OPG Accounting and Transparency</w:t>
      </w:r>
    </w:p>
    <w:p w:rsidR="0012427E" w:rsidRPr="009319F4" w:rsidRDefault="0012427E" w:rsidP="0012427E">
      <w:pPr>
        <w:rPr>
          <w:rFonts w:ascii="Tahoma" w:hAnsi="Tahoma" w:cs="Tahoma"/>
          <w:sz w:val="24"/>
          <w:szCs w:val="24"/>
        </w:rPr>
      </w:pPr>
    </w:p>
    <w:p w:rsidR="0012427E" w:rsidRPr="00C1720F" w:rsidRDefault="0012427E" w:rsidP="0012427E">
      <w:pPr>
        <w:rPr>
          <w:rFonts w:ascii="Tahoma" w:hAnsi="Tahoma" w:cs="Tahoma"/>
          <w:b/>
          <w:i/>
          <w:sz w:val="24"/>
          <w:szCs w:val="24"/>
          <w:u w:val="single"/>
        </w:rPr>
      </w:pPr>
      <w:r w:rsidRPr="00C1720F">
        <w:rPr>
          <w:rFonts w:ascii="Tahoma" w:hAnsi="Tahoma" w:cs="Tahoma"/>
          <w:b/>
          <w:i/>
          <w:sz w:val="24"/>
          <w:szCs w:val="24"/>
          <w:u w:val="single"/>
        </w:rPr>
        <w:t xml:space="preserve">Question: </w:t>
      </w:r>
    </w:p>
    <w:p w:rsidR="0012427E" w:rsidRPr="00C1720F" w:rsidRDefault="0012427E" w:rsidP="0012427E">
      <w:pPr>
        <w:rPr>
          <w:rFonts w:ascii="Tahoma" w:hAnsi="Tahoma" w:cs="Tahoma"/>
          <w:sz w:val="24"/>
          <w:szCs w:val="24"/>
        </w:rPr>
      </w:pPr>
      <w:r w:rsidRPr="00C1720F">
        <w:rPr>
          <w:rFonts w:ascii="Tahoma" w:hAnsi="Tahoma" w:cs="Tahoma"/>
          <w:sz w:val="24"/>
          <w:szCs w:val="24"/>
        </w:rPr>
        <w:t xml:space="preserve">Do you think the structure that’s been created to administer and operate the Fair Hydro Plan—and that OPG plays a role in—is a structure that will provide for transparency as it related to the borrowing and the accounting?  </w:t>
      </w:r>
    </w:p>
    <w:p w:rsidR="0012427E" w:rsidRDefault="0012427E" w:rsidP="0012427E">
      <w:pPr>
        <w:rPr>
          <w:rFonts w:ascii="Tahoma" w:hAnsi="Tahoma" w:cs="Tahoma"/>
          <w:b/>
          <w:sz w:val="24"/>
          <w:szCs w:val="24"/>
        </w:rPr>
      </w:pPr>
    </w:p>
    <w:p w:rsidR="00D87256" w:rsidRPr="00832647" w:rsidRDefault="00D87256" w:rsidP="006C4398">
      <w:pPr>
        <w:numPr>
          <w:ilvl w:val="0"/>
          <w:numId w:val="7"/>
        </w:numPr>
        <w:spacing w:after="80"/>
        <w:rPr>
          <w:rFonts w:ascii="Arial" w:eastAsia="Courier New" w:hAnsi="Arial"/>
          <w:b/>
          <w:sz w:val="24"/>
          <w:szCs w:val="24"/>
        </w:rPr>
      </w:pPr>
      <w:r w:rsidRPr="00832647">
        <w:rPr>
          <w:rFonts w:ascii="Arial" w:eastAsia="Courier New" w:hAnsi="Arial"/>
          <w:b/>
          <w:sz w:val="24"/>
          <w:szCs w:val="24"/>
        </w:rPr>
        <w:t>The structure that has been set up in fact ensures a higher level of transparency than is often seen with government programs</w:t>
      </w:r>
    </w:p>
    <w:p w:rsidR="00DE0C4E" w:rsidRPr="00832647" w:rsidRDefault="00D87256" w:rsidP="006C4398">
      <w:pPr>
        <w:numPr>
          <w:ilvl w:val="0"/>
          <w:numId w:val="7"/>
        </w:numPr>
        <w:spacing w:after="80"/>
        <w:rPr>
          <w:rFonts w:ascii="Arial" w:eastAsia="Courier New" w:hAnsi="Arial"/>
          <w:b/>
          <w:sz w:val="24"/>
          <w:szCs w:val="24"/>
        </w:rPr>
      </w:pPr>
      <w:r w:rsidRPr="00832647">
        <w:rPr>
          <w:rFonts w:ascii="Arial" w:eastAsia="Courier New" w:hAnsi="Arial"/>
          <w:b/>
          <w:sz w:val="24"/>
          <w:szCs w:val="24"/>
        </w:rPr>
        <w:t>As these deferred amounst are funded through true third party financing, that process by design in financial market space requires disclosure and oversight including credit rating agencies, the OEB, external audit of the Trust itself</w:t>
      </w:r>
      <w:r w:rsidR="00DE0C4E" w:rsidRPr="00832647">
        <w:rPr>
          <w:rFonts w:ascii="Arial" w:eastAsia="Courier New" w:hAnsi="Arial"/>
          <w:b/>
          <w:sz w:val="24"/>
          <w:szCs w:val="24"/>
        </w:rPr>
        <w:t>, additional OPG disclosure in its reports, oversight from lenders through Trust indenture documents</w:t>
      </w:r>
    </w:p>
    <w:p w:rsidR="006E6088" w:rsidRPr="00832647" w:rsidRDefault="00DE0C4E" w:rsidP="00DE0C4E">
      <w:pPr>
        <w:numPr>
          <w:ilvl w:val="0"/>
          <w:numId w:val="7"/>
        </w:numPr>
        <w:spacing w:after="80"/>
        <w:rPr>
          <w:rFonts w:ascii="Arial" w:eastAsia="Courier New" w:hAnsi="Arial"/>
          <w:b/>
          <w:sz w:val="24"/>
          <w:szCs w:val="24"/>
        </w:rPr>
      </w:pPr>
      <w:r w:rsidRPr="00832647">
        <w:rPr>
          <w:rFonts w:ascii="Arial" w:eastAsia="Courier New" w:hAnsi="Arial"/>
          <w:b/>
          <w:sz w:val="24"/>
          <w:szCs w:val="24"/>
        </w:rPr>
        <w:t xml:space="preserve">By comparison, this level of disclosure is often missing in government funded </w:t>
      </w:r>
    </w:p>
    <w:p w:rsidR="006C4398" w:rsidRDefault="006C4398" w:rsidP="0012427E">
      <w:pPr>
        <w:rPr>
          <w:rFonts w:ascii="Tahoma" w:hAnsi="Tahoma" w:cs="Tahoma"/>
          <w:b/>
          <w:sz w:val="32"/>
          <w:szCs w:val="24"/>
        </w:rPr>
      </w:pPr>
    </w:p>
    <w:p w:rsidR="00DE0C4E" w:rsidRPr="006E6088" w:rsidRDefault="00DE0C4E" w:rsidP="0012427E">
      <w:pPr>
        <w:rPr>
          <w:rFonts w:ascii="Tahoma" w:hAnsi="Tahoma" w:cs="Tahoma"/>
          <w:b/>
          <w:sz w:val="32"/>
          <w:szCs w:val="24"/>
        </w:rPr>
      </w:pPr>
    </w:p>
    <w:p w:rsidR="0012427E" w:rsidRPr="009319F4" w:rsidRDefault="0012427E" w:rsidP="0012427E">
      <w:pPr>
        <w:rPr>
          <w:rFonts w:ascii="Tahoma" w:hAnsi="Tahoma" w:cs="Tahoma"/>
          <w:b/>
          <w:sz w:val="24"/>
          <w:szCs w:val="24"/>
        </w:rPr>
      </w:pPr>
    </w:p>
    <w:p w:rsidR="0012427E" w:rsidRPr="009319F4" w:rsidRDefault="0012427E" w:rsidP="0012427E">
      <w:pPr>
        <w:pStyle w:val="ListParagraph"/>
        <w:numPr>
          <w:ilvl w:val="0"/>
          <w:numId w:val="1"/>
        </w:numPr>
        <w:jc w:val="center"/>
        <w:rPr>
          <w:rFonts w:ascii="Tahoma" w:hAnsi="Tahoma" w:cs="Tahoma"/>
          <w:b/>
          <w:sz w:val="24"/>
          <w:szCs w:val="24"/>
        </w:rPr>
      </w:pPr>
      <w:r w:rsidRPr="009319F4">
        <w:rPr>
          <w:rFonts w:ascii="Tahoma" w:hAnsi="Tahoma" w:cs="Tahoma"/>
          <w:b/>
          <w:sz w:val="24"/>
          <w:szCs w:val="24"/>
        </w:rPr>
        <w:t>OPG Accounting and External Experts</w:t>
      </w:r>
    </w:p>
    <w:p w:rsidR="0012427E" w:rsidRPr="009319F4" w:rsidRDefault="0012427E" w:rsidP="0012427E">
      <w:pPr>
        <w:rPr>
          <w:rFonts w:ascii="Tahoma" w:hAnsi="Tahoma" w:cs="Tahoma"/>
          <w:sz w:val="24"/>
          <w:szCs w:val="24"/>
        </w:rPr>
      </w:pPr>
    </w:p>
    <w:p w:rsidR="0012427E" w:rsidRPr="00C1720F" w:rsidRDefault="0012427E" w:rsidP="0012427E">
      <w:pPr>
        <w:rPr>
          <w:rFonts w:ascii="Tahoma" w:hAnsi="Tahoma" w:cs="Tahoma"/>
          <w:b/>
          <w:i/>
          <w:sz w:val="24"/>
          <w:szCs w:val="24"/>
          <w:u w:val="single"/>
        </w:rPr>
      </w:pPr>
      <w:r w:rsidRPr="00C1720F">
        <w:rPr>
          <w:rFonts w:ascii="Tahoma" w:hAnsi="Tahoma" w:cs="Tahoma"/>
          <w:b/>
          <w:i/>
          <w:sz w:val="24"/>
          <w:szCs w:val="24"/>
          <w:u w:val="single"/>
        </w:rPr>
        <w:t>Question:</w:t>
      </w:r>
    </w:p>
    <w:p w:rsidR="0012427E" w:rsidRPr="00C1720F" w:rsidRDefault="0012427E" w:rsidP="0012427E">
      <w:pPr>
        <w:rPr>
          <w:rFonts w:ascii="Tahoma" w:hAnsi="Tahoma" w:cs="Tahoma"/>
          <w:sz w:val="24"/>
          <w:szCs w:val="24"/>
        </w:rPr>
      </w:pPr>
      <w:r w:rsidRPr="00C1720F">
        <w:rPr>
          <w:rFonts w:ascii="Tahoma" w:hAnsi="Tahoma" w:cs="Tahoma"/>
          <w:sz w:val="24"/>
          <w:szCs w:val="24"/>
        </w:rPr>
        <w:t xml:space="preserve">Could you explain what sort of external expertise you enlisted, and please explain what counsel these experts provided with respect to the structure that has been set up and the accounting that will be used?  </w:t>
      </w:r>
    </w:p>
    <w:p w:rsidR="005F4031" w:rsidRPr="00832647" w:rsidRDefault="00DE0C4E" w:rsidP="006E6088">
      <w:pPr>
        <w:pStyle w:val="ListParagraph"/>
        <w:numPr>
          <w:ilvl w:val="0"/>
          <w:numId w:val="8"/>
        </w:numPr>
        <w:rPr>
          <w:rFonts w:ascii="Arial" w:eastAsia="Courier New" w:hAnsi="Arial"/>
          <w:b/>
          <w:sz w:val="24"/>
          <w:szCs w:val="24"/>
        </w:rPr>
      </w:pPr>
      <w:r w:rsidRPr="00832647">
        <w:rPr>
          <w:rFonts w:ascii="Arial" w:eastAsia="Courier New" w:hAnsi="Arial"/>
          <w:b/>
          <w:sz w:val="24"/>
          <w:szCs w:val="24"/>
        </w:rPr>
        <w:t xml:space="preserve">Respected investment dealers including </w:t>
      </w:r>
      <w:r w:rsidR="006E6088" w:rsidRPr="00832647">
        <w:rPr>
          <w:rFonts w:ascii="Arial" w:eastAsia="Courier New" w:hAnsi="Arial"/>
          <w:b/>
          <w:sz w:val="24"/>
          <w:szCs w:val="24"/>
        </w:rPr>
        <w:t xml:space="preserve">CIBC, RBC and Goldman Sacs </w:t>
      </w:r>
      <w:r w:rsidRPr="00832647">
        <w:rPr>
          <w:rFonts w:ascii="Arial" w:eastAsia="Courier New" w:hAnsi="Arial"/>
          <w:b/>
          <w:sz w:val="24"/>
          <w:szCs w:val="24"/>
        </w:rPr>
        <w:t>were used to provide real world advice on how to set up and structure the financing vehicle.  Their objective was to maximize the rating for this debt and therefore minimize borrowing costs for the debt raised.</w:t>
      </w:r>
    </w:p>
    <w:p w:rsidR="00DE0C4E" w:rsidRPr="00832647" w:rsidRDefault="00DE0C4E" w:rsidP="006E6088">
      <w:pPr>
        <w:pStyle w:val="ListParagraph"/>
        <w:numPr>
          <w:ilvl w:val="0"/>
          <w:numId w:val="8"/>
        </w:numPr>
        <w:rPr>
          <w:rFonts w:ascii="Arial" w:eastAsia="Courier New" w:hAnsi="Arial"/>
          <w:b/>
          <w:sz w:val="24"/>
          <w:szCs w:val="24"/>
        </w:rPr>
      </w:pPr>
      <w:r w:rsidRPr="00832647">
        <w:rPr>
          <w:rFonts w:ascii="Arial" w:eastAsia="Courier New" w:hAnsi="Arial"/>
          <w:b/>
          <w:sz w:val="24"/>
          <w:szCs w:val="24"/>
        </w:rPr>
        <w:t>A variety of lawyers were retained to develop legal documentation for OPG and the Triust itself (Torys), to provide independent legal advice to the dealers (Oslers) and separate legal advice to OPG’s Board (Faskin)</w:t>
      </w:r>
    </w:p>
    <w:p w:rsidR="00832647" w:rsidRPr="00832647" w:rsidRDefault="00DE0C4E" w:rsidP="00DE0C4E">
      <w:pPr>
        <w:pStyle w:val="ListParagraph"/>
        <w:numPr>
          <w:ilvl w:val="0"/>
          <w:numId w:val="8"/>
        </w:numPr>
        <w:rPr>
          <w:rFonts w:ascii="Arial" w:eastAsia="Courier New" w:hAnsi="Arial"/>
          <w:b/>
          <w:sz w:val="24"/>
          <w:szCs w:val="24"/>
        </w:rPr>
      </w:pPr>
      <w:r w:rsidRPr="00832647">
        <w:rPr>
          <w:rFonts w:ascii="Arial" w:eastAsia="Courier New" w:hAnsi="Arial"/>
          <w:b/>
          <w:sz w:val="24"/>
          <w:szCs w:val="24"/>
        </w:rPr>
        <w:t xml:space="preserve">Initial accounting advice was sought from Pwc and </w:t>
      </w:r>
      <w:r w:rsidR="00832647" w:rsidRPr="00832647">
        <w:rPr>
          <w:rFonts w:ascii="Arial" w:eastAsia="Courier New" w:hAnsi="Arial"/>
          <w:b/>
          <w:sz w:val="24"/>
          <w:szCs w:val="24"/>
        </w:rPr>
        <w:t>then</w:t>
      </w:r>
      <w:r w:rsidRPr="00832647">
        <w:rPr>
          <w:rFonts w:ascii="Arial" w:eastAsia="Courier New" w:hAnsi="Arial"/>
          <w:b/>
          <w:sz w:val="24"/>
          <w:szCs w:val="24"/>
        </w:rPr>
        <w:t xml:space="preserve"> OPG’s external </w:t>
      </w:r>
      <w:r w:rsidR="00832647" w:rsidRPr="00832647">
        <w:rPr>
          <w:rFonts w:ascii="Arial" w:eastAsia="Courier New" w:hAnsi="Arial"/>
          <w:b/>
          <w:sz w:val="24"/>
          <w:szCs w:val="24"/>
        </w:rPr>
        <w:t>auditors</w:t>
      </w:r>
      <w:r w:rsidRPr="00832647">
        <w:rPr>
          <w:rFonts w:ascii="Arial" w:eastAsia="Courier New" w:hAnsi="Arial"/>
          <w:b/>
          <w:sz w:val="24"/>
          <w:szCs w:val="24"/>
        </w:rPr>
        <w:t xml:space="preserve"> (EY) worked with OPG to provide confirmation under both US GAAP and IFRS for this new business venture</w:t>
      </w:r>
      <w:r w:rsidR="00832647" w:rsidRPr="00832647">
        <w:rPr>
          <w:rFonts w:ascii="Arial" w:eastAsia="Courier New" w:hAnsi="Arial"/>
          <w:b/>
          <w:sz w:val="24"/>
          <w:szCs w:val="24"/>
        </w:rPr>
        <w:t>.  Conditions under which consolidation of this venture would be made was a key outcome of this advice and helped frame the requirements for the legislation, regulations an</w:t>
      </w:r>
      <w:bookmarkStart w:id="0" w:name="_GoBack"/>
      <w:bookmarkEnd w:id="0"/>
      <w:r w:rsidR="00832647" w:rsidRPr="00832647">
        <w:rPr>
          <w:rFonts w:ascii="Arial" w:eastAsia="Courier New" w:hAnsi="Arial"/>
          <w:b/>
          <w:sz w:val="24"/>
          <w:szCs w:val="24"/>
        </w:rPr>
        <w:t>d agreements that needed to be negotiated.</w:t>
      </w:r>
    </w:p>
    <w:sectPr w:rsidR="00832647" w:rsidRPr="0083264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3A0D68"/>
    <w:multiLevelType w:val="hybridMultilevel"/>
    <w:tmpl w:val="E08266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9003DDA"/>
    <w:multiLevelType w:val="hybridMultilevel"/>
    <w:tmpl w:val="063C8B0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A1D0F88"/>
    <w:multiLevelType w:val="hybridMultilevel"/>
    <w:tmpl w:val="FEA83B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59D50D2F"/>
    <w:multiLevelType w:val="hybridMultilevel"/>
    <w:tmpl w:val="EC74DFF0"/>
    <w:lvl w:ilvl="0" w:tplc="BB10D540">
      <w:start w:val="1"/>
      <w:numFmt w:val="bullet"/>
      <w:lvlText w:val=""/>
      <w:lvlJc w:val="left"/>
      <w:pPr>
        <w:tabs>
          <w:tab w:val="num" w:pos="720"/>
        </w:tabs>
        <w:ind w:left="720" w:hanging="360"/>
      </w:pPr>
      <w:rPr>
        <w:rFonts w:ascii="Wingdings" w:hAnsi="Wingdings" w:hint="default"/>
      </w:rPr>
    </w:lvl>
    <w:lvl w:ilvl="1" w:tplc="A8067352" w:tentative="1">
      <w:start w:val="1"/>
      <w:numFmt w:val="bullet"/>
      <w:lvlText w:val=""/>
      <w:lvlJc w:val="left"/>
      <w:pPr>
        <w:tabs>
          <w:tab w:val="num" w:pos="1440"/>
        </w:tabs>
        <w:ind w:left="1440" w:hanging="360"/>
      </w:pPr>
      <w:rPr>
        <w:rFonts w:ascii="Wingdings" w:hAnsi="Wingdings" w:hint="default"/>
      </w:rPr>
    </w:lvl>
    <w:lvl w:ilvl="2" w:tplc="84EE26D8" w:tentative="1">
      <w:start w:val="1"/>
      <w:numFmt w:val="bullet"/>
      <w:lvlText w:val=""/>
      <w:lvlJc w:val="left"/>
      <w:pPr>
        <w:tabs>
          <w:tab w:val="num" w:pos="2160"/>
        </w:tabs>
        <w:ind w:left="2160" w:hanging="360"/>
      </w:pPr>
      <w:rPr>
        <w:rFonts w:ascii="Wingdings" w:hAnsi="Wingdings" w:hint="default"/>
      </w:rPr>
    </w:lvl>
    <w:lvl w:ilvl="3" w:tplc="AFE69BFE" w:tentative="1">
      <w:start w:val="1"/>
      <w:numFmt w:val="bullet"/>
      <w:lvlText w:val=""/>
      <w:lvlJc w:val="left"/>
      <w:pPr>
        <w:tabs>
          <w:tab w:val="num" w:pos="2880"/>
        </w:tabs>
        <w:ind w:left="2880" w:hanging="360"/>
      </w:pPr>
      <w:rPr>
        <w:rFonts w:ascii="Wingdings" w:hAnsi="Wingdings" w:hint="default"/>
      </w:rPr>
    </w:lvl>
    <w:lvl w:ilvl="4" w:tplc="D154FEE0" w:tentative="1">
      <w:start w:val="1"/>
      <w:numFmt w:val="bullet"/>
      <w:lvlText w:val=""/>
      <w:lvlJc w:val="left"/>
      <w:pPr>
        <w:tabs>
          <w:tab w:val="num" w:pos="3600"/>
        </w:tabs>
        <w:ind w:left="3600" w:hanging="360"/>
      </w:pPr>
      <w:rPr>
        <w:rFonts w:ascii="Wingdings" w:hAnsi="Wingdings" w:hint="default"/>
      </w:rPr>
    </w:lvl>
    <w:lvl w:ilvl="5" w:tplc="8B6C2418" w:tentative="1">
      <w:start w:val="1"/>
      <w:numFmt w:val="bullet"/>
      <w:lvlText w:val=""/>
      <w:lvlJc w:val="left"/>
      <w:pPr>
        <w:tabs>
          <w:tab w:val="num" w:pos="4320"/>
        </w:tabs>
        <w:ind w:left="4320" w:hanging="360"/>
      </w:pPr>
      <w:rPr>
        <w:rFonts w:ascii="Wingdings" w:hAnsi="Wingdings" w:hint="default"/>
      </w:rPr>
    </w:lvl>
    <w:lvl w:ilvl="6" w:tplc="321E03EC" w:tentative="1">
      <w:start w:val="1"/>
      <w:numFmt w:val="bullet"/>
      <w:lvlText w:val=""/>
      <w:lvlJc w:val="left"/>
      <w:pPr>
        <w:tabs>
          <w:tab w:val="num" w:pos="5040"/>
        </w:tabs>
        <w:ind w:left="5040" w:hanging="360"/>
      </w:pPr>
      <w:rPr>
        <w:rFonts w:ascii="Wingdings" w:hAnsi="Wingdings" w:hint="default"/>
      </w:rPr>
    </w:lvl>
    <w:lvl w:ilvl="7" w:tplc="AF0A7F8A" w:tentative="1">
      <w:start w:val="1"/>
      <w:numFmt w:val="bullet"/>
      <w:lvlText w:val=""/>
      <w:lvlJc w:val="left"/>
      <w:pPr>
        <w:tabs>
          <w:tab w:val="num" w:pos="5760"/>
        </w:tabs>
        <w:ind w:left="5760" w:hanging="360"/>
      </w:pPr>
      <w:rPr>
        <w:rFonts w:ascii="Wingdings" w:hAnsi="Wingdings" w:hint="default"/>
      </w:rPr>
    </w:lvl>
    <w:lvl w:ilvl="8" w:tplc="3A98444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BFF1AFB"/>
    <w:multiLevelType w:val="hybridMultilevel"/>
    <w:tmpl w:val="933E4194"/>
    <w:lvl w:ilvl="0" w:tplc="10090003">
      <w:start w:val="1"/>
      <w:numFmt w:val="bullet"/>
      <w:lvlText w:val="o"/>
      <w:lvlJc w:val="left"/>
      <w:pPr>
        <w:tabs>
          <w:tab w:val="num" w:pos="720"/>
        </w:tabs>
        <w:ind w:left="720" w:hanging="360"/>
      </w:pPr>
      <w:rPr>
        <w:rFonts w:ascii="Courier New" w:hAnsi="Courier New" w:cs="Courier New" w:hint="default"/>
      </w:rPr>
    </w:lvl>
    <w:lvl w:ilvl="1" w:tplc="BE9E3408">
      <w:start w:val="1"/>
      <w:numFmt w:val="bullet"/>
      <w:lvlText w:val="•"/>
      <w:lvlJc w:val="left"/>
      <w:pPr>
        <w:tabs>
          <w:tab w:val="num" w:pos="1440"/>
        </w:tabs>
        <w:ind w:left="1440" w:hanging="360"/>
      </w:pPr>
      <w:rPr>
        <w:rFonts w:ascii="Arial" w:hAnsi="Arial" w:hint="default"/>
      </w:rPr>
    </w:lvl>
    <w:lvl w:ilvl="2" w:tplc="6CF2DE36" w:tentative="1">
      <w:start w:val="1"/>
      <w:numFmt w:val="bullet"/>
      <w:lvlText w:val="•"/>
      <w:lvlJc w:val="left"/>
      <w:pPr>
        <w:tabs>
          <w:tab w:val="num" w:pos="2160"/>
        </w:tabs>
        <w:ind w:left="2160" w:hanging="360"/>
      </w:pPr>
      <w:rPr>
        <w:rFonts w:ascii="Arial" w:hAnsi="Arial" w:hint="default"/>
      </w:rPr>
    </w:lvl>
    <w:lvl w:ilvl="3" w:tplc="6DACE22E" w:tentative="1">
      <w:start w:val="1"/>
      <w:numFmt w:val="bullet"/>
      <w:lvlText w:val="•"/>
      <w:lvlJc w:val="left"/>
      <w:pPr>
        <w:tabs>
          <w:tab w:val="num" w:pos="2880"/>
        </w:tabs>
        <w:ind w:left="2880" w:hanging="360"/>
      </w:pPr>
      <w:rPr>
        <w:rFonts w:ascii="Arial" w:hAnsi="Arial" w:hint="default"/>
      </w:rPr>
    </w:lvl>
    <w:lvl w:ilvl="4" w:tplc="AFCCB65A" w:tentative="1">
      <w:start w:val="1"/>
      <w:numFmt w:val="bullet"/>
      <w:lvlText w:val="•"/>
      <w:lvlJc w:val="left"/>
      <w:pPr>
        <w:tabs>
          <w:tab w:val="num" w:pos="3600"/>
        </w:tabs>
        <w:ind w:left="3600" w:hanging="360"/>
      </w:pPr>
      <w:rPr>
        <w:rFonts w:ascii="Arial" w:hAnsi="Arial" w:hint="default"/>
      </w:rPr>
    </w:lvl>
    <w:lvl w:ilvl="5" w:tplc="493AB476" w:tentative="1">
      <w:start w:val="1"/>
      <w:numFmt w:val="bullet"/>
      <w:lvlText w:val="•"/>
      <w:lvlJc w:val="left"/>
      <w:pPr>
        <w:tabs>
          <w:tab w:val="num" w:pos="4320"/>
        </w:tabs>
        <w:ind w:left="4320" w:hanging="360"/>
      </w:pPr>
      <w:rPr>
        <w:rFonts w:ascii="Arial" w:hAnsi="Arial" w:hint="default"/>
      </w:rPr>
    </w:lvl>
    <w:lvl w:ilvl="6" w:tplc="8D8A51D4" w:tentative="1">
      <w:start w:val="1"/>
      <w:numFmt w:val="bullet"/>
      <w:lvlText w:val="•"/>
      <w:lvlJc w:val="left"/>
      <w:pPr>
        <w:tabs>
          <w:tab w:val="num" w:pos="5040"/>
        </w:tabs>
        <w:ind w:left="5040" w:hanging="360"/>
      </w:pPr>
      <w:rPr>
        <w:rFonts w:ascii="Arial" w:hAnsi="Arial" w:hint="default"/>
      </w:rPr>
    </w:lvl>
    <w:lvl w:ilvl="7" w:tplc="C7883448" w:tentative="1">
      <w:start w:val="1"/>
      <w:numFmt w:val="bullet"/>
      <w:lvlText w:val="•"/>
      <w:lvlJc w:val="left"/>
      <w:pPr>
        <w:tabs>
          <w:tab w:val="num" w:pos="5760"/>
        </w:tabs>
        <w:ind w:left="5760" w:hanging="360"/>
      </w:pPr>
      <w:rPr>
        <w:rFonts w:ascii="Arial" w:hAnsi="Arial" w:hint="default"/>
      </w:rPr>
    </w:lvl>
    <w:lvl w:ilvl="8" w:tplc="22F803C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F411C7E"/>
    <w:multiLevelType w:val="hybridMultilevel"/>
    <w:tmpl w:val="83640C9A"/>
    <w:lvl w:ilvl="0" w:tplc="BE2C5772">
      <w:start w:val="1"/>
      <w:numFmt w:val="bullet"/>
      <w:lvlText w:val=""/>
      <w:lvlJc w:val="left"/>
      <w:pPr>
        <w:tabs>
          <w:tab w:val="num" w:pos="720"/>
        </w:tabs>
        <w:ind w:left="720" w:hanging="360"/>
      </w:pPr>
      <w:rPr>
        <w:rFonts w:ascii="Wingdings" w:hAnsi="Wingdings" w:hint="default"/>
      </w:rPr>
    </w:lvl>
    <w:lvl w:ilvl="1" w:tplc="3F728CA6" w:tentative="1">
      <w:start w:val="1"/>
      <w:numFmt w:val="bullet"/>
      <w:lvlText w:val=""/>
      <w:lvlJc w:val="left"/>
      <w:pPr>
        <w:tabs>
          <w:tab w:val="num" w:pos="1440"/>
        </w:tabs>
        <w:ind w:left="1440" w:hanging="360"/>
      </w:pPr>
      <w:rPr>
        <w:rFonts w:ascii="Wingdings" w:hAnsi="Wingdings" w:hint="default"/>
      </w:rPr>
    </w:lvl>
    <w:lvl w:ilvl="2" w:tplc="21A28FA6" w:tentative="1">
      <w:start w:val="1"/>
      <w:numFmt w:val="bullet"/>
      <w:lvlText w:val=""/>
      <w:lvlJc w:val="left"/>
      <w:pPr>
        <w:tabs>
          <w:tab w:val="num" w:pos="2160"/>
        </w:tabs>
        <w:ind w:left="2160" w:hanging="360"/>
      </w:pPr>
      <w:rPr>
        <w:rFonts w:ascii="Wingdings" w:hAnsi="Wingdings" w:hint="default"/>
      </w:rPr>
    </w:lvl>
    <w:lvl w:ilvl="3" w:tplc="71961822" w:tentative="1">
      <w:start w:val="1"/>
      <w:numFmt w:val="bullet"/>
      <w:lvlText w:val=""/>
      <w:lvlJc w:val="left"/>
      <w:pPr>
        <w:tabs>
          <w:tab w:val="num" w:pos="2880"/>
        </w:tabs>
        <w:ind w:left="2880" w:hanging="360"/>
      </w:pPr>
      <w:rPr>
        <w:rFonts w:ascii="Wingdings" w:hAnsi="Wingdings" w:hint="default"/>
      </w:rPr>
    </w:lvl>
    <w:lvl w:ilvl="4" w:tplc="57469A18" w:tentative="1">
      <w:start w:val="1"/>
      <w:numFmt w:val="bullet"/>
      <w:lvlText w:val=""/>
      <w:lvlJc w:val="left"/>
      <w:pPr>
        <w:tabs>
          <w:tab w:val="num" w:pos="3600"/>
        </w:tabs>
        <w:ind w:left="3600" w:hanging="360"/>
      </w:pPr>
      <w:rPr>
        <w:rFonts w:ascii="Wingdings" w:hAnsi="Wingdings" w:hint="default"/>
      </w:rPr>
    </w:lvl>
    <w:lvl w:ilvl="5" w:tplc="034AA0A6" w:tentative="1">
      <w:start w:val="1"/>
      <w:numFmt w:val="bullet"/>
      <w:lvlText w:val=""/>
      <w:lvlJc w:val="left"/>
      <w:pPr>
        <w:tabs>
          <w:tab w:val="num" w:pos="4320"/>
        </w:tabs>
        <w:ind w:left="4320" w:hanging="360"/>
      </w:pPr>
      <w:rPr>
        <w:rFonts w:ascii="Wingdings" w:hAnsi="Wingdings" w:hint="default"/>
      </w:rPr>
    </w:lvl>
    <w:lvl w:ilvl="6" w:tplc="B1881D3C" w:tentative="1">
      <w:start w:val="1"/>
      <w:numFmt w:val="bullet"/>
      <w:lvlText w:val=""/>
      <w:lvlJc w:val="left"/>
      <w:pPr>
        <w:tabs>
          <w:tab w:val="num" w:pos="5040"/>
        </w:tabs>
        <w:ind w:left="5040" w:hanging="360"/>
      </w:pPr>
      <w:rPr>
        <w:rFonts w:ascii="Wingdings" w:hAnsi="Wingdings" w:hint="default"/>
      </w:rPr>
    </w:lvl>
    <w:lvl w:ilvl="7" w:tplc="E8A6AF14" w:tentative="1">
      <w:start w:val="1"/>
      <w:numFmt w:val="bullet"/>
      <w:lvlText w:val=""/>
      <w:lvlJc w:val="left"/>
      <w:pPr>
        <w:tabs>
          <w:tab w:val="num" w:pos="5760"/>
        </w:tabs>
        <w:ind w:left="5760" w:hanging="360"/>
      </w:pPr>
      <w:rPr>
        <w:rFonts w:ascii="Wingdings" w:hAnsi="Wingdings" w:hint="default"/>
      </w:rPr>
    </w:lvl>
    <w:lvl w:ilvl="8" w:tplc="264A413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41F4FE9"/>
    <w:multiLevelType w:val="hybridMultilevel"/>
    <w:tmpl w:val="B7BE8B86"/>
    <w:lvl w:ilvl="0" w:tplc="268668CA">
      <w:start w:val="1"/>
      <w:numFmt w:val="bullet"/>
      <w:lvlText w:val=""/>
      <w:lvlJc w:val="left"/>
      <w:pPr>
        <w:tabs>
          <w:tab w:val="num" w:pos="720"/>
        </w:tabs>
        <w:ind w:left="720" w:hanging="360"/>
      </w:pPr>
      <w:rPr>
        <w:rFonts w:ascii="Wingdings" w:hAnsi="Wingdings" w:hint="default"/>
      </w:rPr>
    </w:lvl>
    <w:lvl w:ilvl="1" w:tplc="752A41D2" w:tentative="1">
      <w:start w:val="1"/>
      <w:numFmt w:val="bullet"/>
      <w:lvlText w:val=""/>
      <w:lvlJc w:val="left"/>
      <w:pPr>
        <w:tabs>
          <w:tab w:val="num" w:pos="1440"/>
        </w:tabs>
        <w:ind w:left="1440" w:hanging="360"/>
      </w:pPr>
      <w:rPr>
        <w:rFonts w:ascii="Wingdings" w:hAnsi="Wingdings" w:hint="default"/>
      </w:rPr>
    </w:lvl>
    <w:lvl w:ilvl="2" w:tplc="6E60BA62" w:tentative="1">
      <w:start w:val="1"/>
      <w:numFmt w:val="bullet"/>
      <w:lvlText w:val=""/>
      <w:lvlJc w:val="left"/>
      <w:pPr>
        <w:tabs>
          <w:tab w:val="num" w:pos="2160"/>
        </w:tabs>
        <w:ind w:left="2160" w:hanging="360"/>
      </w:pPr>
      <w:rPr>
        <w:rFonts w:ascii="Wingdings" w:hAnsi="Wingdings" w:hint="default"/>
      </w:rPr>
    </w:lvl>
    <w:lvl w:ilvl="3" w:tplc="D7EC2726" w:tentative="1">
      <w:start w:val="1"/>
      <w:numFmt w:val="bullet"/>
      <w:lvlText w:val=""/>
      <w:lvlJc w:val="left"/>
      <w:pPr>
        <w:tabs>
          <w:tab w:val="num" w:pos="2880"/>
        </w:tabs>
        <w:ind w:left="2880" w:hanging="360"/>
      </w:pPr>
      <w:rPr>
        <w:rFonts w:ascii="Wingdings" w:hAnsi="Wingdings" w:hint="default"/>
      </w:rPr>
    </w:lvl>
    <w:lvl w:ilvl="4" w:tplc="59B62CB2" w:tentative="1">
      <w:start w:val="1"/>
      <w:numFmt w:val="bullet"/>
      <w:lvlText w:val=""/>
      <w:lvlJc w:val="left"/>
      <w:pPr>
        <w:tabs>
          <w:tab w:val="num" w:pos="3600"/>
        </w:tabs>
        <w:ind w:left="3600" w:hanging="360"/>
      </w:pPr>
      <w:rPr>
        <w:rFonts w:ascii="Wingdings" w:hAnsi="Wingdings" w:hint="default"/>
      </w:rPr>
    </w:lvl>
    <w:lvl w:ilvl="5" w:tplc="20B2D544" w:tentative="1">
      <w:start w:val="1"/>
      <w:numFmt w:val="bullet"/>
      <w:lvlText w:val=""/>
      <w:lvlJc w:val="left"/>
      <w:pPr>
        <w:tabs>
          <w:tab w:val="num" w:pos="4320"/>
        </w:tabs>
        <w:ind w:left="4320" w:hanging="360"/>
      </w:pPr>
      <w:rPr>
        <w:rFonts w:ascii="Wingdings" w:hAnsi="Wingdings" w:hint="default"/>
      </w:rPr>
    </w:lvl>
    <w:lvl w:ilvl="6" w:tplc="546081DC" w:tentative="1">
      <w:start w:val="1"/>
      <w:numFmt w:val="bullet"/>
      <w:lvlText w:val=""/>
      <w:lvlJc w:val="left"/>
      <w:pPr>
        <w:tabs>
          <w:tab w:val="num" w:pos="5040"/>
        </w:tabs>
        <w:ind w:left="5040" w:hanging="360"/>
      </w:pPr>
      <w:rPr>
        <w:rFonts w:ascii="Wingdings" w:hAnsi="Wingdings" w:hint="default"/>
      </w:rPr>
    </w:lvl>
    <w:lvl w:ilvl="7" w:tplc="587AD3DA" w:tentative="1">
      <w:start w:val="1"/>
      <w:numFmt w:val="bullet"/>
      <w:lvlText w:val=""/>
      <w:lvlJc w:val="left"/>
      <w:pPr>
        <w:tabs>
          <w:tab w:val="num" w:pos="5760"/>
        </w:tabs>
        <w:ind w:left="5760" w:hanging="360"/>
      </w:pPr>
      <w:rPr>
        <w:rFonts w:ascii="Wingdings" w:hAnsi="Wingdings" w:hint="default"/>
      </w:rPr>
    </w:lvl>
    <w:lvl w:ilvl="8" w:tplc="E7B0DA5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A33E91"/>
    <w:multiLevelType w:val="hybridMultilevel"/>
    <w:tmpl w:val="A65A6870"/>
    <w:lvl w:ilvl="0" w:tplc="A9D85252">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 w15:restartNumberingAfterBreak="0">
    <w:nsid w:val="671011E5"/>
    <w:multiLevelType w:val="hybridMultilevel"/>
    <w:tmpl w:val="4ED0EC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7C1B642A"/>
    <w:multiLevelType w:val="hybridMultilevel"/>
    <w:tmpl w:val="FB48A7C4"/>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0" w15:restartNumberingAfterBreak="0">
    <w:nsid w:val="7C313FE1"/>
    <w:multiLevelType w:val="hybridMultilevel"/>
    <w:tmpl w:val="3A145DB8"/>
    <w:lvl w:ilvl="0" w:tplc="8F509A24">
      <w:numFmt w:val="bullet"/>
      <w:lvlText w:val="-"/>
      <w:lvlJc w:val="left"/>
      <w:pPr>
        <w:ind w:left="360" w:hanging="360"/>
      </w:pPr>
      <w:rPr>
        <w:rFonts w:ascii="Calibri" w:eastAsiaTheme="minorHAnsi" w:hAnsi="Calibri" w:cstheme="minorBidi"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7"/>
  </w:num>
  <w:num w:numId="2">
    <w:abstractNumId w:val="0"/>
  </w:num>
  <w:num w:numId="3">
    <w:abstractNumId w:val="3"/>
  </w:num>
  <w:num w:numId="4">
    <w:abstractNumId w:val="5"/>
  </w:num>
  <w:num w:numId="5">
    <w:abstractNumId w:val="6"/>
  </w:num>
  <w:num w:numId="6">
    <w:abstractNumId w:val="10"/>
  </w:num>
  <w:num w:numId="7">
    <w:abstractNumId w:val="4"/>
  </w:num>
  <w:num w:numId="8">
    <w:abstractNumId w:val="9"/>
  </w:num>
  <w:num w:numId="9">
    <w:abstractNumId w:val="1"/>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27E"/>
    <w:rsid w:val="0011786C"/>
    <w:rsid w:val="0012427E"/>
    <w:rsid w:val="004B1B66"/>
    <w:rsid w:val="004C4727"/>
    <w:rsid w:val="005653C1"/>
    <w:rsid w:val="005F4031"/>
    <w:rsid w:val="006C4398"/>
    <w:rsid w:val="006E6088"/>
    <w:rsid w:val="007F4FB1"/>
    <w:rsid w:val="00832647"/>
    <w:rsid w:val="0098578A"/>
    <w:rsid w:val="00B8324D"/>
    <w:rsid w:val="00CE3104"/>
    <w:rsid w:val="00D26CAD"/>
    <w:rsid w:val="00D87256"/>
    <w:rsid w:val="00DE0C4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CF69BF-C9E4-4E06-8C44-51CA36B65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27E"/>
    <w:pPr>
      <w:spacing w:after="0" w:line="240" w:lineRule="auto"/>
    </w:pPr>
    <w:rPr>
      <w:rFonts w:ascii="Calibri" w:hAnsi="Calibri" w:cs="Calibri"/>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42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8118227">
      <w:bodyDiv w:val="1"/>
      <w:marLeft w:val="0"/>
      <w:marRight w:val="0"/>
      <w:marTop w:val="0"/>
      <w:marBottom w:val="0"/>
      <w:divBdr>
        <w:top w:val="none" w:sz="0" w:space="0" w:color="auto"/>
        <w:left w:val="none" w:sz="0" w:space="0" w:color="auto"/>
        <w:bottom w:val="none" w:sz="0" w:space="0" w:color="auto"/>
        <w:right w:val="none" w:sz="0" w:space="0" w:color="auto"/>
      </w:divBdr>
      <w:divsChild>
        <w:div w:id="314917579">
          <w:marLeft w:val="605"/>
          <w:marRight w:val="0"/>
          <w:marTop w:val="120"/>
          <w:marBottom w:val="120"/>
          <w:divBdr>
            <w:top w:val="none" w:sz="0" w:space="0" w:color="auto"/>
            <w:left w:val="none" w:sz="0" w:space="0" w:color="auto"/>
            <w:bottom w:val="none" w:sz="0" w:space="0" w:color="auto"/>
            <w:right w:val="none" w:sz="0" w:space="0" w:color="auto"/>
          </w:divBdr>
        </w:div>
        <w:div w:id="1193417622">
          <w:marLeft w:val="605"/>
          <w:marRight w:val="0"/>
          <w:marTop w:val="120"/>
          <w:marBottom w:val="120"/>
          <w:divBdr>
            <w:top w:val="none" w:sz="0" w:space="0" w:color="auto"/>
            <w:left w:val="none" w:sz="0" w:space="0" w:color="auto"/>
            <w:bottom w:val="none" w:sz="0" w:space="0" w:color="auto"/>
            <w:right w:val="none" w:sz="0" w:space="0" w:color="auto"/>
          </w:divBdr>
        </w:div>
        <w:div w:id="1302150536">
          <w:marLeft w:val="605"/>
          <w:marRight w:val="0"/>
          <w:marTop w:val="120"/>
          <w:marBottom w:val="120"/>
          <w:divBdr>
            <w:top w:val="none" w:sz="0" w:space="0" w:color="auto"/>
            <w:left w:val="none" w:sz="0" w:space="0" w:color="auto"/>
            <w:bottom w:val="none" w:sz="0" w:space="0" w:color="auto"/>
            <w:right w:val="none" w:sz="0" w:space="0" w:color="auto"/>
          </w:divBdr>
        </w:div>
        <w:div w:id="166407135">
          <w:marLeft w:val="605"/>
          <w:marRight w:val="0"/>
          <w:marTop w:val="120"/>
          <w:marBottom w:val="120"/>
          <w:divBdr>
            <w:top w:val="none" w:sz="0" w:space="0" w:color="auto"/>
            <w:left w:val="none" w:sz="0" w:space="0" w:color="auto"/>
            <w:bottom w:val="none" w:sz="0" w:space="0" w:color="auto"/>
            <w:right w:val="none" w:sz="0" w:space="0" w:color="auto"/>
          </w:divBdr>
        </w:div>
      </w:divsChild>
    </w:div>
    <w:div w:id="863323999">
      <w:bodyDiv w:val="1"/>
      <w:marLeft w:val="0"/>
      <w:marRight w:val="0"/>
      <w:marTop w:val="0"/>
      <w:marBottom w:val="0"/>
      <w:divBdr>
        <w:top w:val="none" w:sz="0" w:space="0" w:color="auto"/>
        <w:left w:val="none" w:sz="0" w:space="0" w:color="auto"/>
        <w:bottom w:val="none" w:sz="0" w:space="0" w:color="auto"/>
        <w:right w:val="none" w:sz="0" w:space="0" w:color="auto"/>
      </w:divBdr>
      <w:divsChild>
        <w:div w:id="221912131">
          <w:marLeft w:val="605"/>
          <w:marRight w:val="0"/>
          <w:marTop w:val="120"/>
          <w:marBottom w:val="120"/>
          <w:divBdr>
            <w:top w:val="none" w:sz="0" w:space="0" w:color="auto"/>
            <w:left w:val="none" w:sz="0" w:space="0" w:color="auto"/>
            <w:bottom w:val="none" w:sz="0" w:space="0" w:color="auto"/>
            <w:right w:val="none" w:sz="0" w:space="0" w:color="auto"/>
          </w:divBdr>
        </w:div>
        <w:div w:id="1432355691">
          <w:marLeft w:val="605"/>
          <w:marRight w:val="0"/>
          <w:marTop w:val="120"/>
          <w:marBottom w:val="120"/>
          <w:divBdr>
            <w:top w:val="none" w:sz="0" w:space="0" w:color="auto"/>
            <w:left w:val="none" w:sz="0" w:space="0" w:color="auto"/>
            <w:bottom w:val="none" w:sz="0" w:space="0" w:color="auto"/>
            <w:right w:val="none" w:sz="0" w:space="0" w:color="auto"/>
          </w:divBdr>
        </w:div>
        <w:div w:id="1401978396">
          <w:marLeft w:val="605"/>
          <w:marRight w:val="0"/>
          <w:marTop w:val="120"/>
          <w:marBottom w:val="120"/>
          <w:divBdr>
            <w:top w:val="none" w:sz="0" w:space="0" w:color="auto"/>
            <w:left w:val="none" w:sz="0" w:space="0" w:color="auto"/>
            <w:bottom w:val="none" w:sz="0" w:space="0" w:color="auto"/>
            <w:right w:val="none" w:sz="0" w:space="0" w:color="auto"/>
          </w:divBdr>
        </w:div>
        <w:div w:id="225337232">
          <w:marLeft w:val="605"/>
          <w:marRight w:val="0"/>
          <w:marTop w:val="120"/>
          <w:marBottom w:val="120"/>
          <w:divBdr>
            <w:top w:val="none" w:sz="0" w:space="0" w:color="auto"/>
            <w:left w:val="none" w:sz="0" w:space="0" w:color="auto"/>
            <w:bottom w:val="none" w:sz="0" w:space="0" w:color="auto"/>
            <w:right w:val="none" w:sz="0" w:space="0" w:color="auto"/>
          </w:divBdr>
        </w:div>
      </w:divsChild>
    </w:div>
    <w:div w:id="961494338">
      <w:bodyDiv w:val="1"/>
      <w:marLeft w:val="0"/>
      <w:marRight w:val="0"/>
      <w:marTop w:val="0"/>
      <w:marBottom w:val="0"/>
      <w:divBdr>
        <w:top w:val="none" w:sz="0" w:space="0" w:color="auto"/>
        <w:left w:val="none" w:sz="0" w:space="0" w:color="auto"/>
        <w:bottom w:val="none" w:sz="0" w:space="0" w:color="auto"/>
        <w:right w:val="none" w:sz="0" w:space="0" w:color="auto"/>
      </w:divBdr>
      <w:divsChild>
        <w:div w:id="789516540">
          <w:marLeft w:val="605"/>
          <w:marRight w:val="0"/>
          <w:marTop w:val="120"/>
          <w:marBottom w:val="120"/>
          <w:divBdr>
            <w:top w:val="none" w:sz="0" w:space="0" w:color="auto"/>
            <w:left w:val="none" w:sz="0" w:space="0" w:color="auto"/>
            <w:bottom w:val="none" w:sz="0" w:space="0" w:color="auto"/>
            <w:right w:val="none" w:sz="0" w:space="0" w:color="auto"/>
          </w:divBdr>
        </w:div>
        <w:div w:id="1501962280">
          <w:marLeft w:val="605"/>
          <w:marRight w:val="0"/>
          <w:marTop w:val="120"/>
          <w:marBottom w:val="120"/>
          <w:divBdr>
            <w:top w:val="none" w:sz="0" w:space="0" w:color="auto"/>
            <w:left w:val="none" w:sz="0" w:space="0" w:color="auto"/>
            <w:bottom w:val="none" w:sz="0" w:space="0" w:color="auto"/>
            <w:right w:val="none" w:sz="0" w:space="0" w:color="auto"/>
          </w:divBdr>
        </w:div>
        <w:div w:id="1309633538">
          <w:marLeft w:val="605"/>
          <w:marRight w:val="0"/>
          <w:marTop w:val="120"/>
          <w:marBottom w:val="120"/>
          <w:divBdr>
            <w:top w:val="none" w:sz="0" w:space="0" w:color="auto"/>
            <w:left w:val="none" w:sz="0" w:space="0" w:color="auto"/>
            <w:bottom w:val="none" w:sz="0" w:space="0" w:color="auto"/>
            <w:right w:val="none" w:sz="0" w:space="0" w:color="auto"/>
          </w:divBdr>
        </w:div>
        <w:div w:id="1378354164">
          <w:marLeft w:val="605"/>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702</Words>
  <Characters>4008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MGS</Company>
  <LinksUpToDate>false</LinksUpToDate>
  <CharactersWithSpaces>4701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Berg, Denna (ENERGY)</dc:creator>
  <cp:lastModifiedBy>J MAUTI</cp:lastModifiedBy>
  <cp:revision>2</cp:revision>
  <dcterms:created xsi:type="dcterms:W3CDTF">2017-10-04T05:56:00Z</dcterms:created>
  <dcterms:modified xsi:type="dcterms:W3CDTF">2017-10-04T05:56:00Z</dcterms:modified>
</cp:coreProperties>
</file>