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9E6" w:rsidRPr="00F929E6" w:rsidRDefault="00D6751C" w:rsidP="00E6447F">
      <w:pPr>
        <w:tabs>
          <w:tab w:val="right" w:pos="9000"/>
          <w:tab w:val="right" w:pos="10530"/>
        </w:tabs>
        <w:ind w:left="-1350"/>
        <w:rPr>
          <w:b/>
          <w:color w:val="000000"/>
        </w:rPr>
      </w:pPr>
      <w:r>
        <w:rPr>
          <w:noProof/>
          <w:lang w:val="en-CA" w:eastAsia="en-CA"/>
        </w:rPr>
        <mc:AlternateContent>
          <mc:Choice Requires="wps">
            <w:drawing>
              <wp:anchor distT="0" distB="0" distL="114300" distR="114300" simplePos="0" relativeHeight="251659264" behindDoc="0" locked="0" layoutInCell="1" allowOverlap="1">
                <wp:simplePos x="0" y="0"/>
                <wp:positionH relativeFrom="column">
                  <wp:posOffset>3390900</wp:posOffset>
                </wp:positionH>
                <wp:positionV relativeFrom="paragraph">
                  <wp:posOffset>-123825</wp:posOffset>
                </wp:positionV>
                <wp:extent cx="2619375" cy="304800"/>
                <wp:effectExtent l="9525" t="9525" r="9525" b="952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304800"/>
                        </a:xfrm>
                        <a:prstGeom prst="rect">
                          <a:avLst/>
                        </a:prstGeom>
                        <a:solidFill>
                          <a:srgbClr val="FFFFFF"/>
                        </a:solidFill>
                        <a:ln w="9525">
                          <a:solidFill>
                            <a:schemeClr val="bg1">
                              <a:lumMod val="100000"/>
                              <a:lumOff val="0"/>
                            </a:schemeClr>
                          </a:solidFill>
                          <a:miter lim="800000"/>
                          <a:headEnd/>
                          <a:tailEnd/>
                        </a:ln>
                      </wps:spPr>
                      <wps:txbx>
                        <w:txbxContent>
                          <w:p w:rsidR="005A730D" w:rsidRPr="00E32375" w:rsidRDefault="005A730D" w:rsidP="005A730D">
                            <w:pPr>
                              <w:jc w:val="center"/>
                              <w:rPr>
                                <w:b/>
                                <w:u w:val="single"/>
                              </w:rPr>
                            </w:pPr>
                            <w:r w:rsidRPr="00E32375">
                              <w:rPr>
                                <w:b/>
                                <w:u w:val="single"/>
                              </w:rPr>
                              <w:t>OPG Confidential Exclusive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67pt;margin-top:-9.75pt;width:206.2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" strokecolor="white [3212]">
                <v:textbox>
                  <w:txbxContent>
                    <w:p w:rsidR="005A730D" w:rsidRPr="00E32375" w:rsidRDefault="005A730D" w:rsidP="005A730D">
                      <w:pPr>
                        <w:jc w:val="center"/>
                        <w:rPr>
                          <w:b/>
                          <w:u w:val="single"/>
                        </w:rPr>
                      </w:pPr>
                      <w:r w:rsidRPr="00E32375">
                        <w:rPr>
                          <w:b/>
                          <w:u w:val="single"/>
                        </w:rPr>
                        <w:t>OPG Confidential Exclusive</w:t>
                      </w:r>
                    </w:p>
                  </w:txbxContent>
                </v:textbox>
              </v:shape>
            </w:pict>
          </mc:Fallback>
        </mc:AlternateContent>
      </w:r>
      <w:r w:rsidR="00CB4974">
        <w:rPr>
          <w:noProof/>
          <w:lang w:val="en-CA" w:eastAsia="en-CA"/>
        </w:rPr>
        <w:drawing>
          <wp:inline distT="0" distB="0" distL="0" distR="0">
            <wp:extent cx="1562100" cy="460890"/>
            <wp:effectExtent l="19050" t="0" r="0" b="0"/>
            <wp:docPr id="1" name="Picture 1" descr="O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G"/>
                    <pic:cNvPicPr>
                      <a:picLocks noChangeAspect="1" noChangeArrowheads="1"/>
                    </pic:cNvPicPr>
                  </pic:nvPicPr>
                  <pic:blipFill>
                    <a:blip r:embed="rId12" cstate="print"/>
                    <a:srcRect/>
                    <a:stretch>
                      <a:fillRect/>
                    </a:stretch>
                  </pic:blipFill>
                  <pic:spPr bwMode="auto">
                    <a:xfrm>
                      <a:off x="0" y="0"/>
                      <a:ext cx="1562100" cy="460890"/>
                    </a:xfrm>
                    <a:prstGeom prst="rect">
                      <a:avLst/>
                    </a:prstGeom>
                    <a:noFill/>
                    <a:ln w="9525">
                      <a:noFill/>
                      <a:miter lim="800000"/>
                      <a:headEnd/>
                      <a:tailEnd/>
                    </a:ln>
                  </pic:spPr>
                </pic:pic>
              </a:graphicData>
            </a:graphic>
          </wp:inline>
        </w:drawing>
      </w:r>
      <w:r w:rsidR="00D812CF">
        <w:rPr>
          <w:b/>
          <w:color w:val="000000"/>
        </w:rPr>
        <w:tab/>
      </w:r>
      <w:r w:rsidR="004A2312" w:rsidRPr="004A2312">
        <w:rPr>
          <w:b/>
          <w:color w:val="000000"/>
        </w:rPr>
        <w:t xml:space="preserve">FOR </w:t>
      </w:r>
      <w:r w:rsidR="00A81409">
        <w:rPr>
          <w:b/>
          <w:color w:val="000000"/>
        </w:rPr>
        <w:t>INFORMATION to</w:t>
      </w:r>
      <w:r w:rsidR="00FA78DC" w:rsidRPr="00F11C00">
        <w:rPr>
          <w:b/>
          <w:color w:val="000000"/>
        </w:rPr>
        <w:t xml:space="preserve"> the</w:t>
      </w:r>
      <w:r w:rsidR="00F10D36">
        <w:rPr>
          <w:b/>
          <w:color w:val="000000"/>
        </w:rPr>
        <w:t xml:space="preserve"> Audit &amp;</w:t>
      </w:r>
      <w:r w:rsidR="005A730D">
        <w:rPr>
          <w:b/>
          <w:color w:val="000000"/>
        </w:rPr>
        <w:t xml:space="preserve"> Risk</w:t>
      </w:r>
      <w:r w:rsidR="00BB394E">
        <w:rPr>
          <w:b/>
          <w:color w:val="000000"/>
        </w:rPr>
        <w:t xml:space="preserve"> Committee</w:t>
      </w:r>
    </w:p>
    <w:p w:rsidR="00D6232E" w:rsidRPr="002F7065" w:rsidRDefault="00D6232E" w:rsidP="00D812CF">
      <w:pPr>
        <w:pStyle w:val="FootnoteText"/>
        <w:tabs>
          <w:tab w:val="left" w:pos="1080"/>
          <w:tab w:val="right" w:pos="10710"/>
        </w:tabs>
        <w:ind w:left="0" w:right="-180"/>
        <w:rPr>
          <w:spacing w:val="0"/>
          <w:lang w:val="en-CA"/>
        </w:rPr>
      </w:pPr>
      <w:r>
        <w:rPr>
          <w:spacing w:val="0"/>
          <w:lang w:val="en-CA"/>
        </w:rPr>
        <w:tab/>
      </w:r>
      <w:r w:rsidR="006345BD">
        <w:rPr>
          <w:spacing w:val="0"/>
          <w:lang w:val="en-CA"/>
        </w:rPr>
        <w:t xml:space="preserve">   </w:t>
      </w:r>
      <w:r w:rsidRPr="002F7065">
        <w:rPr>
          <w:spacing w:val="0"/>
          <w:lang w:val="en-CA"/>
        </w:rPr>
        <w:t>________</w:t>
      </w:r>
      <w:r w:rsidR="00FA78DC" w:rsidRPr="002F7065">
        <w:rPr>
          <w:spacing w:val="0"/>
          <w:lang w:val="en-CA"/>
        </w:rPr>
        <w:t>_______________</w:t>
      </w:r>
      <w:r w:rsidRPr="002F7065">
        <w:rPr>
          <w:spacing w:val="0"/>
          <w:lang w:val="en-CA"/>
        </w:rPr>
        <w:t>_____________________________________</w:t>
      </w:r>
      <w:r w:rsidR="002F7065">
        <w:rPr>
          <w:spacing w:val="0"/>
          <w:lang w:val="en-CA"/>
        </w:rPr>
        <w:t>_____________</w:t>
      </w:r>
      <w:r w:rsidR="00D812CF">
        <w:rPr>
          <w:spacing w:val="0"/>
          <w:lang w:val="en-CA"/>
        </w:rPr>
        <w:t>________</w:t>
      </w:r>
    </w:p>
    <w:p w:rsidR="005E33F9" w:rsidRDefault="005E33F9" w:rsidP="003A193B">
      <w:pPr>
        <w:pStyle w:val="FootnoteText"/>
        <w:tabs>
          <w:tab w:val="left" w:pos="1530"/>
          <w:tab w:val="right" w:pos="9720"/>
        </w:tabs>
        <w:rPr>
          <w:spacing w:val="0"/>
          <w:u w:val="single"/>
          <w:lang w:val="en-CA"/>
        </w:rPr>
      </w:pPr>
    </w:p>
    <w:p w:rsidR="007E43EE" w:rsidRPr="00C224F2" w:rsidRDefault="00FA78DC" w:rsidP="00D812CF">
      <w:pPr>
        <w:tabs>
          <w:tab w:val="right" w:pos="9000"/>
        </w:tabs>
        <w:ind w:left="-900" w:right="-36"/>
      </w:pPr>
      <w:r w:rsidRPr="00C224F2">
        <w:tab/>
      </w:r>
      <w:r w:rsidR="00D6751C" w:rsidRPr="00C224F2">
        <w:t>Januar</w:t>
      </w:r>
      <w:r w:rsidR="00C224F2" w:rsidRPr="00C224F2">
        <w:t>y 4, 2018</w:t>
      </w:r>
    </w:p>
    <w:p w:rsidR="00D812CF" w:rsidRDefault="00D812CF" w:rsidP="00D812CF">
      <w:pPr>
        <w:pStyle w:val="BullettStyle1"/>
        <w:numPr>
          <w:ilvl w:val="0"/>
          <w:numId w:val="0"/>
        </w:numPr>
        <w:rPr>
          <w:u w:val="single"/>
        </w:rPr>
      </w:pPr>
    </w:p>
    <w:p w:rsidR="002532DD" w:rsidRDefault="005E4195" w:rsidP="00D812CF">
      <w:pPr>
        <w:pStyle w:val="BullettStyle1"/>
        <w:numPr>
          <w:ilvl w:val="0"/>
          <w:numId w:val="0"/>
        </w:numPr>
        <w:jc w:val="center"/>
        <w:rPr>
          <w:b/>
        </w:rPr>
      </w:pPr>
      <w:r>
        <w:rPr>
          <w:b/>
        </w:rPr>
        <w:t>ACCOUNTING FOR THE FAIR HYDRO PLAN UNDER US GAAP AND IFRS</w:t>
      </w:r>
    </w:p>
    <w:p w:rsidR="0026550F" w:rsidRPr="00D812CF" w:rsidRDefault="0026550F" w:rsidP="00D812CF">
      <w:pPr>
        <w:pStyle w:val="BullettStyle1"/>
        <w:numPr>
          <w:ilvl w:val="0"/>
          <w:numId w:val="0"/>
        </w:numPr>
        <w:jc w:val="center"/>
      </w:pPr>
      <w:r>
        <w:rPr>
          <w:b/>
        </w:rPr>
        <w:t>EY’s Concurrence on Management’s Accounting Conclusions</w:t>
      </w:r>
    </w:p>
    <w:p w:rsidR="004009D4" w:rsidRPr="004009D4" w:rsidRDefault="004009D4" w:rsidP="00BE4940">
      <w:pPr>
        <w:ind w:left="0"/>
      </w:pPr>
    </w:p>
    <w:p w:rsidR="009A404B" w:rsidRPr="007E43EE" w:rsidRDefault="00A81409" w:rsidP="00460B80">
      <w:pPr>
        <w:shd w:val="clear" w:color="auto" w:fill="A6A6A6"/>
        <w:tabs>
          <w:tab w:val="left" w:pos="1800"/>
          <w:tab w:val="left" w:pos="2160"/>
        </w:tabs>
        <w:ind w:left="0"/>
        <w:jc w:val="both"/>
        <w:rPr>
          <w:b/>
          <w:i/>
        </w:rPr>
      </w:pPr>
      <w:r>
        <w:rPr>
          <w:b/>
        </w:rPr>
        <w:t>REASON FOR REPORT</w:t>
      </w:r>
      <w:r w:rsidR="007E43EE" w:rsidRPr="008412D3">
        <w:rPr>
          <w:b/>
        </w:rPr>
        <w:t xml:space="preserve">   </w:t>
      </w:r>
    </w:p>
    <w:p w:rsidR="004009D4" w:rsidRDefault="004009D4" w:rsidP="0064550F">
      <w:pPr>
        <w:tabs>
          <w:tab w:val="left" w:pos="1800"/>
          <w:tab w:val="left" w:pos="2160"/>
        </w:tabs>
        <w:ind w:left="0"/>
        <w:jc w:val="both"/>
        <w:rPr>
          <w:sz w:val="16"/>
          <w:szCs w:val="16"/>
        </w:rPr>
      </w:pPr>
    </w:p>
    <w:p w:rsidR="006345BD" w:rsidRDefault="00FF21C6" w:rsidP="006345BD">
      <w:pPr>
        <w:pStyle w:val="CircleStyle3"/>
        <w:numPr>
          <w:ilvl w:val="0"/>
          <w:numId w:val="0"/>
        </w:numPr>
        <w:tabs>
          <w:tab w:val="clear" w:pos="1260"/>
          <w:tab w:val="clear" w:pos="1620"/>
          <w:tab w:val="left" w:pos="180"/>
          <w:tab w:val="left" w:pos="630"/>
        </w:tabs>
      </w:pPr>
      <w:r>
        <w:t>This submission is to provide the Audit &amp; Risk Committee with EY’s concurrence letter</w:t>
      </w:r>
      <w:r w:rsidR="002D3118">
        <w:t xml:space="preserve">, attached </w:t>
      </w:r>
      <w:r w:rsidR="005E1DD3">
        <w:t xml:space="preserve">herein </w:t>
      </w:r>
      <w:r w:rsidR="002D3118">
        <w:t>as Appendix 1</w:t>
      </w:r>
      <w:r w:rsidR="00362E81">
        <w:t>, on</w:t>
      </w:r>
      <w:r>
        <w:t xml:space="preserve"> the </w:t>
      </w:r>
      <w:r w:rsidR="00A76361">
        <w:t xml:space="preserve">following </w:t>
      </w:r>
      <w:r w:rsidR="000C633E">
        <w:t>accounting memorandums</w:t>
      </w:r>
      <w:r>
        <w:t xml:space="preserve"> </w:t>
      </w:r>
      <w:r w:rsidR="00A76361">
        <w:t xml:space="preserve">management has prepared </w:t>
      </w:r>
      <w:r w:rsidR="0065216C">
        <w:t xml:space="preserve">as a result of OPG’s participation in Ontario’s Fair Hydro Plan </w:t>
      </w:r>
      <w:r>
        <w:t>(together “</w:t>
      </w:r>
      <w:r w:rsidR="00B876B1">
        <w:t>the</w:t>
      </w:r>
      <w:r w:rsidR="00CA5D68">
        <w:t xml:space="preserve"> “Memorandums”</w:t>
      </w:r>
      <w:r>
        <w:t>):</w:t>
      </w:r>
    </w:p>
    <w:p w:rsidR="0072607C" w:rsidRDefault="0072607C" w:rsidP="006345BD">
      <w:pPr>
        <w:pStyle w:val="CircleStyle3"/>
        <w:numPr>
          <w:ilvl w:val="0"/>
          <w:numId w:val="0"/>
        </w:numPr>
        <w:tabs>
          <w:tab w:val="clear" w:pos="1260"/>
          <w:tab w:val="clear" w:pos="1620"/>
          <w:tab w:val="left" w:pos="180"/>
          <w:tab w:val="left" w:pos="630"/>
        </w:tabs>
      </w:pPr>
    </w:p>
    <w:p w:rsidR="00FF21C6" w:rsidRDefault="006151C3" w:rsidP="00FF21C6">
      <w:pPr>
        <w:pStyle w:val="CircleStyle3"/>
        <w:numPr>
          <w:ilvl w:val="0"/>
          <w:numId w:val="11"/>
        </w:numPr>
        <w:tabs>
          <w:tab w:val="clear" w:pos="1260"/>
          <w:tab w:val="clear" w:pos="1620"/>
          <w:tab w:val="left" w:pos="180"/>
          <w:tab w:val="left" w:pos="630"/>
        </w:tabs>
      </w:pPr>
      <w:r>
        <w:t>Consolidation Considerations of the Fair Hydro Trust Under US GAAP</w:t>
      </w:r>
      <w:r w:rsidR="00272C3F">
        <w:t xml:space="preserve"> (Appendix </w:t>
      </w:r>
      <w:r w:rsidR="002D3118">
        <w:t>2</w:t>
      </w:r>
      <w:r w:rsidR="00272C3F">
        <w:t>)</w:t>
      </w:r>
    </w:p>
    <w:p w:rsidR="006151C3" w:rsidRDefault="006151C3" w:rsidP="00FF21C6">
      <w:pPr>
        <w:pStyle w:val="CircleStyle3"/>
        <w:numPr>
          <w:ilvl w:val="0"/>
          <w:numId w:val="11"/>
        </w:numPr>
        <w:tabs>
          <w:tab w:val="clear" w:pos="1260"/>
          <w:tab w:val="clear" w:pos="1620"/>
          <w:tab w:val="left" w:pos="180"/>
          <w:tab w:val="left" w:pos="630"/>
        </w:tabs>
      </w:pPr>
      <w:r>
        <w:t xml:space="preserve">Day 2 Accounting Considerations </w:t>
      </w:r>
      <w:r w:rsidR="00D025F3">
        <w:t xml:space="preserve">for </w:t>
      </w:r>
      <w:r w:rsidR="00FA7503">
        <w:t>the</w:t>
      </w:r>
      <w:r w:rsidR="00A42B3F">
        <w:t xml:space="preserve"> Fair Hydro Plan Under US GAAP</w:t>
      </w:r>
      <w:r w:rsidR="00272C3F">
        <w:t xml:space="preserve"> (Appendix </w:t>
      </w:r>
      <w:r w:rsidR="002D3118">
        <w:t>3</w:t>
      </w:r>
      <w:r w:rsidR="00272C3F">
        <w:t>)</w:t>
      </w:r>
    </w:p>
    <w:p w:rsidR="00A42B3F" w:rsidRDefault="001200A7" w:rsidP="00FF21C6">
      <w:pPr>
        <w:pStyle w:val="CircleStyle3"/>
        <w:numPr>
          <w:ilvl w:val="0"/>
          <w:numId w:val="11"/>
        </w:numPr>
        <w:tabs>
          <w:tab w:val="clear" w:pos="1260"/>
          <w:tab w:val="clear" w:pos="1620"/>
          <w:tab w:val="left" w:pos="180"/>
          <w:tab w:val="left" w:pos="630"/>
        </w:tabs>
      </w:pPr>
      <w:r>
        <w:t>Consolidation Considerations of the Fair Hydro Trust Under IFRS</w:t>
      </w:r>
      <w:r w:rsidR="00272C3F">
        <w:t xml:space="preserve"> (Appendix </w:t>
      </w:r>
      <w:r w:rsidR="002D3118">
        <w:t>4</w:t>
      </w:r>
      <w:r w:rsidR="00272C3F">
        <w:t>)</w:t>
      </w:r>
    </w:p>
    <w:p w:rsidR="001200A7" w:rsidRDefault="001200A7" w:rsidP="001200A7">
      <w:pPr>
        <w:pStyle w:val="CircleStyle3"/>
        <w:numPr>
          <w:ilvl w:val="0"/>
          <w:numId w:val="11"/>
        </w:numPr>
        <w:tabs>
          <w:tab w:val="clear" w:pos="1260"/>
          <w:tab w:val="clear" w:pos="1620"/>
          <w:tab w:val="left" w:pos="180"/>
          <w:tab w:val="left" w:pos="630"/>
        </w:tabs>
      </w:pPr>
      <w:r>
        <w:t xml:space="preserve">Day 2 Accounting Considerations </w:t>
      </w:r>
      <w:r w:rsidR="00D025F3">
        <w:t xml:space="preserve">for the </w:t>
      </w:r>
      <w:r>
        <w:t>Fair Hydro Plan Under IFRS</w:t>
      </w:r>
      <w:r w:rsidR="00272C3F">
        <w:t xml:space="preserve"> (Appendix </w:t>
      </w:r>
      <w:r w:rsidR="002D3118">
        <w:t>5</w:t>
      </w:r>
      <w:r w:rsidR="00272C3F">
        <w:t>)</w:t>
      </w:r>
    </w:p>
    <w:p w:rsidR="002F2F7E" w:rsidRDefault="002F2F7E" w:rsidP="00E95F5F">
      <w:pPr>
        <w:pStyle w:val="CircleStyle3"/>
        <w:numPr>
          <w:ilvl w:val="0"/>
          <w:numId w:val="0"/>
        </w:numPr>
        <w:tabs>
          <w:tab w:val="clear" w:pos="1260"/>
          <w:tab w:val="clear" w:pos="1620"/>
          <w:tab w:val="left" w:pos="180"/>
          <w:tab w:val="left" w:pos="630"/>
        </w:tabs>
        <w:ind w:left="1800" w:hanging="360"/>
      </w:pPr>
    </w:p>
    <w:p w:rsidR="006345BD" w:rsidRDefault="002F2F7E" w:rsidP="006345BD">
      <w:pPr>
        <w:pStyle w:val="CircleStyle-1"/>
        <w:numPr>
          <w:ilvl w:val="0"/>
          <w:numId w:val="0"/>
        </w:numPr>
        <w:tabs>
          <w:tab w:val="clear" w:pos="630"/>
          <w:tab w:val="left" w:pos="720"/>
        </w:tabs>
      </w:pPr>
      <w:r>
        <w:t>An evaluation under both bases of accounting is required for OPG as a reporting issuer (US GAAP)</w:t>
      </w:r>
      <w:r w:rsidR="00E95F5F">
        <w:t>,</w:t>
      </w:r>
      <w:r>
        <w:t xml:space="preserve"> as well as its consolidation within the Province of Ontario’s financial results (IFRS)</w:t>
      </w:r>
      <w:r w:rsidR="00E95F5F">
        <w:t>.</w:t>
      </w:r>
    </w:p>
    <w:p w:rsidR="002F2F7E" w:rsidRDefault="002F2F7E" w:rsidP="006345BD">
      <w:pPr>
        <w:pStyle w:val="CircleStyle-1"/>
        <w:numPr>
          <w:ilvl w:val="0"/>
          <w:numId w:val="0"/>
        </w:numPr>
        <w:tabs>
          <w:tab w:val="clear" w:pos="630"/>
          <w:tab w:val="left" w:pos="720"/>
        </w:tabs>
      </w:pPr>
    </w:p>
    <w:p w:rsidR="00FC5EAD" w:rsidRPr="00581E0B" w:rsidRDefault="00FC5EAD" w:rsidP="00FC5EAD">
      <w:pPr>
        <w:shd w:val="clear" w:color="auto" w:fill="A6A6A6"/>
        <w:tabs>
          <w:tab w:val="left" w:pos="1800"/>
          <w:tab w:val="left" w:pos="2160"/>
          <w:tab w:val="right" w:pos="10620"/>
        </w:tabs>
        <w:ind w:left="0"/>
        <w:jc w:val="both"/>
        <w:rPr>
          <w:b/>
        </w:rPr>
      </w:pPr>
      <w:r>
        <w:rPr>
          <w:b/>
        </w:rPr>
        <w:t>CONCLUSIONS</w:t>
      </w:r>
    </w:p>
    <w:p w:rsidR="00FC5EAD" w:rsidRDefault="00FC5EAD" w:rsidP="00FC5EAD">
      <w:pPr>
        <w:tabs>
          <w:tab w:val="left" w:pos="1440"/>
          <w:tab w:val="left" w:pos="1800"/>
          <w:tab w:val="left" w:pos="2160"/>
          <w:tab w:val="right" w:pos="9864"/>
        </w:tabs>
        <w:ind w:left="90"/>
        <w:jc w:val="both"/>
      </w:pPr>
    </w:p>
    <w:p w:rsidR="00F82E67" w:rsidRDefault="003D04C5" w:rsidP="00FC5EAD">
      <w:pPr>
        <w:pStyle w:val="BulletStyl1"/>
        <w:numPr>
          <w:ilvl w:val="0"/>
          <w:numId w:val="0"/>
        </w:numPr>
      </w:pPr>
      <w:r>
        <w:rPr>
          <w:u w:val="single"/>
        </w:rPr>
        <w:t xml:space="preserve">OPG’s </w:t>
      </w:r>
      <w:r w:rsidR="00F82E67">
        <w:rPr>
          <w:u w:val="single"/>
        </w:rPr>
        <w:t>Consolidation</w:t>
      </w:r>
      <w:r>
        <w:rPr>
          <w:u w:val="single"/>
        </w:rPr>
        <w:t xml:space="preserve"> of the Trust</w:t>
      </w:r>
    </w:p>
    <w:p w:rsidR="003D04C5" w:rsidRPr="003D04C5" w:rsidRDefault="003D04C5" w:rsidP="00FC5EAD">
      <w:pPr>
        <w:pStyle w:val="BulletStyl1"/>
        <w:numPr>
          <w:ilvl w:val="0"/>
          <w:numId w:val="0"/>
        </w:numPr>
      </w:pPr>
    </w:p>
    <w:p w:rsidR="00665857" w:rsidRDefault="00665857" w:rsidP="00D41DAC">
      <w:pPr>
        <w:autoSpaceDE w:val="0"/>
        <w:autoSpaceDN w:val="0"/>
        <w:adjustRightInd w:val="0"/>
        <w:ind w:left="0"/>
      </w:pPr>
      <w:r>
        <w:rPr>
          <w:rFonts w:cs="Arial"/>
          <w:lang w:val="en-CA" w:eastAsia="en-CA"/>
        </w:rPr>
        <w:t xml:space="preserve">Based on the </w:t>
      </w:r>
      <w:r w:rsidR="003F22FF" w:rsidRPr="003F22FF">
        <w:rPr>
          <w:rFonts w:cs="Arial"/>
          <w:i/>
          <w:lang w:val="en-CA" w:eastAsia="en-CA"/>
        </w:rPr>
        <w:t>Ontario Fair Hydro Act, 2017</w:t>
      </w:r>
      <w:r w:rsidR="00EA62B9">
        <w:rPr>
          <w:rFonts w:cs="Arial"/>
          <w:lang w:val="en-CA" w:eastAsia="en-CA"/>
        </w:rPr>
        <w:t xml:space="preserve"> (the Act)</w:t>
      </w:r>
      <w:r w:rsidR="003F22FF">
        <w:rPr>
          <w:rFonts w:cs="Arial"/>
          <w:lang w:val="en-CA" w:eastAsia="en-CA"/>
        </w:rPr>
        <w:t xml:space="preserve">, updated </w:t>
      </w:r>
      <w:r w:rsidR="003F22FF" w:rsidRPr="00BF28EF">
        <w:rPr>
          <w:i/>
        </w:rPr>
        <w:t>Ontario Regulation 206/17 General Regulation</w:t>
      </w:r>
      <w:r w:rsidR="00EA62B9">
        <w:t xml:space="preserve"> (General Regulation)</w:t>
      </w:r>
      <w:r w:rsidR="003F22FF">
        <w:rPr>
          <w:rFonts w:cs="Arial"/>
          <w:lang w:val="en-CA" w:eastAsia="en-CA"/>
        </w:rPr>
        <w:t>, and current drafts of the relevant program agreements referenced in the US GAAP and IFRS consolidation memorandums</w:t>
      </w:r>
      <w:r w:rsidR="00272C3F">
        <w:rPr>
          <w:rFonts w:cs="Arial"/>
          <w:lang w:val="en-CA" w:eastAsia="en-CA"/>
        </w:rPr>
        <w:t xml:space="preserve">, management believes that the </w:t>
      </w:r>
      <w:r>
        <w:rPr>
          <w:rFonts w:cs="Arial"/>
          <w:lang w:val="en-CA" w:eastAsia="en-CA"/>
        </w:rPr>
        <w:t xml:space="preserve">conditions to ensure </w:t>
      </w:r>
      <w:r w:rsidR="00272C3F">
        <w:rPr>
          <w:rFonts w:cs="Arial"/>
          <w:lang w:val="en-CA" w:eastAsia="en-CA"/>
        </w:rPr>
        <w:t>OPG’s a</w:t>
      </w:r>
      <w:r>
        <w:rPr>
          <w:rFonts w:cs="Arial"/>
          <w:lang w:val="en-CA" w:eastAsia="en-CA"/>
        </w:rPr>
        <w:t>bility</w:t>
      </w:r>
      <w:r w:rsidR="00272C3F">
        <w:rPr>
          <w:rFonts w:cs="Arial"/>
          <w:lang w:val="en-CA" w:eastAsia="en-CA"/>
        </w:rPr>
        <w:t xml:space="preserve"> </w:t>
      </w:r>
      <w:r>
        <w:rPr>
          <w:rFonts w:cs="Arial"/>
          <w:lang w:val="en-CA" w:eastAsia="en-CA"/>
        </w:rPr>
        <w:t xml:space="preserve">to consolidate the operations of the Trust have been </w:t>
      </w:r>
      <w:r w:rsidR="00272C3F">
        <w:rPr>
          <w:rFonts w:cs="Arial"/>
          <w:lang w:val="en-CA" w:eastAsia="en-CA"/>
        </w:rPr>
        <w:t xml:space="preserve">satisfactorily </w:t>
      </w:r>
      <w:r w:rsidR="00D41DAC">
        <w:rPr>
          <w:rFonts w:cs="Arial"/>
          <w:lang w:val="en-CA" w:eastAsia="en-CA"/>
        </w:rPr>
        <w:t xml:space="preserve">addressed </w:t>
      </w:r>
      <w:r w:rsidR="00272C3F">
        <w:rPr>
          <w:rFonts w:cs="Arial"/>
          <w:lang w:val="en-CA" w:eastAsia="en-CA"/>
        </w:rPr>
        <w:t>as</w:t>
      </w:r>
      <w:r>
        <w:rPr>
          <w:rFonts w:cs="Arial"/>
          <w:lang w:val="en-CA" w:eastAsia="en-CA"/>
        </w:rPr>
        <w:t xml:space="preserve"> </w:t>
      </w:r>
      <w:r w:rsidR="00272C3F">
        <w:rPr>
          <w:rFonts w:cs="Arial"/>
          <w:lang w:val="en-CA" w:eastAsia="en-CA"/>
        </w:rPr>
        <w:t xml:space="preserve">summarized </w:t>
      </w:r>
      <w:r>
        <w:rPr>
          <w:rFonts w:cs="Arial"/>
          <w:lang w:val="en-CA" w:eastAsia="en-CA"/>
        </w:rPr>
        <w:t>in</w:t>
      </w:r>
      <w:r w:rsidR="006A23DD">
        <w:rPr>
          <w:rFonts w:cs="Arial"/>
          <w:lang w:val="en-CA" w:eastAsia="en-CA"/>
        </w:rPr>
        <w:t xml:space="preserve"> </w:t>
      </w:r>
      <w:r>
        <w:rPr>
          <w:rFonts w:cs="Arial"/>
          <w:lang w:val="en-CA" w:eastAsia="en-CA"/>
        </w:rPr>
        <w:t>Appendix A</w:t>
      </w:r>
      <w:r w:rsidR="00272C3F">
        <w:rPr>
          <w:rFonts w:cs="Arial"/>
          <w:lang w:val="en-CA" w:eastAsia="en-CA"/>
        </w:rPr>
        <w:t xml:space="preserve"> of </w:t>
      </w:r>
      <w:r w:rsidR="00D41DAC">
        <w:rPr>
          <w:rFonts w:cs="Arial"/>
          <w:lang w:val="en-CA" w:eastAsia="en-CA"/>
        </w:rPr>
        <w:t xml:space="preserve">the </w:t>
      </w:r>
      <w:r w:rsidR="000E34E4">
        <w:rPr>
          <w:rFonts w:cs="Arial"/>
          <w:lang w:val="en-CA" w:eastAsia="en-CA"/>
        </w:rPr>
        <w:t xml:space="preserve">consolidation </w:t>
      </w:r>
      <w:r w:rsidR="00B876B1">
        <w:rPr>
          <w:rFonts w:cs="Arial"/>
          <w:lang w:val="en-CA" w:eastAsia="en-CA"/>
        </w:rPr>
        <w:t>M</w:t>
      </w:r>
      <w:r w:rsidR="00D41DAC">
        <w:rPr>
          <w:rFonts w:cs="Arial"/>
          <w:lang w:val="en-CA" w:eastAsia="en-CA"/>
        </w:rPr>
        <w:t>emorandums. On the a</w:t>
      </w:r>
      <w:r>
        <w:rPr>
          <w:rFonts w:cs="Arial"/>
          <w:lang w:val="en-CA" w:eastAsia="en-CA"/>
        </w:rPr>
        <w:t xml:space="preserve">ssumption that no new </w:t>
      </w:r>
      <w:r w:rsidR="006440AD">
        <w:rPr>
          <w:rFonts w:cs="Arial"/>
          <w:lang w:val="en-CA" w:eastAsia="en-CA"/>
        </w:rPr>
        <w:t xml:space="preserve">events or provisions </w:t>
      </w:r>
      <w:r w:rsidR="0051490E">
        <w:rPr>
          <w:rFonts w:cs="Arial"/>
          <w:lang w:val="en-CA" w:eastAsia="en-CA"/>
        </w:rPr>
        <w:t xml:space="preserve">are introduced </w:t>
      </w:r>
      <w:r w:rsidR="006440AD">
        <w:rPr>
          <w:rFonts w:cs="Arial"/>
          <w:lang w:val="en-CA" w:eastAsia="en-CA"/>
        </w:rPr>
        <w:t xml:space="preserve">that </w:t>
      </w:r>
      <w:r>
        <w:rPr>
          <w:rFonts w:cs="Arial"/>
          <w:lang w:val="en-CA" w:eastAsia="en-CA"/>
        </w:rPr>
        <w:t>would</w:t>
      </w:r>
      <w:r w:rsidR="00D41DAC">
        <w:rPr>
          <w:rFonts w:cs="Arial"/>
          <w:lang w:val="en-CA" w:eastAsia="en-CA"/>
        </w:rPr>
        <w:t xml:space="preserve"> </w:t>
      </w:r>
      <w:r>
        <w:rPr>
          <w:rFonts w:cs="Arial"/>
          <w:lang w:val="en-CA" w:eastAsia="en-CA"/>
        </w:rPr>
        <w:t xml:space="preserve">conflict with OPG’s control of the </w:t>
      </w:r>
      <w:r w:rsidR="0051490E">
        <w:rPr>
          <w:rFonts w:cs="Arial"/>
          <w:lang w:val="en-CA" w:eastAsia="en-CA"/>
        </w:rPr>
        <w:t xml:space="preserve">key activities of the </w:t>
      </w:r>
      <w:r w:rsidR="006440AD">
        <w:rPr>
          <w:rFonts w:cs="Arial"/>
          <w:lang w:val="en-CA" w:eastAsia="en-CA"/>
        </w:rPr>
        <w:t>T</w:t>
      </w:r>
      <w:r>
        <w:rPr>
          <w:rFonts w:cs="Arial"/>
          <w:lang w:val="en-CA" w:eastAsia="en-CA"/>
        </w:rPr>
        <w:t>rust</w:t>
      </w:r>
      <w:r w:rsidR="006440AD">
        <w:rPr>
          <w:rFonts w:cs="Arial"/>
          <w:lang w:val="en-CA" w:eastAsia="en-CA"/>
        </w:rPr>
        <w:t xml:space="preserve">, </w:t>
      </w:r>
      <w:r>
        <w:rPr>
          <w:rFonts w:cs="Arial"/>
          <w:lang w:val="en-CA" w:eastAsia="en-CA"/>
        </w:rPr>
        <w:t>OPG believes that consolidation of the</w:t>
      </w:r>
      <w:r w:rsidR="00D41DAC">
        <w:rPr>
          <w:rFonts w:cs="Arial"/>
          <w:lang w:val="en-CA" w:eastAsia="en-CA"/>
        </w:rPr>
        <w:t xml:space="preserve"> </w:t>
      </w:r>
      <w:r w:rsidR="006440AD">
        <w:rPr>
          <w:rFonts w:cs="Arial"/>
          <w:lang w:val="en-CA" w:eastAsia="en-CA"/>
        </w:rPr>
        <w:t xml:space="preserve">Trust is supportable under both US GAAP and IFRS.  </w:t>
      </w:r>
    </w:p>
    <w:p w:rsidR="00665857" w:rsidRDefault="00665857" w:rsidP="00F82E67">
      <w:pPr>
        <w:pStyle w:val="BulletStyl1"/>
        <w:numPr>
          <w:ilvl w:val="0"/>
          <w:numId w:val="0"/>
        </w:numPr>
      </w:pPr>
    </w:p>
    <w:p w:rsidR="00F82E67" w:rsidRDefault="00F82E67" w:rsidP="00F82E67">
      <w:pPr>
        <w:pStyle w:val="BulletStyl1"/>
        <w:numPr>
          <w:ilvl w:val="0"/>
          <w:numId w:val="0"/>
        </w:numPr>
      </w:pPr>
      <w:r>
        <w:rPr>
          <w:u w:val="single"/>
        </w:rPr>
        <w:t xml:space="preserve">Day-to-day </w:t>
      </w:r>
      <w:r w:rsidR="002F6AF9">
        <w:rPr>
          <w:u w:val="single"/>
        </w:rPr>
        <w:t>(“Day 2”) A</w:t>
      </w:r>
      <w:r>
        <w:rPr>
          <w:u w:val="single"/>
        </w:rPr>
        <w:t>ccounting</w:t>
      </w:r>
      <w:r w:rsidR="00850A4F">
        <w:rPr>
          <w:u w:val="single"/>
        </w:rPr>
        <w:t xml:space="preserve"> </w:t>
      </w:r>
    </w:p>
    <w:p w:rsidR="003D04C5" w:rsidRDefault="003D04C5" w:rsidP="00F82E67">
      <w:pPr>
        <w:pStyle w:val="BulletStyl1"/>
        <w:numPr>
          <w:ilvl w:val="0"/>
          <w:numId w:val="0"/>
        </w:numPr>
      </w:pPr>
    </w:p>
    <w:p w:rsidR="006223A0" w:rsidRDefault="006223A0" w:rsidP="00F82E67">
      <w:pPr>
        <w:pStyle w:val="BulletStyl1"/>
        <w:numPr>
          <w:ilvl w:val="0"/>
          <w:numId w:val="0"/>
        </w:numPr>
      </w:pPr>
      <w:r>
        <w:t xml:space="preserve">Management also analysed the key transactions expected </w:t>
      </w:r>
      <w:r w:rsidR="00E00D84">
        <w:t>and the appropriate accounting treatments under US GAAP and IFRS.  The following summarizes the key</w:t>
      </w:r>
      <w:r w:rsidR="003F7958">
        <w:t xml:space="preserve"> accounting </w:t>
      </w:r>
      <w:r w:rsidR="00E00D84">
        <w:t>differences</w:t>
      </w:r>
      <w:r w:rsidR="00D112EA">
        <w:t xml:space="preserve"> from the Trust’s perspective</w:t>
      </w:r>
      <w:r w:rsidR="00E00D84">
        <w:t>:</w:t>
      </w:r>
    </w:p>
    <w:p w:rsidR="00AA646E" w:rsidRDefault="00AA646E" w:rsidP="00F82E67">
      <w:pPr>
        <w:pStyle w:val="BulletStyl1"/>
        <w:numPr>
          <w:ilvl w:val="0"/>
          <w:numId w:val="0"/>
        </w:numPr>
      </w:pPr>
    </w:p>
    <w:tbl>
      <w:tblPr>
        <w:tblStyle w:val="TableGrid"/>
        <w:tblW w:w="0" w:type="auto"/>
        <w:tblLook w:val="04A0" w:firstRow="1" w:lastRow="0" w:firstColumn="1" w:lastColumn="0" w:noHBand="0" w:noVBand="1"/>
      </w:tblPr>
      <w:tblGrid>
        <w:gridCol w:w="3415"/>
        <w:gridCol w:w="2877"/>
        <w:gridCol w:w="2878"/>
      </w:tblGrid>
      <w:tr w:rsidR="00771A80" w:rsidTr="00D112EA">
        <w:trPr>
          <w:trHeight w:val="314"/>
        </w:trPr>
        <w:tc>
          <w:tcPr>
            <w:tcW w:w="3415" w:type="dxa"/>
            <w:shd w:val="clear" w:color="auto" w:fill="D9D9D9" w:themeFill="background1" w:themeFillShade="D9"/>
            <w:vAlign w:val="center"/>
          </w:tcPr>
          <w:p w:rsidR="00771A80" w:rsidRPr="00580A3A" w:rsidRDefault="00580A3A" w:rsidP="00771A80">
            <w:pPr>
              <w:pStyle w:val="BulletStyl1"/>
              <w:numPr>
                <w:ilvl w:val="0"/>
                <w:numId w:val="0"/>
              </w:numPr>
              <w:jc w:val="left"/>
              <w:rPr>
                <w:b/>
              </w:rPr>
            </w:pPr>
            <w:r w:rsidRPr="00580A3A">
              <w:rPr>
                <w:b/>
              </w:rPr>
              <w:t>Key Accounting Considerations</w:t>
            </w:r>
          </w:p>
        </w:tc>
        <w:tc>
          <w:tcPr>
            <w:tcW w:w="2877" w:type="dxa"/>
            <w:shd w:val="clear" w:color="auto" w:fill="D9D9D9" w:themeFill="background1" w:themeFillShade="D9"/>
            <w:vAlign w:val="center"/>
          </w:tcPr>
          <w:p w:rsidR="00771A80" w:rsidRPr="00771A80" w:rsidRDefault="00771A80" w:rsidP="00771A80">
            <w:pPr>
              <w:pStyle w:val="BulletStyl1"/>
              <w:numPr>
                <w:ilvl w:val="0"/>
                <w:numId w:val="0"/>
              </w:numPr>
              <w:jc w:val="center"/>
              <w:rPr>
                <w:b/>
              </w:rPr>
            </w:pPr>
            <w:r>
              <w:rPr>
                <w:b/>
              </w:rPr>
              <w:t>US GAAP</w:t>
            </w:r>
          </w:p>
        </w:tc>
        <w:tc>
          <w:tcPr>
            <w:tcW w:w="2878" w:type="dxa"/>
            <w:shd w:val="clear" w:color="auto" w:fill="D9D9D9" w:themeFill="background1" w:themeFillShade="D9"/>
            <w:vAlign w:val="center"/>
          </w:tcPr>
          <w:p w:rsidR="00771A80" w:rsidRPr="00771A80" w:rsidRDefault="00771A80" w:rsidP="00771A80">
            <w:pPr>
              <w:pStyle w:val="BulletStyl1"/>
              <w:numPr>
                <w:ilvl w:val="0"/>
                <w:numId w:val="0"/>
              </w:numPr>
              <w:jc w:val="center"/>
              <w:rPr>
                <w:b/>
              </w:rPr>
            </w:pPr>
            <w:r>
              <w:rPr>
                <w:b/>
              </w:rPr>
              <w:t>IFRS</w:t>
            </w:r>
          </w:p>
        </w:tc>
      </w:tr>
      <w:tr w:rsidR="00771A80" w:rsidTr="00C95234">
        <w:trPr>
          <w:trHeight w:val="638"/>
        </w:trPr>
        <w:tc>
          <w:tcPr>
            <w:tcW w:w="3415" w:type="dxa"/>
            <w:vAlign w:val="center"/>
          </w:tcPr>
          <w:p w:rsidR="00771A80" w:rsidRDefault="00771A80" w:rsidP="008464C3">
            <w:pPr>
              <w:pStyle w:val="BulletStyl1"/>
              <w:numPr>
                <w:ilvl w:val="0"/>
                <w:numId w:val="0"/>
              </w:numPr>
              <w:jc w:val="left"/>
            </w:pPr>
            <w:r>
              <w:t xml:space="preserve">Classification of the ‘right to collect’ </w:t>
            </w:r>
            <w:r w:rsidR="008464C3">
              <w:t xml:space="preserve">future cash streams </w:t>
            </w:r>
            <w:r w:rsidR="00C95234">
              <w:t>asset</w:t>
            </w:r>
          </w:p>
        </w:tc>
        <w:tc>
          <w:tcPr>
            <w:tcW w:w="2877" w:type="dxa"/>
            <w:vAlign w:val="center"/>
          </w:tcPr>
          <w:p w:rsidR="00771A80" w:rsidRDefault="003C6F70" w:rsidP="00771A80">
            <w:pPr>
              <w:pStyle w:val="BulletStyl1"/>
              <w:numPr>
                <w:ilvl w:val="0"/>
                <w:numId w:val="0"/>
              </w:numPr>
              <w:jc w:val="left"/>
            </w:pPr>
            <w:r>
              <w:t>Financial Asset</w:t>
            </w:r>
          </w:p>
        </w:tc>
        <w:tc>
          <w:tcPr>
            <w:tcW w:w="2878" w:type="dxa"/>
            <w:vAlign w:val="center"/>
          </w:tcPr>
          <w:p w:rsidR="00771A80" w:rsidRDefault="003C6F70" w:rsidP="00771A80">
            <w:pPr>
              <w:pStyle w:val="BulletStyl1"/>
              <w:numPr>
                <w:ilvl w:val="0"/>
                <w:numId w:val="0"/>
              </w:numPr>
              <w:jc w:val="left"/>
            </w:pPr>
            <w:r>
              <w:t>Intangible Asset</w:t>
            </w:r>
          </w:p>
        </w:tc>
      </w:tr>
      <w:tr w:rsidR="00771A80" w:rsidTr="000367C0">
        <w:trPr>
          <w:trHeight w:val="872"/>
        </w:trPr>
        <w:tc>
          <w:tcPr>
            <w:tcW w:w="3415" w:type="dxa"/>
            <w:vAlign w:val="center"/>
          </w:tcPr>
          <w:p w:rsidR="00771A80" w:rsidRDefault="00AF544A" w:rsidP="00771A80">
            <w:pPr>
              <w:pStyle w:val="BulletStyl1"/>
              <w:numPr>
                <w:ilvl w:val="0"/>
                <w:numId w:val="0"/>
              </w:numPr>
              <w:jc w:val="left"/>
            </w:pPr>
            <w:r>
              <w:t>Subsequent</w:t>
            </w:r>
            <w:r w:rsidR="00430D38">
              <w:t xml:space="preserve"> m</w:t>
            </w:r>
            <w:r>
              <w:t xml:space="preserve">easurement </w:t>
            </w:r>
            <w:r w:rsidR="00C95234">
              <w:t>of the ‘right to collect’ future cash streams asset</w:t>
            </w:r>
            <w:r>
              <w:t xml:space="preserve"> </w:t>
            </w:r>
          </w:p>
        </w:tc>
        <w:tc>
          <w:tcPr>
            <w:tcW w:w="2877" w:type="dxa"/>
            <w:vAlign w:val="center"/>
          </w:tcPr>
          <w:p w:rsidR="00771A80" w:rsidRDefault="00C95234" w:rsidP="00771A80">
            <w:pPr>
              <w:pStyle w:val="BulletStyl1"/>
              <w:numPr>
                <w:ilvl w:val="0"/>
                <w:numId w:val="0"/>
              </w:numPr>
              <w:jc w:val="left"/>
            </w:pPr>
            <w:r>
              <w:t>Amortized Cost</w:t>
            </w:r>
          </w:p>
        </w:tc>
        <w:tc>
          <w:tcPr>
            <w:tcW w:w="2878" w:type="dxa"/>
            <w:vAlign w:val="center"/>
          </w:tcPr>
          <w:p w:rsidR="00771A80" w:rsidRDefault="00C95234" w:rsidP="00771A80">
            <w:pPr>
              <w:pStyle w:val="BulletStyl1"/>
              <w:numPr>
                <w:ilvl w:val="0"/>
                <w:numId w:val="0"/>
              </w:numPr>
              <w:jc w:val="left"/>
            </w:pPr>
            <w:r>
              <w:t>Cost</w:t>
            </w:r>
          </w:p>
        </w:tc>
      </w:tr>
      <w:tr w:rsidR="00771A80" w:rsidTr="003F7958">
        <w:trPr>
          <w:trHeight w:val="1034"/>
        </w:trPr>
        <w:tc>
          <w:tcPr>
            <w:tcW w:w="3415" w:type="dxa"/>
            <w:vAlign w:val="center"/>
          </w:tcPr>
          <w:p w:rsidR="00771A80" w:rsidRDefault="00CD6883" w:rsidP="002D299F">
            <w:pPr>
              <w:pStyle w:val="BulletStyl1"/>
              <w:numPr>
                <w:ilvl w:val="0"/>
                <w:numId w:val="0"/>
              </w:numPr>
              <w:jc w:val="left"/>
            </w:pPr>
            <w:r>
              <w:t xml:space="preserve">Measurement of </w:t>
            </w:r>
            <w:r w:rsidR="00ED3D3E">
              <w:t>p</w:t>
            </w:r>
            <w:r>
              <w:t xml:space="preserve">rincipal embedded in </w:t>
            </w:r>
            <w:r w:rsidR="00430D38">
              <w:t>c</w:t>
            </w:r>
            <w:r>
              <w:t xml:space="preserve">lean </w:t>
            </w:r>
            <w:r w:rsidR="00430D38">
              <w:t>e</w:t>
            </w:r>
            <w:r>
              <w:t xml:space="preserve">nergy </w:t>
            </w:r>
            <w:r w:rsidR="00430D38">
              <w:t>a</w:t>
            </w:r>
            <w:r>
              <w:t xml:space="preserve">djustment </w:t>
            </w:r>
            <w:r w:rsidR="003F7958">
              <w:t xml:space="preserve">(CEA) </w:t>
            </w:r>
            <w:r>
              <w:t>collections</w:t>
            </w:r>
          </w:p>
        </w:tc>
        <w:tc>
          <w:tcPr>
            <w:tcW w:w="2877" w:type="dxa"/>
            <w:vAlign w:val="center"/>
          </w:tcPr>
          <w:p w:rsidR="00771A80" w:rsidRDefault="00CD6883" w:rsidP="00771A80">
            <w:pPr>
              <w:pStyle w:val="BulletStyl1"/>
              <w:numPr>
                <w:ilvl w:val="0"/>
                <w:numId w:val="0"/>
              </w:numPr>
              <w:jc w:val="left"/>
            </w:pPr>
            <w:r w:rsidRPr="00CD6883">
              <w:t>Cash basis recognized as a decrease to the financial asset (no P&amp;L impact)</w:t>
            </w:r>
          </w:p>
        </w:tc>
        <w:tc>
          <w:tcPr>
            <w:tcW w:w="2878" w:type="dxa"/>
            <w:vAlign w:val="center"/>
          </w:tcPr>
          <w:p w:rsidR="00771A80" w:rsidRDefault="00CD6883" w:rsidP="00771A80">
            <w:pPr>
              <w:pStyle w:val="BulletStyl1"/>
              <w:numPr>
                <w:ilvl w:val="0"/>
                <w:numId w:val="0"/>
              </w:numPr>
              <w:jc w:val="left"/>
            </w:pPr>
            <w:r w:rsidRPr="00CD6883">
              <w:t>Accrual basis recognized as revenue with offset to amortization expense of the intangible</w:t>
            </w:r>
            <w:r>
              <w:t xml:space="preserve"> asset</w:t>
            </w:r>
          </w:p>
        </w:tc>
      </w:tr>
      <w:tr w:rsidR="00CD6883" w:rsidTr="00D112EA">
        <w:trPr>
          <w:trHeight w:val="1160"/>
        </w:trPr>
        <w:tc>
          <w:tcPr>
            <w:tcW w:w="3415" w:type="dxa"/>
            <w:vAlign w:val="center"/>
          </w:tcPr>
          <w:p w:rsidR="00CD6883" w:rsidRDefault="00430D38" w:rsidP="002A711B">
            <w:pPr>
              <w:pStyle w:val="BulletStyl1"/>
              <w:numPr>
                <w:ilvl w:val="0"/>
                <w:numId w:val="0"/>
              </w:numPr>
              <w:jc w:val="left"/>
            </w:pPr>
            <w:r>
              <w:lastRenderedPageBreak/>
              <w:t xml:space="preserve">Measurement of </w:t>
            </w:r>
            <w:r w:rsidR="00AA308B">
              <w:t>i</w:t>
            </w:r>
            <w:r>
              <w:t xml:space="preserve">nterest </w:t>
            </w:r>
            <w:r w:rsidR="00AA308B">
              <w:t>i</w:t>
            </w:r>
            <w:r>
              <w:t xml:space="preserve">ncome embedded in carrying costs and </w:t>
            </w:r>
            <w:r w:rsidR="002A711B">
              <w:t>CEA</w:t>
            </w:r>
            <w:r>
              <w:t xml:space="preserve"> collections</w:t>
            </w:r>
          </w:p>
        </w:tc>
        <w:tc>
          <w:tcPr>
            <w:tcW w:w="2877" w:type="dxa"/>
            <w:vAlign w:val="center"/>
          </w:tcPr>
          <w:p w:rsidR="00CD6883" w:rsidRPr="00CD6883" w:rsidRDefault="00E962A5" w:rsidP="00771A80">
            <w:pPr>
              <w:pStyle w:val="BulletStyl1"/>
              <w:numPr>
                <w:ilvl w:val="0"/>
                <w:numId w:val="0"/>
              </w:numPr>
              <w:jc w:val="left"/>
            </w:pPr>
            <w:r w:rsidRPr="00E962A5">
              <w:t>Calculated using the effective interest rate method applied to the financial asset</w:t>
            </w:r>
          </w:p>
        </w:tc>
        <w:tc>
          <w:tcPr>
            <w:tcW w:w="2878" w:type="dxa"/>
            <w:vAlign w:val="center"/>
          </w:tcPr>
          <w:p w:rsidR="00CD6883" w:rsidRPr="00CD6883" w:rsidRDefault="00E962A5" w:rsidP="00771A80">
            <w:pPr>
              <w:pStyle w:val="BulletStyl1"/>
              <w:numPr>
                <w:ilvl w:val="0"/>
                <w:numId w:val="0"/>
              </w:numPr>
              <w:jc w:val="left"/>
            </w:pPr>
            <w:r w:rsidRPr="00E962A5">
              <w:t>Accrual basis calculated using the coupon interest rate applied to the outstanding debt</w:t>
            </w:r>
          </w:p>
        </w:tc>
      </w:tr>
    </w:tbl>
    <w:p w:rsidR="00AA646E" w:rsidRDefault="00AA646E" w:rsidP="00F82E67">
      <w:pPr>
        <w:pStyle w:val="BulletStyl1"/>
        <w:numPr>
          <w:ilvl w:val="0"/>
          <w:numId w:val="0"/>
        </w:numPr>
      </w:pPr>
    </w:p>
    <w:p w:rsidR="007315AF" w:rsidRPr="00581E0B" w:rsidRDefault="0064550F" w:rsidP="00624B9D">
      <w:pPr>
        <w:keepNext/>
        <w:shd w:val="clear" w:color="auto" w:fill="A6A6A6"/>
        <w:tabs>
          <w:tab w:val="left" w:pos="1800"/>
          <w:tab w:val="left" w:pos="2160"/>
        </w:tabs>
        <w:ind w:left="0"/>
        <w:jc w:val="both"/>
        <w:rPr>
          <w:b/>
        </w:rPr>
      </w:pPr>
      <w:r>
        <w:rPr>
          <w:b/>
        </w:rPr>
        <w:t>HIGHLIGHTS</w:t>
      </w:r>
    </w:p>
    <w:p w:rsidR="007315AF" w:rsidRDefault="007315AF" w:rsidP="0064550F">
      <w:pPr>
        <w:tabs>
          <w:tab w:val="left" w:pos="1440"/>
          <w:tab w:val="left" w:pos="1800"/>
          <w:tab w:val="left" w:pos="2160"/>
          <w:tab w:val="right" w:pos="9864"/>
        </w:tabs>
        <w:ind w:left="0"/>
        <w:jc w:val="both"/>
      </w:pPr>
    </w:p>
    <w:p w:rsidR="00A87A95" w:rsidRPr="00AB1A98" w:rsidRDefault="00A87A95" w:rsidP="00AB1A98">
      <w:pPr>
        <w:tabs>
          <w:tab w:val="left" w:pos="1800"/>
          <w:tab w:val="left" w:pos="2160"/>
        </w:tabs>
        <w:jc w:val="both"/>
        <w:rPr>
          <w:rFonts w:cs="Arial"/>
        </w:rPr>
        <w:sectPr w:rsidR="00A87A95" w:rsidRPr="00AB1A98" w:rsidSect="00E6447F">
          <w:footerReference w:type="default" r:id="rId13"/>
          <w:footerReference w:type="first" r:id="rId14"/>
          <w:type w:val="continuous"/>
          <w:pgSz w:w="12240" w:h="15840" w:code="1"/>
          <w:pgMar w:top="720" w:right="900" w:bottom="720" w:left="2160" w:header="270" w:footer="213" w:gutter="0"/>
          <w:cols w:space="720"/>
          <w:formProt w:val="0"/>
          <w:titlePg/>
          <w:docGrid w:linePitch="272"/>
        </w:sectPr>
      </w:pPr>
    </w:p>
    <w:p w:rsidR="0009592F" w:rsidRDefault="0009592F" w:rsidP="0009592F">
      <w:pPr>
        <w:pStyle w:val="BulletStyl1"/>
        <w:numPr>
          <w:ilvl w:val="0"/>
          <w:numId w:val="0"/>
        </w:numPr>
      </w:pPr>
      <w:r>
        <w:rPr>
          <w:u w:val="single"/>
        </w:rPr>
        <w:t>OPG’s Consolidation of the Trust</w:t>
      </w:r>
    </w:p>
    <w:p w:rsidR="00B7051B" w:rsidRPr="00B7051B" w:rsidRDefault="00B7051B" w:rsidP="0009592F">
      <w:pPr>
        <w:pStyle w:val="BulletStyl1"/>
        <w:numPr>
          <w:ilvl w:val="0"/>
          <w:numId w:val="0"/>
        </w:numPr>
      </w:pPr>
    </w:p>
    <w:p w:rsidR="00190980" w:rsidRDefault="00471E0F" w:rsidP="00BD4132">
      <w:pPr>
        <w:tabs>
          <w:tab w:val="left" w:pos="4050"/>
        </w:tabs>
        <w:ind w:left="0"/>
        <w:jc w:val="both"/>
        <w:rPr>
          <w:rFonts w:cs="Arial"/>
        </w:rPr>
      </w:pPr>
      <w:r>
        <w:rPr>
          <w:rFonts w:cs="Arial"/>
        </w:rPr>
        <w:t>As part of management’s assessment of OPG’s ability to consolidate the Trust, the rights held</w:t>
      </w:r>
      <w:r w:rsidR="00EA62B9">
        <w:rPr>
          <w:rFonts w:cs="Arial"/>
        </w:rPr>
        <w:t xml:space="preserve"> by the Province of Ontario (Province) </w:t>
      </w:r>
      <w:r w:rsidR="00965188">
        <w:rPr>
          <w:rFonts w:cs="Arial"/>
        </w:rPr>
        <w:t xml:space="preserve">conveyed to it </w:t>
      </w:r>
      <w:r w:rsidR="00EA62B9">
        <w:rPr>
          <w:rFonts w:cs="Arial"/>
        </w:rPr>
        <w:t xml:space="preserve">through the </w:t>
      </w:r>
      <w:r w:rsidR="00965188">
        <w:rPr>
          <w:rFonts w:cs="Arial"/>
        </w:rPr>
        <w:t>Act, the General Regulation, and the Change of Law agreements were</w:t>
      </w:r>
      <w:r w:rsidR="00EA62B9">
        <w:rPr>
          <w:rFonts w:cs="Arial"/>
        </w:rPr>
        <w:t xml:space="preserve"> assessed in detail to ensure that they </w:t>
      </w:r>
      <w:r w:rsidR="000C1691">
        <w:rPr>
          <w:rFonts w:cs="Arial"/>
        </w:rPr>
        <w:t xml:space="preserve">do </w:t>
      </w:r>
      <w:r w:rsidR="00EA62B9">
        <w:rPr>
          <w:rFonts w:cs="Arial"/>
        </w:rPr>
        <w:t xml:space="preserve">not give </w:t>
      </w:r>
      <w:r w:rsidR="002F2F7E">
        <w:rPr>
          <w:rFonts w:cs="Arial"/>
        </w:rPr>
        <w:t>the Province</w:t>
      </w:r>
      <w:r w:rsidR="00EA62B9">
        <w:rPr>
          <w:rFonts w:cs="Arial"/>
        </w:rPr>
        <w:t xml:space="preserve"> the right to direct the Trust’s key activities or preclude OPG, as Financial Service Manager</w:t>
      </w:r>
      <w:r w:rsidR="00F3052D">
        <w:rPr>
          <w:rFonts w:cs="Arial"/>
        </w:rPr>
        <w:t>, from having control over the Trust.</w:t>
      </w:r>
      <w:r w:rsidR="00363897">
        <w:rPr>
          <w:rFonts w:cs="Arial"/>
        </w:rPr>
        <w:t xml:space="preserve">  Management concludes that the provisions in the referenced drafts of the Change of Law agreements, along with the Act and the updated General Regulation, </w:t>
      </w:r>
      <w:r w:rsidR="000C1691">
        <w:rPr>
          <w:rFonts w:cs="Arial"/>
        </w:rPr>
        <w:t xml:space="preserve">provide the Province with protective rights that do not give them power and do not preclude OPG from having power. </w:t>
      </w:r>
    </w:p>
    <w:p w:rsidR="000C1691" w:rsidRDefault="000C1691" w:rsidP="00BD4132">
      <w:pPr>
        <w:tabs>
          <w:tab w:val="left" w:pos="4050"/>
        </w:tabs>
        <w:ind w:left="0"/>
        <w:jc w:val="both"/>
        <w:rPr>
          <w:rFonts w:cs="Arial"/>
        </w:rPr>
      </w:pPr>
    </w:p>
    <w:p w:rsidR="00471E0F" w:rsidRPr="000C1691" w:rsidRDefault="00363BC6" w:rsidP="00BD4132">
      <w:pPr>
        <w:tabs>
          <w:tab w:val="left" w:pos="4050"/>
        </w:tabs>
        <w:ind w:left="0"/>
        <w:jc w:val="both"/>
        <w:rPr>
          <w:rFonts w:cs="Arial"/>
        </w:rPr>
      </w:pPr>
      <w:r>
        <w:rPr>
          <w:rFonts w:cs="Arial"/>
        </w:rPr>
        <w:t>EY has provided their concurrence with management’s analyses and conclusion that OPG</w:t>
      </w:r>
      <w:r w:rsidR="0030249F">
        <w:rPr>
          <w:rFonts w:cs="Arial"/>
        </w:rPr>
        <w:t>’s</w:t>
      </w:r>
      <w:r>
        <w:rPr>
          <w:rFonts w:cs="Arial"/>
        </w:rPr>
        <w:t xml:space="preserve"> </w:t>
      </w:r>
      <w:r w:rsidR="0030249F">
        <w:rPr>
          <w:rFonts w:cs="Arial"/>
        </w:rPr>
        <w:t xml:space="preserve">consolidation of the Trust </w:t>
      </w:r>
      <w:r>
        <w:rPr>
          <w:rFonts w:cs="Arial"/>
        </w:rPr>
        <w:t xml:space="preserve">under both US GAAP and IFRS </w:t>
      </w:r>
      <w:r w:rsidR="0030249F">
        <w:rPr>
          <w:rFonts w:cs="Arial"/>
        </w:rPr>
        <w:t xml:space="preserve">is supportable subject to all </w:t>
      </w:r>
      <w:r w:rsidR="00D60A20">
        <w:rPr>
          <w:rFonts w:cs="Arial"/>
        </w:rPr>
        <w:t xml:space="preserve">of the </w:t>
      </w:r>
      <w:r w:rsidR="0030249F">
        <w:rPr>
          <w:rFonts w:cs="Arial"/>
        </w:rPr>
        <w:t xml:space="preserve">documented assumptions in Appendix A </w:t>
      </w:r>
      <w:r w:rsidR="00D60A20">
        <w:rPr>
          <w:rFonts w:cs="Arial"/>
        </w:rPr>
        <w:t xml:space="preserve">of </w:t>
      </w:r>
      <w:r w:rsidR="000C1691">
        <w:rPr>
          <w:rFonts w:cs="Arial"/>
        </w:rPr>
        <w:t xml:space="preserve">the consolidation </w:t>
      </w:r>
      <w:r w:rsidR="00D60A20">
        <w:rPr>
          <w:rFonts w:cs="Arial"/>
        </w:rPr>
        <w:t>memorandum</w:t>
      </w:r>
      <w:r w:rsidR="000E34E4">
        <w:rPr>
          <w:rFonts w:cs="Arial"/>
        </w:rPr>
        <w:t>s</w:t>
      </w:r>
      <w:r w:rsidR="009B25ED">
        <w:rPr>
          <w:rFonts w:cs="Arial"/>
        </w:rPr>
        <w:t>.</w:t>
      </w:r>
      <w:r w:rsidR="00D60A20">
        <w:rPr>
          <w:rFonts w:cs="Arial"/>
        </w:rPr>
        <w:t xml:space="preserve"> </w:t>
      </w:r>
      <w:r w:rsidR="009D0782">
        <w:rPr>
          <w:rFonts w:cs="Arial"/>
        </w:rPr>
        <w:t>(R</w:t>
      </w:r>
      <w:r w:rsidR="00C5114A">
        <w:rPr>
          <w:rFonts w:cs="Arial"/>
        </w:rPr>
        <w:t xml:space="preserve">efer to </w:t>
      </w:r>
      <w:r w:rsidR="000C1691">
        <w:rPr>
          <w:rFonts w:cs="Arial"/>
        </w:rPr>
        <w:t xml:space="preserve">Appendix </w:t>
      </w:r>
      <w:r w:rsidR="001A4AD5">
        <w:rPr>
          <w:rFonts w:cs="Arial"/>
        </w:rPr>
        <w:t>2</w:t>
      </w:r>
      <w:r w:rsidR="000C1691">
        <w:rPr>
          <w:rFonts w:cs="Arial"/>
        </w:rPr>
        <w:t xml:space="preserve"> for </w:t>
      </w:r>
      <w:r w:rsidR="00C42452">
        <w:rPr>
          <w:rFonts w:cs="Arial"/>
        </w:rPr>
        <w:t xml:space="preserve">the </w:t>
      </w:r>
      <w:r w:rsidR="000C1691">
        <w:rPr>
          <w:rFonts w:cs="Arial"/>
        </w:rPr>
        <w:t xml:space="preserve">US GAAP </w:t>
      </w:r>
      <w:r w:rsidR="001D13EF">
        <w:rPr>
          <w:rFonts w:cs="Arial"/>
        </w:rPr>
        <w:t xml:space="preserve">consolidation </w:t>
      </w:r>
      <w:r w:rsidR="00C42452">
        <w:rPr>
          <w:rFonts w:cs="Arial"/>
        </w:rPr>
        <w:t xml:space="preserve">memorandum </w:t>
      </w:r>
      <w:r w:rsidR="000C1691">
        <w:rPr>
          <w:rFonts w:cs="Arial"/>
        </w:rPr>
        <w:t xml:space="preserve">and Appendix </w:t>
      </w:r>
      <w:r w:rsidR="001A4AD5">
        <w:rPr>
          <w:rFonts w:cs="Arial"/>
        </w:rPr>
        <w:t>4</w:t>
      </w:r>
      <w:r w:rsidR="000C1691">
        <w:rPr>
          <w:rFonts w:cs="Arial"/>
        </w:rPr>
        <w:t xml:space="preserve"> for </w:t>
      </w:r>
      <w:r w:rsidR="00C42452">
        <w:rPr>
          <w:rFonts w:cs="Arial"/>
        </w:rPr>
        <w:t xml:space="preserve">the </w:t>
      </w:r>
      <w:r w:rsidR="000C1691">
        <w:rPr>
          <w:rFonts w:cs="Arial"/>
        </w:rPr>
        <w:t>IFRS</w:t>
      </w:r>
      <w:r w:rsidR="00C42452">
        <w:rPr>
          <w:rFonts w:cs="Arial"/>
        </w:rPr>
        <w:t xml:space="preserve"> </w:t>
      </w:r>
      <w:r w:rsidR="001D13EF">
        <w:rPr>
          <w:rFonts w:cs="Arial"/>
        </w:rPr>
        <w:t xml:space="preserve">consolidation </w:t>
      </w:r>
      <w:r w:rsidR="00C42452">
        <w:rPr>
          <w:rFonts w:cs="Arial"/>
        </w:rPr>
        <w:t>memorandum</w:t>
      </w:r>
      <w:r w:rsidR="000C1691">
        <w:rPr>
          <w:rFonts w:cs="Arial"/>
        </w:rPr>
        <w:t>).</w:t>
      </w:r>
    </w:p>
    <w:p w:rsidR="00471E0F" w:rsidRDefault="00471E0F" w:rsidP="00BD4132">
      <w:pPr>
        <w:tabs>
          <w:tab w:val="left" w:pos="4050"/>
        </w:tabs>
        <w:ind w:left="0"/>
        <w:jc w:val="both"/>
        <w:rPr>
          <w:rFonts w:cs="Arial"/>
          <w:b/>
        </w:rPr>
      </w:pPr>
    </w:p>
    <w:p w:rsidR="009A1194" w:rsidRDefault="009A1194" w:rsidP="009A1194">
      <w:pPr>
        <w:pStyle w:val="BulletStyl1"/>
        <w:numPr>
          <w:ilvl w:val="0"/>
          <w:numId w:val="0"/>
        </w:numPr>
      </w:pPr>
      <w:r>
        <w:rPr>
          <w:u w:val="single"/>
        </w:rPr>
        <w:t xml:space="preserve">Day-to-day (“Day 2”) Accounting </w:t>
      </w:r>
    </w:p>
    <w:p w:rsidR="002C1172" w:rsidRDefault="002C1172" w:rsidP="00BD4132">
      <w:pPr>
        <w:tabs>
          <w:tab w:val="left" w:pos="4050"/>
        </w:tabs>
        <w:ind w:left="0"/>
        <w:jc w:val="both"/>
        <w:rPr>
          <w:rFonts w:cs="Arial"/>
          <w:b/>
        </w:rPr>
      </w:pPr>
    </w:p>
    <w:p w:rsidR="000D5F57" w:rsidRDefault="00912915" w:rsidP="006B4E5C">
      <w:pPr>
        <w:pStyle w:val="BulletStyl1"/>
        <w:numPr>
          <w:ilvl w:val="0"/>
          <w:numId w:val="0"/>
        </w:numPr>
        <w:rPr>
          <w:rFonts w:cs="Arial"/>
        </w:rPr>
      </w:pPr>
      <w:r>
        <w:t xml:space="preserve">The most significant difference between the accounting conclusions under US GAAP and IFRS is the classification of the ‘right to collect’ asset.  As noted in the summary table above, the asset is classified as a financial asset under US GAAP and as an intangible asset under IFRS.  </w:t>
      </w:r>
      <w:r w:rsidR="00D005C4">
        <w:t xml:space="preserve">The </w:t>
      </w:r>
      <w:r w:rsidR="00E94133">
        <w:t xml:space="preserve">primary </w:t>
      </w:r>
      <w:r w:rsidR="003F7958">
        <w:t xml:space="preserve">driver is the difference in guidance where </w:t>
      </w:r>
      <w:r w:rsidR="009A1194">
        <w:t xml:space="preserve">US GAAP has a concept </w:t>
      </w:r>
      <w:r w:rsidR="003F7958">
        <w:t xml:space="preserve">of </w:t>
      </w:r>
      <w:r w:rsidR="009A1194">
        <w:t>structured financial assets and there is no equivalent concept under IFRS</w:t>
      </w:r>
      <w:r w:rsidR="003F7958">
        <w:t xml:space="preserve">.  </w:t>
      </w:r>
      <w:r w:rsidR="009A1194">
        <w:t xml:space="preserve">The considerations to determine whether an arrangement is a contract or not under IAS 32 </w:t>
      </w:r>
      <w:r w:rsidR="009A1194" w:rsidRPr="003F7958">
        <w:rPr>
          <w:i/>
        </w:rPr>
        <w:t>Financial Instruments</w:t>
      </w:r>
      <w:r w:rsidR="009A1194">
        <w:t xml:space="preserve"> requires professional judgement. OPG’s conclusion under US GAAP is that the Trust has a contract with the IESO following the application of the financial asset guidance, whereas, in the absence of similar guidance</w:t>
      </w:r>
      <w:r w:rsidR="009D0782">
        <w:t xml:space="preserve"> under IFRS</w:t>
      </w:r>
      <w:r w:rsidR="009A1194">
        <w:t xml:space="preserve">, it was concluded that the contract is with the pool of specified consumers that bear the ultimate responsibility to pay for the CEAs. Not having a contractual right to cash flows from a specific entity precludes the classification of a financial asset under IFRS.  </w:t>
      </w:r>
      <w:r w:rsidR="000D5F57" w:rsidRPr="000D5F57">
        <w:rPr>
          <w:rFonts w:cs="Arial"/>
        </w:rPr>
        <w:t xml:space="preserve">The </w:t>
      </w:r>
      <w:r w:rsidR="000D5F57">
        <w:rPr>
          <w:rFonts w:cs="Arial"/>
        </w:rPr>
        <w:t xml:space="preserve">remaining differences </w:t>
      </w:r>
      <w:r w:rsidR="00017B46">
        <w:rPr>
          <w:rFonts w:cs="Arial"/>
        </w:rPr>
        <w:t>shown in the table above</w:t>
      </w:r>
      <w:r w:rsidR="00A37F13">
        <w:rPr>
          <w:rFonts w:cs="Arial"/>
        </w:rPr>
        <w:t xml:space="preserve"> </w:t>
      </w:r>
      <w:r w:rsidR="000D5F57">
        <w:rPr>
          <w:rFonts w:cs="Arial"/>
        </w:rPr>
        <w:t>are driven by the classification of the underlying asset</w:t>
      </w:r>
      <w:r w:rsidR="00A37F13">
        <w:rPr>
          <w:rFonts w:cs="Arial"/>
        </w:rPr>
        <w:t>s</w:t>
      </w:r>
      <w:r w:rsidR="000D5F57">
        <w:rPr>
          <w:rFonts w:cs="Arial"/>
        </w:rPr>
        <w:t xml:space="preserve">.  </w:t>
      </w:r>
    </w:p>
    <w:p w:rsidR="0049043E" w:rsidRPr="00936676" w:rsidRDefault="0049043E" w:rsidP="00936676">
      <w:pPr>
        <w:pStyle w:val="BulletStyl1"/>
        <w:numPr>
          <w:ilvl w:val="0"/>
          <w:numId w:val="0"/>
        </w:numPr>
      </w:pPr>
    </w:p>
    <w:p w:rsidR="0049043E" w:rsidRPr="000D5F57" w:rsidRDefault="0049043E" w:rsidP="006B4E5C">
      <w:pPr>
        <w:pStyle w:val="BulletStyl1"/>
        <w:numPr>
          <w:ilvl w:val="0"/>
          <w:numId w:val="0"/>
        </w:numPr>
        <w:rPr>
          <w:rFonts w:cs="Arial"/>
        </w:rPr>
      </w:pPr>
      <w:r>
        <w:rPr>
          <w:rFonts w:cs="Arial"/>
        </w:rPr>
        <w:t xml:space="preserve">EY has </w:t>
      </w:r>
      <w:r w:rsidR="00D60A20">
        <w:rPr>
          <w:rFonts w:cs="Arial"/>
        </w:rPr>
        <w:t xml:space="preserve">also </w:t>
      </w:r>
      <w:r>
        <w:rPr>
          <w:rFonts w:cs="Arial"/>
        </w:rPr>
        <w:t>provided their concurrence with management’s accounting treatment</w:t>
      </w:r>
      <w:r w:rsidR="00D60A20">
        <w:rPr>
          <w:rFonts w:cs="Arial"/>
        </w:rPr>
        <w:t>s</w:t>
      </w:r>
      <w:r>
        <w:rPr>
          <w:rFonts w:cs="Arial"/>
        </w:rPr>
        <w:t xml:space="preserve"> of the expected transactions as documented in the attached </w:t>
      </w:r>
      <w:r w:rsidR="00B876B1">
        <w:rPr>
          <w:rFonts w:cs="Arial"/>
        </w:rPr>
        <w:t>M</w:t>
      </w:r>
      <w:r>
        <w:rPr>
          <w:rFonts w:cs="Arial"/>
        </w:rPr>
        <w:t>emorandum</w:t>
      </w:r>
      <w:bookmarkStart w:id="0" w:name="_GoBack"/>
      <w:bookmarkEnd w:id="0"/>
      <w:r>
        <w:rPr>
          <w:rFonts w:cs="Arial"/>
        </w:rPr>
        <w:t xml:space="preserve">s </w:t>
      </w:r>
      <w:r w:rsidR="00D60A20">
        <w:rPr>
          <w:rFonts w:cs="Arial"/>
        </w:rPr>
        <w:t xml:space="preserve">subject to all of the documented assumptions not changing </w:t>
      </w:r>
      <w:r>
        <w:rPr>
          <w:rFonts w:cs="Arial"/>
        </w:rPr>
        <w:t>(</w:t>
      </w:r>
      <w:r w:rsidR="00C42452">
        <w:rPr>
          <w:rFonts w:cs="Arial"/>
        </w:rPr>
        <w:t xml:space="preserve">refer to Appendix </w:t>
      </w:r>
      <w:r w:rsidR="0075701D">
        <w:rPr>
          <w:rFonts w:cs="Arial"/>
        </w:rPr>
        <w:t>3</w:t>
      </w:r>
      <w:r w:rsidR="00C42452">
        <w:rPr>
          <w:rFonts w:cs="Arial"/>
        </w:rPr>
        <w:t xml:space="preserve"> for the US GAAP </w:t>
      </w:r>
      <w:r w:rsidR="00242C07">
        <w:rPr>
          <w:rFonts w:cs="Arial"/>
        </w:rPr>
        <w:t xml:space="preserve">Day 2 </w:t>
      </w:r>
      <w:r w:rsidR="00C42452">
        <w:rPr>
          <w:rFonts w:cs="Arial"/>
        </w:rPr>
        <w:t xml:space="preserve">memorandum and Appendix </w:t>
      </w:r>
      <w:r w:rsidR="0075701D">
        <w:rPr>
          <w:rFonts w:cs="Arial"/>
        </w:rPr>
        <w:t>5</w:t>
      </w:r>
      <w:r w:rsidR="00C42452">
        <w:rPr>
          <w:rFonts w:cs="Arial"/>
        </w:rPr>
        <w:t xml:space="preserve"> for the IFRS </w:t>
      </w:r>
      <w:r w:rsidR="00413374">
        <w:rPr>
          <w:rFonts w:cs="Arial"/>
        </w:rPr>
        <w:br/>
      </w:r>
      <w:r w:rsidR="00242C07">
        <w:rPr>
          <w:rFonts w:cs="Arial"/>
        </w:rPr>
        <w:t xml:space="preserve">Day 2 </w:t>
      </w:r>
      <w:r w:rsidR="00C42452">
        <w:rPr>
          <w:rFonts w:cs="Arial"/>
        </w:rPr>
        <w:t>memorandum</w:t>
      </w:r>
      <w:r>
        <w:rPr>
          <w:rFonts w:cs="Arial"/>
        </w:rPr>
        <w:t xml:space="preserve">). </w:t>
      </w:r>
    </w:p>
    <w:p w:rsidR="009A1194" w:rsidRDefault="009A1194" w:rsidP="00BD4132">
      <w:pPr>
        <w:tabs>
          <w:tab w:val="left" w:pos="4050"/>
        </w:tabs>
        <w:ind w:left="0"/>
        <w:jc w:val="both"/>
        <w:rPr>
          <w:rFonts w:cs="Arial"/>
          <w:b/>
        </w:rPr>
      </w:pPr>
    </w:p>
    <w:p w:rsidR="00CA5D68" w:rsidRDefault="00CA5D68" w:rsidP="00BD4132">
      <w:pPr>
        <w:tabs>
          <w:tab w:val="left" w:pos="4050"/>
        </w:tabs>
        <w:ind w:left="0"/>
        <w:jc w:val="both"/>
        <w:rPr>
          <w:rFonts w:cs="Arial"/>
        </w:rPr>
      </w:pPr>
      <w:r>
        <w:rPr>
          <w:rFonts w:cs="Arial"/>
          <w:u w:val="single"/>
        </w:rPr>
        <w:t>Next Steps</w:t>
      </w:r>
    </w:p>
    <w:p w:rsidR="00CA5D68" w:rsidRDefault="00CA5D68" w:rsidP="00BD4132">
      <w:pPr>
        <w:tabs>
          <w:tab w:val="left" w:pos="4050"/>
        </w:tabs>
        <w:ind w:left="0"/>
        <w:jc w:val="both"/>
        <w:rPr>
          <w:rFonts w:cs="Arial"/>
        </w:rPr>
      </w:pPr>
    </w:p>
    <w:p w:rsidR="00CA5D68" w:rsidRPr="00CA5D68" w:rsidRDefault="00CA5D68" w:rsidP="00CA5D68">
      <w:pPr>
        <w:tabs>
          <w:tab w:val="left" w:pos="4050"/>
        </w:tabs>
        <w:ind w:left="0"/>
        <w:jc w:val="both"/>
        <w:rPr>
          <w:rFonts w:cs="Arial"/>
        </w:rPr>
      </w:pPr>
      <w:r>
        <w:rPr>
          <w:rFonts w:cs="Arial"/>
        </w:rPr>
        <w:t xml:space="preserve">Management will update the Memorandums to reflect the final contents and provisions of the relevant program agreements, however, no material changes to the documented conclusions are expected as such agreements reviewed by management and EY (as noted in the </w:t>
      </w:r>
      <w:r w:rsidRPr="00CA5D68">
        <w:rPr>
          <w:rFonts w:cs="Arial"/>
        </w:rPr>
        <w:t>‘Status of</w:t>
      </w:r>
      <w:r>
        <w:rPr>
          <w:rFonts w:cs="Arial"/>
        </w:rPr>
        <w:t xml:space="preserve"> </w:t>
      </w:r>
      <w:r w:rsidRPr="00CA5D68">
        <w:rPr>
          <w:rFonts w:cs="Arial"/>
        </w:rPr>
        <w:t>Program Agreements’ section in the Memorandums</w:t>
      </w:r>
      <w:r>
        <w:rPr>
          <w:rFonts w:cs="Arial"/>
        </w:rPr>
        <w:t xml:space="preserve">) were close to final form.  </w:t>
      </w:r>
    </w:p>
    <w:p w:rsidR="000C717B" w:rsidRDefault="000C717B" w:rsidP="00BD4132">
      <w:pPr>
        <w:tabs>
          <w:tab w:val="left" w:pos="4050"/>
        </w:tabs>
        <w:ind w:left="0"/>
        <w:jc w:val="both"/>
        <w:rPr>
          <w:rFonts w:cs="Arial"/>
          <w:b/>
        </w:rPr>
      </w:pPr>
    </w:p>
    <w:p w:rsidR="00581E0B" w:rsidRDefault="0064550F" w:rsidP="00BD4132">
      <w:pPr>
        <w:tabs>
          <w:tab w:val="left" w:pos="4050"/>
        </w:tabs>
        <w:ind w:left="0"/>
        <w:jc w:val="both"/>
        <w:rPr>
          <w:rFonts w:cs="Arial"/>
          <w:b/>
        </w:rPr>
      </w:pPr>
      <w:r>
        <w:rPr>
          <w:rFonts w:cs="Arial"/>
          <w:b/>
        </w:rPr>
        <w:t xml:space="preserve">Submitted by: </w:t>
      </w:r>
    </w:p>
    <w:p w:rsidR="0064550F" w:rsidRDefault="0064550F" w:rsidP="00BE4940">
      <w:pPr>
        <w:tabs>
          <w:tab w:val="left" w:pos="4050"/>
        </w:tabs>
        <w:ind w:left="0"/>
        <w:jc w:val="both"/>
        <w:rPr>
          <w:rFonts w:cs="Arial"/>
        </w:rPr>
      </w:pPr>
    </w:p>
    <w:p w:rsidR="006A228E" w:rsidRDefault="006A228E" w:rsidP="00BE4940">
      <w:pPr>
        <w:tabs>
          <w:tab w:val="left" w:pos="4050"/>
        </w:tabs>
        <w:ind w:left="0"/>
        <w:jc w:val="both"/>
        <w:rPr>
          <w:rFonts w:cs="Arial"/>
        </w:rPr>
      </w:pPr>
    </w:p>
    <w:p w:rsidR="00F866EB" w:rsidRDefault="00F866EB" w:rsidP="00AB1A98">
      <w:pPr>
        <w:tabs>
          <w:tab w:val="left" w:pos="4050"/>
        </w:tabs>
        <w:ind w:left="0"/>
        <w:jc w:val="both"/>
        <w:rPr>
          <w:rFonts w:cs="Arial"/>
        </w:rPr>
      </w:pPr>
    </w:p>
    <w:p w:rsidR="006A23DD" w:rsidRDefault="006A23DD" w:rsidP="00AB1A98">
      <w:pPr>
        <w:tabs>
          <w:tab w:val="left" w:pos="4050"/>
        </w:tabs>
        <w:ind w:left="0"/>
        <w:jc w:val="both"/>
        <w:rPr>
          <w:rFonts w:cs="Arial"/>
        </w:rPr>
      </w:pPr>
    </w:p>
    <w:p w:rsidR="000E34E4" w:rsidRPr="000E34E4" w:rsidRDefault="000E34E4" w:rsidP="000E34E4">
      <w:pPr>
        <w:tabs>
          <w:tab w:val="left" w:pos="4050"/>
        </w:tabs>
        <w:ind w:left="0"/>
        <w:jc w:val="both"/>
        <w:rPr>
          <w:rFonts w:cs="Arial"/>
          <w:i/>
        </w:rPr>
      </w:pPr>
      <w:r w:rsidRPr="000E34E4">
        <w:rPr>
          <w:rFonts w:cs="Arial"/>
        </w:rPr>
        <w:t xml:space="preserve">     </w:t>
      </w:r>
      <w:r w:rsidRPr="000E34E4">
        <w:rPr>
          <w:rFonts w:cs="Arial"/>
          <w:i/>
        </w:rPr>
        <w:t>“Original signed by”</w:t>
      </w:r>
    </w:p>
    <w:p w:rsidR="0064550F" w:rsidRDefault="000E34E4" w:rsidP="000E34E4">
      <w:pPr>
        <w:tabs>
          <w:tab w:val="left" w:pos="4050"/>
        </w:tabs>
        <w:ind w:left="0"/>
        <w:jc w:val="both"/>
        <w:rPr>
          <w:rFonts w:cs="Arial"/>
        </w:rPr>
      </w:pPr>
      <w:r w:rsidRPr="000E34E4">
        <w:rPr>
          <w:rFonts w:cs="Arial"/>
        </w:rPr>
        <w:t>_________________________</w:t>
      </w:r>
      <w:r w:rsidR="003D6655" w:rsidRPr="00E252BC">
        <w:rPr>
          <w:rFonts w:cs="Arial"/>
        </w:rPr>
        <w:t>__</w:t>
      </w:r>
    </w:p>
    <w:p w:rsidR="00581E0B" w:rsidRPr="00E252BC" w:rsidRDefault="002C1172" w:rsidP="00AB1A98">
      <w:pPr>
        <w:tabs>
          <w:tab w:val="left" w:pos="4050"/>
        </w:tabs>
        <w:ind w:left="0"/>
        <w:jc w:val="both"/>
        <w:rPr>
          <w:rFonts w:cs="Arial"/>
        </w:rPr>
      </w:pPr>
      <w:r>
        <w:rPr>
          <w:rFonts w:cs="Arial"/>
        </w:rPr>
        <w:t>Ken Hartwick</w:t>
      </w:r>
      <w:r w:rsidR="00581E0B" w:rsidRPr="00E252BC">
        <w:rPr>
          <w:rFonts w:cs="Arial"/>
        </w:rPr>
        <w:tab/>
      </w:r>
    </w:p>
    <w:p w:rsidR="00E252BC" w:rsidRDefault="002C1172" w:rsidP="00BE4940">
      <w:pPr>
        <w:tabs>
          <w:tab w:val="left" w:pos="5040"/>
        </w:tabs>
        <w:ind w:left="0"/>
        <w:jc w:val="both"/>
        <w:rPr>
          <w:rFonts w:cs="Arial"/>
        </w:rPr>
      </w:pPr>
      <w:r>
        <w:rPr>
          <w:rFonts w:cs="Arial"/>
          <w:lang w:val="en-CA" w:eastAsia="en-CA"/>
        </w:rPr>
        <w:t xml:space="preserve">Chief Financial Officer &amp; Senior Vice President </w:t>
      </w:r>
      <w:r>
        <w:rPr>
          <w:rFonts w:ascii="ArialMT" w:hAnsi="ArialMT" w:cs="ArialMT"/>
          <w:lang w:val="en-CA" w:eastAsia="en-CA"/>
        </w:rPr>
        <w:t xml:space="preserve">– </w:t>
      </w:r>
      <w:r>
        <w:rPr>
          <w:rFonts w:cs="Arial"/>
          <w:lang w:val="en-CA" w:eastAsia="en-CA"/>
        </w:rPr>
        <w:t>Finance</w:t>
      </w:r>
    </w:p>
    <w:p w:rsidR="006345BD" w:rsidRDefault="006345BD" w:rsidP="00EB54D4">
      <w:pPr>
        <w:tabs>
          <w:tab w:val="left" w:pos="1800"/>
          <w:tab w:val="left" w:pos="2160"/>
        </w:tabs>
        <w:jc w:val="both"/>
        <w:rPr>
          <w:rFonts w:cs="Arial"/>
        </w:rPr>
      </w:pPr>
    </w:p>
    <w:p w:rsidR="00581E0B" w:rsidRPr="00E252BC" w:rsidRDefault="00E252BC" w:rsidP="00BD4132">
      <w:pPr>
        <w:shd w:val="clear" w:color="auto" w:fill="A6A6A6"/>
        <w:ind w:left="0"/>
        <w:jc w:val="both"/>
        <w:rPr>
          <w:rFonts w:ascii="Arial Bold" w:hAnsi="Arial Bold"/>
          <w:b/>
          <w:smallCaps/>
        </w:rPr>
      </w:pPr>
      <w:r>
        <w:rPr>
          <w:rFonts w:ascii="Arial Bold" w:hAnsi="Arial Bold"/>
          <w:b/>
          <w:smallCaps/>
        </w:rPr>
        <w:t>Appendices</w:t>
      </w:r>
      <w:r>
        <w:rPr>
          <w:rFonts w:ascii="Arial Bold" w:hAnsi="Arial Bold"/>
          <w:b/>
          <w:smallCaps/>
        </w:rPr>
        <w:tab/>
      </w:r>
    </w:p>
    <w:p w:rsidR="00E252BC" w:rsidRDefault="00E252BC" w:rsidP="00BD4132">
      <w:pPr>
        <w:tabs>
          <w:tab w:val="left" w:pos="540"/>
          <w:tab w:val="left" w:pos="1440"/>
        </w:tabs>
        <w:ind w:left="540" w:right="-397" w:hanging="540"/>
        <w:jc w:val="both"/>
        <w:rPr>
          <w:rFonts w:cs="Arial"/>
        </w:rPr>
      </w:pPr>
    </w:p>
    <w:p w:rsidR="00332750" w:rsidRDefault="00332750" w:rsidP="00292133">
      <w:pPr>
        <w:pStyle w:val="CircleStyle3"/>
        <w:numPr>
          <w:ilvl w:val="0"/>
          <w:numId w:val="15"/>
        </w:numPr>
        <w:tabs>
          <w:tab w:val="clear" w:pos="1260"/>
          <w:tab w:val="clear" w:pos="1620"/>
          <w:tab w:val="left" w:pos="450"/>
          <w:tab w:val="left" w:pos="630"/>
        </w:tabs>
        <w:ind w:left="630" w:hanging="630"/>
      </w:pPr>
      <w:r>
        <w:t xml:space="preserve">EY’s </w:t>
      </w:r>
      <w:r w:rsidR="001A4AD5">
        <w:t>Concurrence Letter</w:t>
      </w:r>
      <w:r w:rsidR="00276723">
        <w:t xml:space="preserve"> </w:t>
      </w:r>
    </w:p>
    <w:p w:rsidR="00292133" w:rsidRDefault="00292133" w:rsidP="00292133">
      <w:pPr>
        <w:pStyle w:val="CircleStyle3"/>
        <w:numPr>
          <w:ilvl w:val="0"/>
          <w:numId w:val="15"/>
        </w:numPr>
        <w:tabs>
          <w:tab w:val="clear" w:pos="1260"/>
          <w:tab w:val="clear" w:pos="1620"/>
          <w:tab w:val="left" w:pos="450"/>
          <w:tab w:val="left" w:pos="630"/>
        </w:tabs>
        <w:ind w:left="630" w:hanging="630"/>
      </w:pPr>
      <w:r>
        <w:t xml:space="preserve">Appendix </w:t>
      </w:r>
      <w:r w:rsidR="001A4AD5">
        <w:t>2</w:t>
      </w:r>
      <w:r>
        <w:t xml:space="preserve"> – Consolidation Considerations of the Fair Hydro Trust Under US GAAP</w:t>
      </w:r>
    </w:p>
    <w:p w:rsidR="00292133" w:rsidRDefault="00292133" w:rsidP="00292133">
      <w:pPr>
        <w:pStyle w:val="CircleStyle3"/>
        <w:numPr>
          <w:ilvl w:val="0"/>
          <w:numId w:val="15"/>
        </w:numPr>
        <w:tabs>
          <w:tab w:val="clear" w:pos="1260"/>
          <w:tab w:val="clear" w:pos="1620"/>
          <w:tab w:val="left" w:pos="450"/>
          <w:tab w:val="left" w:pos="630"/>
        </w:tabs>
        <w:ind w:left="630" w:hanging="630"/>
      </w:pPr>
      <w:r>
        <w:t xml:space="preserve">Appendix </w:t>
      </w:r>
      <w:r w:rsidR="001A4AD5">
        <w:t>3</w:t>
      </w:r>
      <w:r>
        <w:t xml:space="preserve"> – Day 2 Accounting Considerations for the Fair Hydro Plan Under US GAAP</w:t>
      </w:r>
    </w:p>
    <w:p w:rsidR="00292133" w:rsidRDefault="00292133" w:rsidP="00292133">
      <w:pPr>
        <w:pStyle w:val="CircleStyle3"/>
        <w:numPr>
          <w:ilvl w:val="0"/>
          <w:numId w:val="15"/>
        </w:numPr>
        <w:tabs>
          <w:tab w:val="clear" w:pos="1260"/>
          <w:tab w:val="clear" w:pos="1620"/>
          <w:tab w:val="left" w:pos="450"/>
          <w:tab w:val="left" w:pos="630"/>
        </w:tabs>
        <w:ind w:left="630" w:hanging="630"/>
      </w:pPr>
      <w:r>
        <w:t xml:space="preserve">Appendix </w:t>
      </w:r>
      <w:r w:rsidR="001A4AD5">
        <w:t>4</w:t>
      </w:r>
      <w:r>
        <w:t xml:space="preserve"> – Consolidation Considerations of the Fair Hydro Trust Under IFRS </w:t>
      </w:r>
    </w:p>
    <w:p w:rsidR="00292133" w:rsidRDefault="00BE2DE1" w:rsidP="00292133">
      <w:pPr>
        <w:pStyle w:val="CircleStyle3"/>
        <w:numPr>
          <w:ilvl w:val="0"/>
          <w:numId w:val="15"/>
        </w:numPr>
        <w:tabs>
          <w:tab w:val="clear" w:pos="1260"/>
          <w:tab w:val="clear" w:pos="1620"/>
          <w:tab w:val="left" w:pos="450"/>
          <w:tab w:val="left" w:pos="630"/>
        </w:tabs>
        <w:ind w:left="630" w:hanging="630"/>
      </w:pPr>
      <w:r>
        <w:t xml:space="preserve">Appendix </w:t>
      </w:r>
      <w:r w:rsidR="001A4AD5">
        <w:t>5</w:t>
      </w:r>
      <w:r>
        <w:t xml:space="preserve"> – </w:t>
      </w:r>
      <w:r w:rsidR="00292133">
        <w:t>Day</w:t>
      </w:r>
      <w:r>
        <w:t xml:space="preserve"> </w:t>
      </w:r>
      <w:r w:rsidR="00292133">
        <w:t xml:space="preserve">2 Accounting Considerations for the Fair Hydro Plan Under IFRS </w:t>
      </w:r>
    </w:p>
    <w:p w:rsidR="00E64019" w:rsidRDefault="00E64019">
      <w:pPr>
        <w:ind w:left="0"/>
        <w:rPr>
          <w:rFonts w:cs="Arial"/>
        </w:rPr>
      </w:pPr>
    </w:p>
    <w:sectPr w:rsidR="00E64019" w:rsidSect="00E6447F">
      <w:type w:val="continuous"/>
      <w:pgSz w:w="12240" w:h="15840" w:code="1"/>
      <w:pgMar w:top="1008" w:right="810" w:bottom="360" w:left="2160" w:header="274" w:footer="216" w:gutter="0"/>
      <w:cols w:space="720"/>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76D" w:rsidRDefault="0010176D" w:rsidP="00377EDF">
      <w:r>
        <w:separator/>
      </w:r>
    </w:p>
  </w:endnote>
  <w:endnote w:type="continuationSeparator" w:id="0">
    <w:p w:rsidR="0010176D" w:rsidRDefault="0010176D" w:rsidP="00377EDF">
      <w:r>
        <w:continuationSeparator/>
      </w:r>
    </w:p>
  </w:endnote>
  <w:endnote w:type="continuationNotice" w:id="1">
    <w:p w:rsidR="0010176D" w:rsidRDefault="001017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94E" w:rsidRDefault="00D9553F" w:rsidP="003A193B">
    <w:pPr>
      <w:pStyle w:val="Footer"/>
      <w:jc w:val="right"/>
    </w:pPr>
    <w:r>
      <w:fldChar w:fldCharType="begin"/>
    </w:r>
    <w:r>
      <w:instrText xml:space="preserve"> PAGE  \* Arabic  \* MERGEFORMAT </w:instrText>
    </w:r>
    <w:r>
      <w:fldChar w:fldCharType="separate"/>
    </w:r>
    <w:r w:rsidR="00E66630">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94E" w:rsidRDefault="00BB394E" w:rsidP="003A001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76D" w:rsidRDefault="0010176D" w:rsidP="00377EDF">
      <w:r>
        <w:separator/>
      </w:r>
    </w:p>
  </w:footnote>
  <w:footnote w:type="continuationSeparator" w:id="0">
    <w:p w:rsidR="0010176D" w:rsidRDefault="0010176D" w:rsidP="00377EDF">
      <w:r>
        <w:continuationSeparator/>
      </w:r>
    </w:p>
  </w:footnote>
  <w:footnote w:type="continuationNotice" w:id="1">
    <w:p w:rsidR="0010176D" w:rsidRDefault="0010176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04EF4"/>
    <w:multiLevelType w:val="hybridMultilevel"/>
    <w:tmpl w:val="ABB031F6"/>
    <w:lvl w:ilvl="0" w:tplc="36AE0E50">
      <w:start w:val="1"/>
      <w:numFmt w:val="bullet"/>
      <w:pStyle w:val="StarStyle1"/>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17096824"/>
    <w:multiLevelType w:val="hybridMultilevel"/>
    <w:tmpl w:val="043A5D76"/>
    <w:lvl w:ilvl="0" w:tplc="1009000F">
      <w:start w:val="1"/>
      <w:numFmt w:val="decimal"/>
      <w:lvlText w:val="%1."/>
      <w:lvlJc w:val="left"/>
      <w:pPr>
        <w:ind w:left="450" w:hanging="360"/>
      </w:p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2" w15:restartNumberingAfterBreak="0">
    <w:nsid w:val="20545E89"/>
    <w:multiLevelType w:val="hybridMultilevel"/>
    <w:tmpl w:val="F86AB37A"/>
    <w:lvl w:ilvl="0" w:tplc="FA82E97A">
      <w:start w:val="416"/>
      <w:numFmt w:val="bullet"/>
      <w:pStyle w:val="-HyphenStyle"/>
      <w:lvlText w:val=""/>
      <w:lvlJc w:val="left"/>
      <w:pPr>
        <w:ind w:left="1620" w:hanging="360"/>
      </w:pPr>
      <w:rPr>
        <w:rFonts w:ascii="Symbol" w:eastAsia="Times New Roman" w:hAnsi="Symbol" w:cs="Arial" w:hint="default"/>
      </w:rPr>
    </w:lvl>
    <w:lvl w:ilvl="1" w:tplc="10090003" w:tentative="1">
      <w:start w:val="1"/>
      <w:numFmt w:val="bullet"/>
      <w:lvlText w:val="o"/>
      <w:lvlJc w:val="left"/>
      <w:pPr>
        <w:ind w:left="2340" w:hanging="360"/>
      </w:pPr>
      <w:rPr>
        <w:rFonts w:ascii="Courier New" w:hAnsi="Courier New" w:cs="Courier New" w:hint="default"/>
      </w:rPr>
    </w:lvl>
    <w:lvl w:ilvl="2" w:tplc="10090005" w:tentative="1">
      <w:start w:val="1"/>
      <w:numFmt w:val="bullet"/>
      <w:lvlText w:val=""/>
      <w:lvlJc w:val="left"/>
      <w:pPr>
        <w:ind w:left="3060" w:hanging="360"/>
      </w:pPr>
      <w:rPr>
        <w:rFonts w:ascii="Wingdings" w:hAnsi="Wingdings" w:hint="default"/>
      </w:rPr>
    </w:lvl>
    <w:lvl w:ilvl="3" w:tplc="10090001" w:tentative="1">
      <w:start w:val="1"/>
      <w:numFmt w:val="bullet"/>
      <w:lvlText w:val=""/>
      <w:lvlJc w:val="left"/>
      <w:pPr>
        <w:ind w:left="3780" w:hanging="360"/>
      </w:pPr>
      <w:rPr>
        <w:rFonts w:ascii="Symbol" w:hAnsi="Symbol" w:hint="default"/>
      </w:rPr>
    </w:lvl>
    <w:lvl w:ilvl="4" w:tplc="10090003" w:tentative="1">
      <w:start w:val="1"/>
      <w:numFmt w:val="bullet"/>
      <w:lvlText w:val="o"/>
      <w:lvlJc w:val="left"/>
      <w:pPr>
        <w:ind w:left="4500" w:hanging="360"/>
      </w:pPr>
      <w:rPr>
        <w:rFonts w:ascii="Courier New" w:hAnsi="Courier New" w:cs="Courier New" w:hint="default"/>
      </w:rPr>
    </w:lvl>
    <w:lvl w:ilvl="5" w:tplc="10090005" w:tentative="1">
      <w:start w:val="1"/>
      <w:numFmt w:val="bullet"/>
      <w:lvlText w:val=""/>
      <w:lvlJc w:val="left"/>
      <w:pPr>
        <w:ind w:left="5220" w:hanging="360"/>
      </w:pPr>
      <w:rPr>
        <w:rFonts w:ascii="Wingdings" w:hAnsi="Wingdings" w:hint="default"/>
      </w:rPr>
    </w:lvl>
    <w:lvl w:ilvl="6" w:tplc="10090001" w:tentative="1">
      <w:start w:val="1"/>
      <w:numFmt w:val="bullet"/>
      <w:lvlText w:val=""/>
      <w:lvlJc w:val="left"/>
      <w:pPr>
        <w:ind w:left="5940" w:hanging="360"/>
      </w:pPr>
      <w:rPr>
        <w:rFonts w:ascii="Symbol" w:hAnsi="Symbol" w:hint="default"/>
      </w:rPr>
    </w:lvl>
    <w:lvl w:ilvl="7" w:tplc="10090003" w:tentative="1">
      <w:start w:val="1"/>
      <w:numFmt w:val="bullet"/>
      <w:lvlText w:val="o"/>
      <w:lvlJc w:val="left"/>
      <w:pPr>
        <w:ind w:left="6660" w:hanging="360"/>
      </w:pPr>
      <w:rPr>
        <w:rFonts w:ascii="Courier New" w:hAnsi="Courier New" w:cs="Courier New" w:hint="default"/>
      </w:rPr>
    </w:lvl>
    <w:lvl w:ilvl="8" w:tplc="10090005" w:tentative="1">
      <w:start w:val="1"/>
      <w:numFmt w:val="bullet"/>
      <w:lvlText w:val=""/>
      <w:lvlJc w:val="left"/>
      <w:pPr>
        <w:ind w:left="7380" w:hanging="360"/>
      </w:pPr>
      <w:rPr>
        <w:rFonts w:ascii="Wingdings" w:hAnsi="Wingdings" w:hint="default"/>
      </w:rPr>
    </w:lvl>
  </w:abstractNum>
  <w:abstractNum w:abstractNumId="3" w15:restartNumberingAfterBreak="0">
    <w:nsid w:val="20AA5E93"/>
    <w:multiLevelType w:val="hybridMultilevel"/>
    <w:tmpl w:val="489AA0EC"/>
    <w:lvl w:ilvl="0" w:tplc="ECE011FE">
      <w:start w:val="1"/>
      <w:numFmt w:val="bullet"/>
      <w:pStyle w:val="CheckMarkStyle1"/>
      <w:lvlText w:val=""/>
      <w:lvlJc w:val="left"/>
      <w:pPr>
        <w:ind w:left="2340" w:hanging="360"/>
      </w:pPr>
      <w:rPr>
        <w:rFonts w:ascii="Wingdings" w:hAnsi="Wingdings" w:hint="default"/>
      </w:rPr>
    </w:lvl>
    <w:lvl w:ilvl="1" w:tplc="10090003" w:tentative="1">
      <w:start w:val="1"/>
      <w:numFmt w:val="bullet"/>
      <w:lvlText w:val="o"/>
      <w:lvlJc w:val="left"/>
      <w:pPr>
        <w:ind w:left="3060" w:hanging="360"/>
      </w:pPr>
      <w:rPr>
        <w:rFonts w:ascii="Courier New" w:hAnsi="Courier New" w:cs="Courier New" w:hint="default"/>
      </w:rPr>
    </w:lvl>
    <w:lvl w:ilvl="2" w:tplc="10090005" w:tentative="1">
      <w:start w:val="1"/>
      <w:numFmt w:val="bullet"/>
      <w:lvlText w:val=""/>
      <w:lvlJc w:val="left"/>
      <w:pPr>
        <w:ind w:left="3780" w:hanging="360"/>
      </w:pPr>
      <w:rPr>
        <w:rFonts w:ascii="Wingdings" w:hAnsi="Wingdings" w:hint="default"/>
      </w:rPr>
    </w:lvl>
    <w:lvl w:ilvl="3" w:tplc="10090001" w:tentative="1">
      <w:start w:val="1"/>
      <w:numFmt w:val="bullet"/>
      <w:lvlText w:val=""/>
      <w:lvlJc w:val="left"/>
      <w:pPr>
        <w:ind w:left="4500" w:hanging="360"/>
      </w:pPr>
      <w:rPr>
        <w:rFonts w:ascii="Symbol" w:hAnsi="Symbol" w:hint="default"/>
      </w:rPr>
    </w:lvl>
    <w:lvl w:ilvl="4" w:tplc="10090003" w:tentative="1">
      <w:start w:val="1"/>
      <w:numFmt w:val="bullet"/>
      <w:lvlText w:val="o"/>
      <w:lvlJc w:val="left"/>
      <w:pPr>
        <w:ind w:left="5220" w:hanging="360"/>
      </w:pPr>
      <w:rPr>
        <w:rFonts w:ascii="Courier New" w:hAnsi="Courier New" w:cs="Courier New" w:hint="default"/>
      </w:rPr>
    </w:lvl>
    <w:lvl w:ilvl="5" w:tplc="10090005" w:tentative="1">
      <w:start w:val="1"/>
      <w:numFmt w:val="bullet"/>
      <w:lvlText w:val=""/>
      <w:lvlJc w:val="left"/>
      <w:pPr>
        <w:ind w:left="5940" w:hanging="360"/>
      </w:pPr>
      <w:rPr>
        <w:rFonts w:ascii="Wingdings" w:hAnsi="Wingdings" w:hint="default"/>
      </w:rPr>
    </w:lvl>
    <w:lvl w:ilvl="6" w:tplc="10090001" w:tentative="1">
      <w:start w:val="1"/>
      <w:numFmt w:val="bullet"/>
      <w:lvlText w:val=""/>
      <w:lvlJc w:val="left"/>
      <w:pPr>
        <w:ind w:left="6660" w:hanging="360"/>
      </w:pPr>
      <w:rPr>
        <w:rFonts w:ascii="Symbol" w:hAnsi="Symbol" w:hint="default"/>
      </w:rPr>
    </w:lvl>
    <w:lvl w:ilvl="7" w:tplc="10090003" w:tentative="1">
      <w:start w:val="1"/>
      <w:numFmt w:val="bullet"/>
      <w:lvlText w:val="o"/>
      <w:lvlJc w:val="left"/>
      <w:pPr>
        <w:ind w:left="7380" w:hanging="360"/>
      </w:pPr>
      <w:rPr>
        <w:rFonts w:ascii="Courier New" w:hAnsi="Courier New" w:cs="Courier New" w:hint="default"/>
      </w:rPr>
    </w:lvl>
    <w:lvl w:ilvl="8" w:tplc="10090005" w:tentative="1">
      <w:start w:val="1"/>
      <w:numFmt w:val="bullet"/>
      <w:lvlText w:val=""/>
      <w:lvlJc w:val="left"/>
      <w:pPr>
        <w:ind w:left="8100" w:hanging="360"/>
      </w:pPr>
      <w:rPr>
        <w:rFonts w:ascii="Wingdings" w:hAnsi="Wingdings" w:hint="default"/>
      </w:rPr>
    </w:lvl>
  </w:abstractNum>
  <w:abstractNum w:abstractNumId="4" w15:restartNumberingAfterBreak="0">
    <w:nsid w:val="3AC544CF"/>
    <w:multiLevelType w:val="hybridMultilevel"/>
    <w:tmpl w:val="C338BCDC"/>
    <w:lvl w:ilvl="0" w:tplc="ECC26464">
      <w:start w:val="1"/>
      <w:numFmt w:val="bullet"/>
      <w:pStyle w:val="BoxStyle4"/>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4F5B1DF8"/>
    <w:multiLevelType w:val="hybridMultilevel"/>
    <w:tmpl w:val="E0B66A06"/>
    <w:lvl w:ilvl="0" w:tplc="33500D6E">
      <w:start w:val="1"/>
      <w:numFmt w:val="bullet"/>
      <w:pStyle w:val="DiamondStyle1"/>
      <w:lvlText w:val=""/>
      <w:lvlJc w:val="left"/>
      <w:pPr>
        <w:ind w:left="2340" w:hanging="360"/>
      </w:pPr>
      <w:rPr>
        <w:rFonts w:ascii="Wingdings" w:hAnsi="Wingdings" w:hint="default"/>
      </w:rPr>
    </w:lvl>
    <w:lvl w:ilvl="1" w:tplc="0409000F"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6" w15:restartNumberingAfterBreak="0">
    <w:nsid w:val="57C441D8"/>
    <w:multiLevelType w:val="hybridMultilevel"/>
    <w:tmpl w:val="480C5D22"/>
    <w:lvl w:ilvl="0" w:tplc="EB129B9E">
      <w:start w:val="1"/>
      <w:numFmt w:val="bullet"/>
      <w:pStyle w:val="Rightarrowstyle1"/>
      <w:lvlText w:val=""/>
      <w:lvlJc w:val="left"/>
      <w:pPr>
        <w:ind w:left="2700" w:hanging="360"/>
      </w:pPr>
      <w:rPr>
        <w:rFonts w:ascii="Wingdings" w:hAnsi="Wingdings" w:hint="default"/>
      </w:rPr>
    </w:lvl>
    <w:lvl w:ilvl="1" w:tplc="10090003" w:tentative="1">
      <w:start w:val="1"/>
      <w:numFmt w:val="bullet"/>
      <w:lvlText w:val="o"/>
      <w:lvlJc w:val="left"/>
      <w:pPr>
        <w:ind w:left="3420" w:hanging="360"/>
      </w:pPr>
      <w:rPr>
        <w:rFonts w:ascii="Courier New" w:hAnsi="Courier New" w:cs="Courier New" w:hint="default"/>
      </w:rPr>
    </w:lvl>
    <w:lvl w:ilvl="2" w:tplc="10090005" w:tentative="1">
      <w:start w:val="1"/>
      <w:numFmt w:val="bullet"/>
      <w:lvlText w:val=""/>
      <w:lvlJc w:val="left"/>
      <w:pPr>
        <w:ind w:left="4140" w:hanging="360"/>
      </w:pPr>
      <w:rPr>
        <w:rFonts w:ascii="Wingdings" w:hAnsi="Wingdings" w:hint="default"/>
      </w:rPr>
    </w:lvl>
    <w:lvl w:ilvl="3" w:tplc="10090001" w:tentative="1">
      <w:start w:val="1"/>
      <w:numFmt w:val="bullet"/>
      <w:lvlText w:val=""/>
      <w:lvlJc w:val="left"/>
      <w:pPr>
        <w:ind w:left="4860" w:hanging="360"/>
      </w:pPr>
      <w:rPr>
        <w:rFonts w:ascii="Symbol" w:hAnsi="Symbol" w:hint="default"/>
      </w:rPr>
    </w:lvl>
    <w:lvl w:ilvl="4" w:tplc="10090003" w:tentative="1">
      <w:start w:val="1"/>
      <w:numFmt w:val="bullet"/>
      <w:lvlText w:val="o"/>
      <w:lvlJc w:val="left"/>
      <w:pPr>
        <w:ind w:left="5580" w:hanging="360"/>
      </w:pPr>
      <w:rPr>
        <w:rFonts w:ascii="Courier New" w:hAnsi="Courier New" w:cs="Courier New" w:hint="default"/>
      </w:rPr>
    </w:lvl>
    <w:lvl w:ilvl="5" w:tplc="10090005" w:tentative="1">
      <w:start w:val="1"/>
      <w:numFmt w:val="bullet"/>
      <w:lvlText w:val=""/>
      <w:lvlJc w:val="left"/>
      <w:pPr>
        <w:ind w:left="6300" w:hanging="360"/>
      </w:pPr>
      <w:rPr>
        <w:rFonts w:ascii="Wingdings" w:hAnsi="Wingdings" w:hint="default"/>
      </w:rPr>
    </w:lvl>
    <w:lvl w:ilvl="6" w:tplc="10090001" w:tentative="1">
      <w:start w:val="1"/>
      <w:numFmt w:val="bullet"/>
      <w:lvlText w:val=""/>
      <w:lvlJc w:val="left"/>
      <w:pPr>
        <w:ind w:left="7020" w:hanging="360"/>
      </w:pPr>
      <w:rPr>
        <w:rFonts w:ascii="Symbol" w:hAnsi="Symbol" w:hint="default"/>
      </w:rPr>
    </w:lvl>
    <w:lvl w:ilvl="7" w:tplc="10090003" w:tentative="1">
      <w:start w:val="1"/>
      <w:numFmt w:val="bullet"/>
      <w:lvlText w:val="o"/>
      <w:lvlJc w:val="left"/>
      <w:pPr>
        <w:ind w:left="7740" w:hanging="360"/>
      </w:pPr>
      <w:rPr>
        <w:rFonts w:ascii="Courier New" w:hAnsi="Courier New" w:cs="Courier New" w:hint="default"/>
      </w:rPr>
    </w:lvl>
    <w:lvl w:ilvl="8" w:tplc="10090005" w:tentative="1">
      <w:start w:val="1"/>
      <w:numFmt w:val="bullet"/>
      <w:lvlText w:val=""/>
      <w:lvlJc w:val="left"/>
      <w:pPr>
        <w:ind w:left="8460" w:hanging="360"/>
      </w:pPr>
      <w:rPr>
        <w:rFonts w:ascii="Wingdings" w:hAnsi="Wingdings" w:hint="default"/>
      </w:rPr>
    </w:lvl>
  </w:abstractNum>
  <w:abstractNum w:abstractNumId="7" w15:restartNumberingAfterBreak="0">
    <w:nsid w:val="58C07844"/>
    <w:multiLevelType w:val="hybridMultilevel"/>
    <w:tmpl w:val="A2FAEDF6"/>
    <w:lvl w:ilvl="0" w:tplc="C4243FBC">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C131E17"/>
    <w:multiLevelType w:val="hybridMultilevel"/>
    <w:tmpl w:val="152EEE9C"/>
    <w:lvl w:ilvl="0" w:tplc="1009000F">
      <w:start w:val="1"/>
      <w:numFmt w:val="decimal"/>
      <w:lvlText w:val="%1."/>
      <w:lvlJc w:val="left"/>
      <w:pPr>
        <w:ind w:left="360" w:hanging="360"/>
      </w:pPr>
      <w:rPr>
        <w:rFont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5CA02E5C"/>
    <w:multiLevelType w:val="hybridMultilevel"/>
    <w:tmpl w:val="7CDA577C"/>
    <w:lvl w:ilvl="0" w:tplc="10090001">
      <w:start w:val="1"/>
      <w:numFmt w:val="bullet"/>
      <w:pStyle w:val="BulletStyle"/>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62CD0FCA"/>
    <w:multiLevelType w:val="hybridMultilevel"/>
    <w:tmpl w:val="DDF474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3370A35"/>
    <w:multiLevelType w:val="hybridMultilevel"/>
    <w:tmpl w:val="2850FA54"/>
    <w:lvl w:ilvl="0" w:tplc="A51CBB40">
      <w:start w:val="1"/>
      <w:numFmt w:val="bullet"/>
      <w:pStyle w:val="CircleStyle1"/>
      <w:lvlText w:val="o"/>
      <w:lvlJc w:val="left"/>
      <w:pPr>
        <w:ind w:left="1800" w:hanging="360"/>
      </w:pPr>
      <w:rPr>
        <w:rFonts w:ascii="Courier New" w:hAnsi="Courier New" w:cs="Courier New"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2" w15:restartNumberingAfterBreak="0">
    <w:nsid w:val="6C2516B5"/>
    <w:multiLevelType w:val="hybridMultilevel"/>
    <w:tmpl w:val="3D00852A"/>
    <w:lvl w:ilvl="0" w:tplc="46660708">
      <w:start w:val="1"/>
      <w:numFmt w:val="lowerLetter"/>
      <w:pStyle w:val="abcalphaliststyle"/>
      <w:lvlText w:val="%1)"/>
      <w:lvlJc w:val="left"/>
      <w:pPr>
        <w:ind w:left="2160" w:hanging="360"/>
      </w:pPr>
      <w:rPr>
        <w:rFonts w:hint="default"/>
      </w:rPr>
    </w:lvl>
    <w:lvl w:ilvl="1" w:tplc="10090003">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3" w15:restartNumberingAfterBreak="0">
    <w:nsid w:val="725E43AE"/>
    <w:multiLevelType w:val="hybridMultilevel"/>
    <w:tmpl w:val="3F7A97CE"/>
    <w:lvl w:ilvl="0" w:tplc="C7A47872">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80A6637"/>
    <w:multiLevelType w:val="hybridMultilevel"/>
    <w:tmpl w:val="4F88AB02"/>
    <w:lvl w:ilvl="0" w:tplc="10090001">
      <w:start w:val="1"/>
      <w:numFmt w:val="decimal"/>
      <w:pStyle w:val="NumberStyle123"/>
      <w:lvlText w:val="%1."/>
      <w:lvlJc w:val="center"/>
      <w:pPr>
        <w:ind w:left="2160" w:hanging="360"/>
      </w:pPr>
      <w:rPr>
        <w:rFonts w:hint="default"/>
        <w:b/>
      </w:rPr>
    </w:lvl>
    <w:lvl w:ilvl="1" w:tplc="10090003">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num w:numId="1">
    <w:abstractNumId w:val="9"/>
  </w:num>
  <w:num w:numId="2">
    <w:abstractNumId w:val="12"/>
  </w:num>
  <w:num w:numId="3">
    <w:abstractNumId w:val="14"/>
  </w:num>
  <w:num w:numId="4">
    <w:abstractNumId w:val="2"/>
  </w:num>
  <w:num w:numId="5">
    <w:abstractNumId w:val="5"/>
  </w:num>
  <w:num w:numId="6">
    <w:abstractNumId w:val="6"/>
  </w:num>
  <w:num w:numId="7">
    <w:abstractNumId w:val="3"/>
  </w:num>
  <w:num w:numId="8">
    <w:abstractNumId w:val="4"/>
  </w:num>
  <w:num w:numId="9">
    <w:abstractNumId w:val="11"/>
  </w:num>
  <w:num w:numId="10">
    <w:abstractNumId w:val="0"/>
  </w:num>
  <w:num w:numId="11">
    <w:abstractNumId w:val="10"/>
  </w:num>
  <w:num w:numId="12">
    <w:abstractNumId w:val="1"/>
  </w:num>
  <w:num w:numId="13">
    <w:abstractNumId w:val="7"/>
  </w:num>
  <w:num w:numId="14">
    <w:abstractNumId w:val="13"/>
  </w:num>
  <w:num w:numId="15">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C0D"/>
    <w:rsid w:val="0000125F"/>
    <w:rsid w:val="000021C0"/>
    <w:rsid w:val="000023EB"/>
    <w:rsid w:val="00017B46"/>
    <w:rsid w:val="000212D9"/>
    <w:rsid w:val="000212F7"/>
    <w:rsid w:val="00022478"/>
    <w:rsid w:val="000274AC"/>
    <w:rsid w:val="00036394"/>
    <w:rsid w:val="000367C0"/>
    <w:rsid w:val="00040AE2"/>
    <w:rsid w:val="00041A9C"/>
    <w:rsid w:val="0004521B"/>
    <w:rsid w:val="0004544D"/>
    <w:rsid w:val="00054498"/>
    <w:rsid w:val="00061625"/>
    <w:rsid w:val="000669B8"/>
    <w:rsid w:val="000702F1"/>
    <w:rsid w:val="00070B41"/>
    <w:rsid w:val="000772BE"/>
    <w:rsid w:val="000828A5"/>
    <w:rsid w:val="000839D3"/>
    <w:rsid w:val="0009592F"/>
    <w:rsid w:val="000967B1"/>
    <w:rsid w:val="000B58C7"/>
    <w:rsid w:val="000B6366"/>
    <w:rsid w:val="000B7124"/>
    <w:rsid w:val="000B7C0E"/>
    <w:rsid w:val="000C1691"/>
    <w:rsid w:val="000C441D"/>
    <w:rsid w:val="000C633E"/>
    <w:rsid w:val="000C717B"/>
    <w:rsid w:val="000D0266"/>
    <w:rsid w:val="000D1297"/>
    <w:rsid w:val="000D5F57"/>
    <w:rsid w:val="000E1E67"/>
    <w:rsid w:val="000E34E4"/>
    <w:rsid w:val="000E3F50"/>
    <w:rsid w:val="000E4381"/>
    <w:rsid w:val="000E6C27"/>
    <w:rsid w:val="000F02BC"/>
    <w:rsid w:val="000F2703"/>
    <w:rsid w:val="000F3827"/>
    <w:rsid w:val="000F4EEB"/>
    <w:rsid w:val="0010176D"/>
    <w:rsid w:val="00104E2F"/>
    <w:rsid w:val="0010674F"/>
    <w:rsid w:val="00106D62"/>
    <w:rsid w:val="00116334"/>
    <w:rsid w:val="001200A7"/>
    <w:rsid w:val="00122785"/>
    <w:rsid w:val="00123D84"/>
    <w:rsid w:val="0014493C"/>
    <w:rsid w:val="00150DB2"/>
    <w:rsid w:val="00150ECE"/>
    <w:rsid w:val="00154556"/>
    <w:rsid w:val="00161979"/>
    <w:rsid w:val="00163A86"/>
    <w:rsid w:val="001651D4"/>
    <w:rsid w:val="0017205E"/>
    <w:rsid w:val="00180E86"/>
    <w:rsid w:val="00190980"/>
    <w:rsid w:val="001A4AD5"/>
    <w:rsid w:val="001C4D01"/>
    <w:rsid w:val="001D13EF"/>
    <w:rsid w:val="001D7088"/>
    <w:rsid w:val="001F24A2"/>
    <w:rsid w:val="001F51A8"/>
    <w:rsid w:val="00200D5C"/>
    <w:rsid w:val="00205BB6"/>
    <w:rsid w:val="00213B1F"/>
    <w:rsid w:val="0021764E"/>
    <w:rsid w:val="00217BC5"/>
    <w:rsid w:val="0022329D"/>
    <w:rsid w:val="00224746"/>
    <w:rsid w:val="00230C74"/>
    <w:rsid w:val="00242C07"/>
    <w:rsid w:val="002532DD"/>
    <w:rsid w:val="00257DAD"/>
    <w:rsid w:val="0026060E"/>
    <w:rsid w:val="00262C83"/>
    <w:rsid w:val="00262FDE"/>
    <w:rsid w:val="0026550F"/>
    <w:rsid w:val="00267647"/>
    <w:rsid w:val="002715DE"/>
    <w:rsid w:val="00272C3F"/>
    <w:rsid w:val="00274546"/>
    <w:rsid w:val="00276723"/>
    <w:rsid w:val="0027783D"/>
    <w:rsid w:val="002851EA"/>
    <w:rsid w:val="00291165"/>
    <w:rsid w:val="00292133"/>
    <w:rsid w:val="00296240"/>
    <w:rsid w:val="002A711B"/>
    <w:rsid w:val="002B473A"/>
    <w:rsid w:val="002C113C"/>
    <w:rsid w:val="002C1172"/>
    <w:rsid w:val="002C6F90"/>
    <w:rsid w:val="002D299F"/>
    <w:rsid w:val="002D3118"/>
    <w:rsid w:val="002D6966"/>
    <w:rsid w:val="002E5FE4"/>
    <w:rsid w:val="002F2F7E"/>
    <w:rsid w:val="002F6AF9"/>
    <w:rsid w:val="002F7065"/>
    <w:rsid w:val="003006BF"/>
    <w:rsid w:val="00301813"/>
    <w:rsid w:val="0030249F"/>
    <w:rsid w:val="00302E5E"/>
    <w:rsid w:val="003041BD"/>
    <w:rsid w:val="00312EF8"/>
    <w:rsid w:val="00332750"/>
    <w:rsid w:val="00347152"/>
    <w:rsid w:val="00352B60"/>
    <w:rsid w:val="0035476C"/>
    <w:rsid w:val="00362E81"/>
    <w:rsid w:val="00363897"/>
    <w:rsid w:val="00363BC6"/>
    <w:rsid w:val="00365DA6"/>
    <w:rsid w:val="003679F5"/>
    <w:rsid w:val="003753E8"/>
    <w:rsid w:val="00377EDF"/>
    <w:rsid w:val="003834F4"/>
    <w:rsid w:val="00384407"/>
    <w:rsid w:val="003857CE"/>
    <w:rsid w:val="003945AE"/>
    <w:rsid w:val="00397155"/>
    <w:rsid w:val="003A0014"/>
    <w:rsid w:val="003A193B"/>
    <w:rsid w:val="003B2682"/>
    <w:rsid w:val="003C2B24"/>
    <w:rsid w:val="003C6F70"/>
    <w:rsid w:val="003D04C5"/>
    <w:rsid w:val="003D42EF"/>
    <w:rsid w:val="003D6655"/>
    <w:rsid w:val="003E579C"/>
    <w:rsid w:val="003F1D8C"/>
    <w:rsid w:val="003F22FF"/>
    <w:rsid w:val="003F7958"/>
    <w:rsid w:val="004009D4"/>
    <w:rsid w:val="00412D7F"/>
    <w:rsid w:val="00413374"/>
    <w:rsid w:val="00423254"/>
    <w:rsid w:val="0042342C"/>
    <w:rsid w:val="00425401"/>
    <w:rsid w:val="00430D38"/>
    <w:rsid w:val="0043243F"/>
    <w:rsid w:val="00432C28"/>
    <w:rsid w:val="00435A7F"/>
    <w:rsid w:val="004371D3"/>
    <w:rsid w:val="00440285"/>
    <w:rsid w:val="00443FB7"/>
    <w:rsid w:val="00446523"/>
    <w:rsid w:val="00453FA8"/>
    <w:rsid w:val="00460B80"/>
    <w:rsid w:val="00461C73"/>
    <w:rsid w:val="00471E0F"/>
    <w:rsid w:val="00477361"/>
    <w:rsid w:val="00477FCD"/>
    <w:rsid w:val="0049043E"/>
    <w:rsid w:val="004A2312"/>
    <w:rsid w:val="004B1A94"/>
    <w:rsid w:val="004B1AB7"/>
    <w:rsid w:val="004B55EF"/>
    <w:rsid w:val="004D77BD"/>
    <w:rsid w:val="004E59D9"/>
    <w:rsid w:val="004E707D"/>
    <w:rsid w:val="004E7A10"/>
    <w:rsid w:val="004F0E41"/>
    <w:rsid w:val="004F7E17"/>
    <w:rsid w:val="00500909"/>
    <w:rsid w:val="0050448D"/>
    <w:rsid w:val="00504CE5"/>
    <w:rsid w:val="0051490E"/>
    <w:rsid w:val="00527E11"/>
    <w:rsid w:val="00530D2D"/>
    <w:rsid w:val="0053412B"/>
    <w:rsid w:val="00541CFB"/>
    <w:rsid w:val="00547759"/>
    <w:rsid w:val="005627F6"/>
    <w:rsid w:val="00563D33"/>
    <w:rsid w:val="005654BF"/>
    <w:rsid w:val="00565A77"/>
    <w:rsid w:val="00580A3A"/>
    <w:rsid w:val="00581539"/>
    <w:rsid w:val="00581E0B"/>
    <w:rsid w:val="00594D61"/>
    <w:rsid w:val="00595C21"/>
    <w:rsid w:val="005A730D"/>
    <w:rsid w:val="005B18E2"/>
    <w:rsid w:val="005B1CE2"/>
    <w:rsid w:val="005B291D"/>
    <w:rsid w:val="005B4C19"/>
    <w:rsid w:val="005D0828"/>
    <w:rsid w:val="005D0EC1"/>
    <w:rsid w:val="005D2950"/>
    <w:rsid w:val="005D4FE0"/>
    <w:rsid w:val="005D69F4"/>
    <w:rsid w:val="005E1DD3"/>
    <w:rsid w:val="005E33F9"/>
    <w:rsid w:val="005E4195"/>
    <w:rsid w:val="005E6C84"/>
    <w:rsid w:val="005E72CE"/>
    <w:rsid w:val="005F1623"/>
    <w:rsid w:val="00614D66"/>
    <w:rsid w:val="006151C3"/>
    <w:rsid w:val="006223A0"/>
    <w:rsid w:val="0062432B"/>
    <w:rsid w:val="00624B9D"/>
    <w:rsid w:val="0062614B"/>
    <w:rsid w:val="0062764F"/>
    <w:rsid w:val="006310DB"/>
    <w:rsid w:val="00633A46"/>
    <w:rsid w:val="006345BD"/>
    <w:rsid w:val="00636AA7"/>
    <w:rsid w:val="006440AD"/>
    <w:rsid w:val="00644779"/>
    <w:rsid w:val="0064550F"/>
    <w:rsid w:val="0065216C"/>
    <w:rsid w:val="00665857"/>
    <w:rsid w:val="00681705"/>
    <w:rsid w:val="00684B1C"/>
    <w:rsid w:val="006859AE"/>
    <w:rsid w:val="00687349"/>
    <w:rsid w:val="00690B5F"/>
    <w:rsid w:val="006A228E"/>
    <w:rsid w:val="006A23DD"/>
    <w:rsid w:val="006A516E"/>
    <w:rsid w:val="006B1A00"/>
    <w:rsid w:val="006B4E5C"/>
    <w:rsid w:val="006B5476"/>
    <w:rsid w:val="006E179F"/>
    <w:rsid w:val="006E68B9"/>
    <w:rsid w:val="006F1036"/>
    <w:rsid w:val="006F2AF2"/>
    <w:rsid w:val="0072607C"/>
    <w:rsid w:val="007315AF"/>
    <w:rsid w:val="007371F7"/>
    <w:rsid w:val="00752BD4"/>
    <w:rsid w:val="0075701D"/>
    <w:rsid w:val="00760F02"/>
    <w:rsid w:val="00762F70"/>
    <w:rsid w:val="00763B7F"/>
    <w:rsid w:val="00771A80"/>
    <w:rsid w:val="007806EF"/>
    <w:rsid w:val="00781A64"/>
    <w:rsid w:val="00791D22"/>
    <w:rsid w:val="00792096"/>
    <w:rsid w:val="007A4868"/>
    <w:rsid w:val="007B2AD4"/>
    <w:rsid w:val="007B5598"/>
    <w:rsid w:val="007C1CBB"/>
    <w:rsid w:val="007D0C12"/>
    <w:rsid w:val="007D34B3"/>
    <w:rsid w:val="007E1BF6"/>
    <w:rsid w:val="007E43EE"/>
    <w:rsid w:val="007F3E2A"/>
    <w:rsid w:val="007F41C2"/>
    <w:rsid w:val="007F4BE3"/>
    <w:rsid w:val="008001F6"/>
    <w:rsid w:val="00800331"/>
    <w:rsid w:val="008060DB"/>
    <w:rsid w:val="00815955"/>
    <w:rsid w:val="00824FD7"/>
    <w:rsid w:val="008412D3"/>
    <w:rsid w:val="008442D3"/>
    <w:rsid w:val="008464C3"/>
    <w:rsid w:val="00850A4F"/>
    <w:rsid w:val="00863652"/>
    <w:rsid w:val="008912D7"/>
    <w:rsid w:val="008933BE"/>
    <w:rsid w:val="0089591F"/>
    <w:rsid w:val="008A203C"/>
    <w:rsid w:val="008A3914"/>
    <w:rsid w:val="008A4841"/>
    <w:rsid w:val="008A572D"/>
    <w:rsid w:val="008B4765"/>
    <w:rsid w:val="008B4BE7"/>
    <w:rsid w:val="008B6127"/>
    <w:rsid w:val="008C2623"/>
    <w:rsid w:val="008C6094"/>
    <w:rsid w:val="008D789B"/>
    <w:rsid w:val="008E1227"/>
    <w:rsid w:val="008E5195"/>
    <w:rsid w:val="008E68ED"/>
    <w:rsid w:val="008F426B"/>
    <w:rsid w:val="009011E8"/>
    <w:rsid w:val="00912915"/>
    <w:rsid w:val="00916855"/>
    <w:rsid w:val="00927821"/>
    <w:rsid w:val="00936676"/>
    <w:rsid w:val="009625B0"/>
    <w:rsid w:val="00964E30"/>
    <w:rsid w:val="00965188"/>
    <w:rsid w:val="00966754"/>
    <w:rsid w:val="00977458"/>
    <w:rsid w:val="009A1194"/>
    <w:rsid w:val="009A26F1"/>
    <w:rsid w:val="009A404B"/>
    <w:rsid w:val="009B25ED"/>
    <w:rsid w:val="009B2CE8"/>
    <w:rsid w:val="009B2E65"/>
    <w:rsid w:val="009C4F87"/>
    <w:rsid w:val="009C6CC9"/>
    <w:rsid w:val="009D0782"/>
    <w:rsid w:val="009D0D23"/>
    <w:rsid w:val="009D4411"/>
    <w:rsid w:val="009D67B6"/>
    <w:rsid w:val="009E6D07"/>
    <w:rsid w:val="009E73C2"/>
    <w:rsid w:val="009F65E0"/>
    <w:rsid w:val="00A013CE"/>
    <w:rsid w:val="00A01F41"/>
    <w:rsid w:val="00A03B90"/>
    <w:rsid w:val="00A05211"/>
    <w:rsid w:val="00A0612D"/>
    <w:rsid w:val="00A27365"/>
    <w:rsid w:val="00A34A71"/>
    <w:rsid w:val="00A37F13"/>
    <w:rsid w:val="00A42B3F"/>
    <w:rsid w:val="00A52291"/>
    <w:rsid w:val="00A72D44"/>
    <w:rsid w:val="00A74AC0"/>
    <w:rsid w:val="00A75007"/>
    <w:rsid w:val="00A76361"/>
    <w:rsid w:val="00A81409"/>
    <w:rsid w:val="00A87A95"/>
    <w:rsid w:val="00A95862"/>
    <w:rsid w:val="00AA308B"/>
    <w:rsid w:val="00AA6102"/>
    <w:rsid w:val="00AA63DA"/>
    <w:rsid w:val="00AA646E"/>
    <w:rsid w:val="00AB1A98"/>
    <w:rsid w:val="00AC51BF"/>
    <w:rsid w:val="00AD3D48"/>
    <w:rsid w:val="00AE3E73"/>
    <w:rsid w:val="00AF544A"/>
    <w:rsid w:val="00B06108"/>
    <w:rsid w:val="00B133A0"/>
    <w:rsid w:val="00B2298B"/>
    <w:rsid w:val="00B22A7C"/>
    <w:rsid w:val="00B24315"/>
    <w:rsid w:val="00B27D96"/>
    <w:rsid w:val="00B373AD"/>
    <w:rsid w:val="00B40390"/>
    <w:rsid w:val="00B51F0D"/>
    <w:rsid w:val="00B5422C"/>
    <w:rsid w:val="00B7051B"/>
    <w:rsid w:val="00B82EB5"/>
    <w:rsid w:val="00B876B1"/>
    <w:rsid w:val="00BA16DB"/>
    <w:rsid w:val="00BB03EF"/>
    <w:rsid w:val="00BB394E"/>
    <w:rsid w:val="00BB55D4"/>
    <w:rsid w:val="00BB5FF7"/>
    <w:rsid w:val="00BC44F3"/>
    <w:rsid w:val="00BC4974"/>
    <w:rsid w:val="00BC70B0"/>
    <w:rsid w:val="00BD0ECB"/>
    <w:rsid w:val="00BD1A5B"/>
    <w:rsid w:val="00BD4132"/>
    <w:rsid w:val="00BD4AE7"/>
    <w:rsid w:val="00BE0DC7"/>
    <w:rsid w:val="00BE2BC7"/>
    <w:rsid w:val="00BE2DE1"/>
    <w:rsid w:val="00BE4940"/>
    <w:rsid w:val="00BE7846"/>
    <w:rsid w:val="00BF03FE"/>
    <w:rsid w:val="00BF28EF"/>
    <w:rsid w:val="00BF371F"/>
    <w:rsid w:val="00C106B2"/>
    <w:rsid w:val="00C17657"/>
    <w:rsid w:val="00C17D5A"/>
    <w:rsid w:val="00C224F2"/>
    <w:rsid w:val="00C271B5"/>
    <w:rsid w:val="00C40492"/>
    <w:rsid w:val="00C418AD"/>
    <w:rsid w:val="00C42452"/>
    <w:rsid w:val="00C4273C"/>
    <w:rsid w:val="00C5114A"/>
    <w:rsid w:val="00C638B6"/>
    <w:rsid w:val="00C95234"/>
    <w:rsid w:val="00CA5D68"/>
    <w:rsid w:val="00CB0444"/>
    <w:rsid w:val="00CB4678"/>
    <w:rsid w:val="00CB4974"/>
    <w:rsid w:val="00CC5CEF"/>
    <w:rsid w:val="00CD0FA4"/>
    <w:rsid w:val="00CD168D"/>
    <w:rsid w:val="00CD295C"/>
    <w:rsid w:val="00CD6883"/>
    <w:rsid w:val="00CF52CC"/>
    <w:rsid w:val="00D005C4"/>
    <w:rsid w:val="00D025F3"/>
    <w:rsid w:val="00D037DF"/>
    <w:rsid w:val="00D112EA"/>
    <w:rsid w:val="00D2298E"/>
    <w:rsid w:val="00D25119"/>
    <w:rsid w:val="00D41DAC"/>
    <w:rsid w:val="00D52958"/>
    <w:rsid w:val="00D60A20"/>
    <w:rsid w:val="00D6232E"/>
    <w:rsid w:val="00D64C76"/>
    <w:rsid w:val="00D671AA"/>
    <w:rsid w:val="00D671F8"/>
    <w:rsid w:val="00D6751C"/>
    <w:rsid w:val="00D809D0"/>
    <w:rsid w:val="00D812CF"/>
    <w:rsid w:val="00D85809"/>
    <w:rsid w:val="00D8727C"/>
    <w:rsid w:val="00D92D6A"/>
    <w:rsid w:val="00D9553F"/>
    <w:rsid w:val="00DA1CFC"/>
    <w:rsid w:val="00DA5663"/>
    <w:rsid w:val="00DB1D41"/>
    <w:rsid w:val="00DC2A8F"/>
    <w:rsid w:val="00DC2C69"/>
    <w:rsid w:val="00DC2DAA"/>
    <w:rsid w:val="00DC5D31"/>
    <w:rsid w:val="00DE7A1B"/>
    <w:rsid w:val="00DF2BB8"/>
    <w:rsid w:val="00DF75E5"/>
    <w:rsid w:val="00E00D84"/>
    <w:rsid w:val="00E047DA"/>
    <w:rsid w:val="00E14245"/>
    <w:rsid w:val="00E14E67"/>
    <w:rsid w:val="00E23647"/>
    <w:rsid w:val="00E252BC"/>
    <w:rsid w:val="00E27F74"/>
    <w:rsid w:val="00E41846"/>
    <w:rsid w:val="00E424B2"/>
    <w:rsid w:val="00E45395"/>
    <w:rsid w:val="00E47272"/>
    <w:rsid w:val="00E5280C"/>
    <w:rsid w:val="00E62709"/>
    <w:rsid w:val="00E64019"/>
    <w:rsid w:val="00E642C5"/>
    <w:rsid w:val="00E6447F"/>
    <w:rsid w:val="00E644C6"/>
    <w:rsid w:val="00E66630"/>
    <w:rsid w:val="00E72B1D"/>
    <w:rsid w:val="00E7678B"/>
    <w:rsid w:val="00E76988"/>
    <w:rsid w:val="00E8133B"/>
    <w:rsid w:val="00E870CA"/>
    <w:rsid w:val="00E935DC"/>
    <w:rsid w:val="00E94133"/>
    <w:rsid w:val="00E95F5F"/>
    <w:rsid w:val="00E962A5"/>
    <w:rsid w:val="00EA2F67"/>
    <w:rsid w:val="00EA62B9"/>
    <w:rsid w:val="00EA6CC3"/>
    <w:rsid w:val="00EB54D4"/>
    <w:rsid w:val="00EC6C59"/>
    <w:rsid w:val="00ED1312"/>
    <w:rsid w:val="00ED15A5"/>
    <w:rsid w:val="00ED27A7"/>
    <w:rsid w:val="00ED3D3E"/>
    <w:rsid w:val="00ED7C23"/>
    <w:rsid w:val="00EE3813"/>
    <w:rsid w:val="00EE67E5"/>
    <w:rsid w:val="00EF21E8"/>
    <w:rsid w:val="00EF2879"/>
    <w:rsid w:val="00EF54B8"/>
    <w:rsid w:val="00F02E28"/>
    <w:rsid w:val="00F062E6"/>
    <w:rsid w:val="00F10D36"/>
    <w:rsid w:val="00F11C00"/>
    <w:rsid w:val="00F13A7C"/>
    <w:rsid w:val="00F13E2A"/>
    <w:rsid w:val="00F236B3"/>
    <w:rsid w:val="00F3052D"/>
    <w:rsid w:val="00F358D6"/>
    <w:rsid w:val="00F54B37"/>
    <w:rsid w:val="00F631BE"/>
    <w:rsid w:val="00F82E67"/>
    <w:rsid w:val="00F85219"/>
    <w:rsid w:val="00F866EB"/>
    <w:rsid w:val="00F87C65"/>
    <w:rsid w:val="00F91C2E"/>
    <w:rsid w:val="00F929E6"/>
    <w:rsid w:val="00F96FE6"/>
    <w:rsid w:val="00FA4145"/>
    <w:rsid w:val="00FA7503"/>
    <w:rsid w:val="00FA78DC"/>
    <w:rsid w:val="00FB1C0D"/>
    <w:rsid w:val="00FC5EAD"/>
    <w:rsid w:val="00FE7C6F"/>
    <w:rsid w:val="00FF21C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8091299"/>
  <w15:docId w15:val="{F473D59F-A17E-4785-8698-3298579D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647"/>
    <w:pPr>
      <w:ind w:left="720"/>
    </w:pPr>
    <w:rPr>
      <w:rFonts w:ascii="Arial" w:hAnsi="Arial"/>
      <w:lang w:val="en-GB" w:eastAsia="en-US"/>
    </w:rPr>
  </w:style>
  <w:style w:type="paragraph" w:styleId="Heading1">
    <w:name w:val="heading 1"/>
    <w:basedOn w:val="Normal"/>
    <w:next w:val="Normal"/>
    <w:rsid w:val="005E6C84"/>
    <w:pPr>
      <w:keepNext/>
      <w:ind w:left="630" w:right="990" w:firstLine="810"/>
      <w:jc w:val="center"/>
      <w:outlineLvl w:val="0"/>
    </w:pPr>
    <w:rPr>
      <w:u w:val="single"/>
    </w:rPr>
  </w:style>
  <w:style w:type="paragraph" w:styleId="Heading7">
    <w:name w:val="heading 7"/>
    <w:basedOn w:val="Normal"/>
    <w:next w:val="Normal"/>
    <w:rsid w:val="005E6C84"/>
    <w:pPr>
      <w:keepNext/>
      <w:outlineLvl w:val="6"/>
    </w:pPr>
    <w:rPr>
      <w:b/>
      <w:color w:val="FF000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5E6C84"/>
    <w:rPr>
      <w:spacing w:val="-3"/>
    </w:rPr>
  </w:style>
  <w:style w:type="table" w:styleId="TableGrid">
    <w:name w:val="Table Grid"/>
    <w:basedOn w:val="TableNormal"/>
    <w:rsid w:val="00A75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rsid w:val="00B5422C"/>
  </w:style>
  <w:style w:type="paragraph" w:styleId="Header">
    <w:name w:val="header"/>
    <w:basedOn w:val="Normal"/>
    <w:link w:val="HeaderChar"/>
    <w:uiPriority w:val="99"/>
    <w:unhideWhenUsed/>
    <w:rsid w:val="00377EDF"/>
    <w:pPr>
      <w:tabs>
        <w:tab w:val="center" w:pos="4680"/>
        <w:tab w:val="right" w:pos="9360"/>
      </w:tabs>
    </w:pPr>
  </w:style>
  <w:style w:type="character" w:customStyle="1" w:styleId="HeaderChar">
    <w:name w:val="Header Char"/>
    <w:basedOn w:val="DefaultParagraphFont"/>
    <w:link w:val="Header"/>
    <w:uiPriority w:val="99"/>
    <w:rsid w:val="00377EDF"/>
    <w:rPr>
      <w:rFonts w:ascii="Arial" w:hAnsi="Arial"/>
      <w:lang w:val="en-GB" w:eastAsia="en-US"/>
    </w:rPr>
  </w:style>
  <w:style w:type="paragraph" w:styleId="Footer">
    <w:name w:val="footer"/>
    <w:basedOn w:val="Normal"/>
    <w:link w:val="FooterChar"/>
    <w:uiPriority w:val="99"/>
    <w:unhideWhenUsed/>
    <w:rsid w:val="00377EDF"/>
    <w:pPr>
      <w:tabs>
        <w:tab w:val="center" w:pos="4680"/>
        <w:tab w:val="right" w:pos="9360"/>
      </w:tabs>
    </w:pPr>
  </w:style>
  <w:style w:type="character" w:customStyle="1" w:styleId="FooterChar">
    <w:name w:val="Footer Char"/>
    <w:basedOn w:val="DefaultParagraphFont"/>
    <w:link w:val="Footer"/>
    <w:uiPriority w:val="99"/>
    <w:rsid w:val="00377EDF"/>
    <w:rPr>
      <w:rFonts w:ascii="Arial" w:hAnsi="Arial"/>
      <w:lang w:val="en-GB" w:eastAsia="en-US"/>
    </w:rPr>
  </w:style>
  <w:style w:type="character" w:customStyle="1" w:styleId="FootnoteTextChar">
    <w:name w:val="Footnote Text Char"/>
    <w:basedOn w:val="DefaultParagraphFont"/>
    <w:link w:val="FootnoteText"/>
    <w:semiHidden/>
    <w:rsid w:val="00581E0B"/>
    <w:rPr>
      <w:rFonts w:ascii="Arial" w:hAnsi="Arial"/>
      <w:spacing w:val="-3"/>
      <w:lang w:val="en-GB" w:eastAsia="en-US"/>
    </w:rPr>
  </w:style>
  <w:style w:type="paragraph" w:styleId="BalloonText">
    <w:name w:val="Balloon Text"/>
    <w:basedOn w:val="Normal"/>
    <w:link w:val="BalloonTextChar"/>
    <w:uiPriority w:val="99"/>
    <w:semiHidden/>
    <w:unhideWhenUsed/>
    <w:rsid w:val="004A2312"/>
    <w:rPr>
      <w:rFonts w:ascii="Tahoma" w:hAnsi="Tahoma" w:cs="Tahoma"/>
      <w:sz w:val="16"/>
      <w:szCs w:val="16"/>
    </w:rPr>
  </w:style>
  <w:style w:type="character" w:customStyle="1" w:styleId="BalloonTextChar">
    <w:name w:val="Balloon Text Char"/>
    <w:basedOn w:val="DefaultParagraphFont"/>
    <w:link w:val="BalloonText"/>
    <w:uiPriority w:val="99"/>
    <w:semiHidden/>
    <w:rsid w:val="004A2312"/>
    <w:rPr>
      <w:rFonts w:ascii="Tahoma" w:hAnsi="Tahoma" w:cs="Tahoma"/>
      <w:sz w:val="16"/>
      <w:szCs w:val="16"/>
      <w:lang w:val="en-GB" w:eastAsia="en-US"/>
    </w:rPr>
  </w:style>
  <w:style w:type="paragraph" w:customStyle="1" w:styleId="BulletStyle">
    <w:name w:val="Bullet Style"/>
    <w:basedOn w:val="Normal"/>
    <w:link w:val="BulletStyleChar"/>
    <w:rsid w:val="00E5280C"/>
    <w:pPr>
      <w:numPr>
        <w:numId w:val="1"/>
      </w:numPr>
      <w:tabs>
        <w:tab w:val="left" w:pos="1080"/>
        <w:tab w:val="left" w:pos="1620"/>
        <w:tab w:val="right" w:pos="10620"/>
      </w:tabs>
      <w:jc w:val="both"/>
    </w:pPr>
  </w:style>
  <w:style w:type="paragraph" w:customStyle="1" w:styleId="abcalphaliststyle">
    <w:name w:val="a)   b)   c)  alpha list  style"/>
    <w:basedOn w:val="Normal"/>
    <w:link w:val="abcalphaliststyleChar"/>
    <w:qFormat/>
    <w:rsid w:val="008B6127"/>
    <w:pPr>
      <w:numPr>
        <w:numId w:val="2"/>
      </w:numPr>
      <w:tabs>
        <w:tab w:val="left" w:pos="1080"/>
        <w:tab w:val="left" w:pos="1620"/>
        <w:tab w:val="right" w:pos="10620"/>
      </w:tabs>
      <w:ind w:left="1620" w:hanging="540"/>
      <w:jc w:val="both"/>
    </w:pPr>
  </w:style>
  <w:style w:type="character" w:customStyle="1" w:styleId="BulletStyleChar">
    <w:name w:val="Bullet Style Char"/>
    <w:basedOn w:val="DefaultParagraphFont"/>
    <w:link w:val="BulletStyle"/>
    <w:rsid w:val="00E5280C"/>
    <w:rPr>
      <w:rFonts w:ascii="Arial" w:hAnsi="Arial"/>
      <w:lang w:val="en-GB" w:eastAsia="en-US"/>
    </w:rPr>
  </w:style>
  <w:style w:type="paragraph" w:customStyle="1" w:styleId="NumberStyle123">
    <w:name w:val="Number Style 1. 2. 3."/>
    <w:basedOn w:val="abcalphaliststyle"/>
    <w:link w:val="NumberStyle123Char"/>
    <w:autoRedefine/>
    <w:qFormat/>
    <w:rsid w:val="003679F5"/>
    <w:pPr>
      <w:numPr>
        <w:numId w:val="3"/>
      </w:numPr>
      <w:tabs>
        <w:tab w:val="clear" w:pos="1080"/>
        <w:tab w:val="left" w:pos="1170"/>
      </w:tabs>
      <w:ind w:left="1620" w:hanging="450"/>
    </w:pPr>
    <w:rPr>
      <w:b/>
    </w:rPr>
  </w:style>
  <w:style w:type="character" w:customStyle="1" w:styleId="abcalphaliststyleChar">
    <w:name w:val="a)   b)   c)  alpha list  style Char"/>
    <w:basedOn w:val="DefaultParagraphFont"/>
    <w:link w:val="abcalphaliststyle"/>
    <w:rsid w:val="008B6127"/>
    <w:rPr>
      <w:rFonts w:ascii="Arial" w:hAnsi="Arial"/>
      <w:lang w:val="en-GB" w:eastAsia="en-US"/>
    </w:rPr>
  </w:style>
  <w:style w:type="paragraph" w:customStyle="1" w:styleId="-HyphenStyle">
    <w:name w:val="- Hyphen Style"/>
    <w:basedOn w:val="abcalphaliststyle"/>
    <w:link w:val="-HyphenStyleChar"/>
    <w:qFormat/>
    <w:rsid w:val="0043243F"/>
    <w:pPr>
      <w:numPr>
        <w:numId w:val="4"/>
      </w:numPr>
      <w:ind w:hanging="540"/>
    </w:pPr>
  </w:style>
  <w:style w:type="character" w:customStyle="1" w:styleId="NumberStyle123Char">
    <w:name w:val="Number Style 1. 2. 3. Char"/>
    <w:basedOn w:val="abcalphaliststyleChar"/>
    <w:link w:val="NumberStyle123"/>
    <w:rsid w:val="003679F5"/>
    <w:rPr>
      <w:rFonts w:ascii="Arial" w:hAnsi="Arial"/>
      <w:b/>
      <w:lang w:val="en-GB" w:eastAsia="en-US"/>
    </w:rPr>
  </w:style>
  <w:style w:type="paragraph" w:customStyle="1" w:styleId="DiamondStyle1">
    <w:name w:val="Diamond Style1"/>
    <w:basedOn w:val="-HyphenStyle"/>
    <w:link w:val="DiamondStyle1Char"/>
    <w:rsid w:val="0043243F"/>
    <w:pPr>
      <w:numPr>
        <w:numId w:val="5"/>
      </w:numPr>
      <w:ind w:left="1620" w:hanging="540"/>
    </w:pPr>
  </w:style>
  <w:style w:type="character" w:customStyle="1" w:styleId="-HyphenStyleChar">
    <w:name w:val="- Hyphen Style Char"/>
    <w:basedOn w:val="abcalphaliststyleChar"/>
    <w:link w:val="-HyphenStyle"/>
    <w:rsid w:val="0043243F"/>
    <w:rPr>
      <w:rFonts w:ascii="Arial" w:hAnsi="Arial"/>
      <w:lang w:val="en-GB" w:eastAsia="en-US"/>
    </w:rPr>
  </w:style>
  <w:style w:type="paragraph" w:customStyle="1" w:styleId="Rightarrowstyle1">
    <w:name w:val="Right arrow style 1"/>
    <w:basedOn w:val="DiamondStyle1"/>
    <w:link w:val="Rightarrowstyle1Char"/>
    <w:qFormat/>
    <w:rsid w:val="0043243F"/>
    <w:pPr>
      <w:numPr>
        <w:numId w:val="6"/>
      </w:numPr>
      <w:ind w:left="1620" w:hanging="540"/>
    </w:pPr>
  </w:style>
  <w:style w:type="character" w:customStyle="1" w:styleId="DiamondStyle1Char">
    <w:name w:val="Diamond Style1 Char"/>
    <w:basedOn w:val="-HyphenStyleChar"/>
    <w:link w:val="DiamondStyle1"/>
    <w:rsid w:val="0043243F"/>
    <w:rPr>
      <w:rFonts w:ascii="Arial" w:hAnsi="Arial"/>
      <w:lang w:val="en-GB" w:eastAsia="en-US"/>
    </w:rPr>
  </w:style>
  <w:style w:type="paragraph" w:customStyle="1" w:styleId="CheckMarkStyle1">
    <w:name w:val="Check Mark Style1"/>
    <w:basedOn w:val="Rightarrowstyle1"/>
    <w:link w:val="CheckMarkStyle1Char"/>
    <w:rsid w:val="0043243F"/>
    <w:pPr>
      <w:numPr>
        <w:numId w:val="7"/>
      </w:numPr>
      <w:ind w:left="1620" w:hanging="540"/>
    </w:pPr>
  </w:style>
  <w:style w:type="character" w:customStyle="1" w:styleId="Rightarrowstyle1Char">
    <w:name w:val="Right arrow style 1 Char"/>
    <w:basedOn w:val="DiamondStyle1Char"/>
    <w:link w:val="Rightarrowstyle1"/>
    <w:rsid w:val="0043243F"/>
    <w:rPr>
      <w:rFonts w:ascii="Arial" w:hAnsi="Arial"/>
      <w:lang w:val="en-GB" w:eastAsia="en-US"/>
    </w:rPr>
  </w:style>
  <w:style w:type="paragraph" w:customStyle="1" w:styleId="BoxStyle4">
    <w:name w:val="Box Style 4"/>
    <w:basedOn w:val="CheckMarkStyle1"/>
    <w:link w:val="BoxStyle4Char"/>
    <w:qFormat/>
    <w:rsid w:val="00267647"/>
    <w:pPr>
      <w:numPr>
        <w:numId w:val="8"/>
      </w:numPr>
      <w:ind w:left="2160" w:hanging="540"/>
    </w:pPr>
  </w:style>
  <w:style w:type="character" w:customStyle="1" w:styleId="CheckMarkStyle1Char">
    <w:name w:val="Check Mark Style1 Char"/>
    <w:basedOn w:val="Rightarrowstyle1Char"/>
    <w:link w:val="CheckMarkStyle1"/>
    <w:rsid w:val="0043243F"/>
    <w:rPr>
      <w:rFonts w:ascii="Arial" w:hAnsi="Arial"/>
      <w:lang w:val="en-GB" w:eastAsia="en-US"/>
    </w:rPr>
  </w:style>
  <w:style w:type="paragraph" w:customStyle="1" w:styleId="CircleStyle1">
    <w:name w:val="Circle Style1"/>
    <w:basedOn w:val="BoxStyle4"/>
    <w:link w:val="CircleStyle1Char"/>
    <w:rsid w:val="0043243F"/>
    <w:pPr>
      <w:numPr>
        <w:numId w:val="9"/>
      </w:numPr>
    </w:pPr>
  </w:style>
  <w:style w:type="character" w:customStyle="1" w:styleId="BoxStyle4Char">
    <w:name w:val="Box Style 4 Char"/>
    <w:basedOn w:val="CheckMarkStyle1Char"/>
    <w:link w:val="BoxStyle4"/>
    <w:rsid w:val="00267647"/>
    <w:rPr>
      <w:rFonts w:ascii="Arial" w:hAnsi="Arial"/>
      <w:lang w:val="en-GB" w:eastAsia="en-US"/>
    </w:rPr>
  </w:style>
  <w:style w:type="paragraph" w:customStyle="1" w:styleId="StarStyle1">
    <w:name w:val="Star Style1"/>
    <w:basedOn w:val="CircleStyle1"/>
    <w:link w:val="StarStyle1Char"/>
    <w:qFormat/>
    <w:rsid w:val="00E5280C"/>
    <w:pPr>
      <w:numPr>
        <w:numId w:val="10"/>
      </w:numPr>
    </w:pPr>
  </w:style>
  <w:style w:type="character" w:customStyle="1" w:styleId="CircleStyle1Char">
    <w:name w:val="Circle Style1 Char"/>
    <w:basedOn w:val="BoxStyle4Char"/>
    <w:link w:val="CircleStyle1"/>
    <w:rsid w:val="0043243F"/>
    <w:rPr>
      <w:rFonts w:ascii="Arial" w:hAnsi="Arial"/>
      <w:lang w:val="en-GB" w:eastAsia="en-US"/>
    </w:rPr>
  </w:style>
  <w:style w:type="paragraph" w:customStyle="1" w:styleId="BulletStyle2">
    <w:name w:val="Bullet Style 2"/>
    <w:basedOn w:val="BulletStyle"/>
    <w:link w:val="BulletStyle2Char"/>
    <w:rsid w:val="00154556"/>
    <w:pPr>
      <w:tabs>
        <w:tab w:val="clear" w:pos="1080"/>
        <w:tab w:val="left" w:pos="1260"/>
      </w:tabs>
    </w:pPr>
  </w:style>
  <w:style w:type="character" w:customStyle="1" w:styleId="StarStyle1Char">
    <w:name w:val="Star Style1 Char"/>
    <w:basedOn w:val="CircleStyle1Char"/>
    <w:link w:val="StarStyle1"/>
    <w:rsid w:val="00E5280C"/>
    <w:rPr>
      <w:rFonts w:ascii="Arial" w:hAnsi="Arial"/>
      <w:lang w:val="en-GB" w:eastAsia="en-US"/>
    </w:rPr>
  </w:style>
  <w:style w:type="paragraph" w:customStyle="1" w:styleId="CheckMarkStyle2">
    <w:name w:val="Check Mark Style 2"/>
    <w:basedOn w:val="CheckMarkStyle1"/>
    <w:link w:val="CheckMarkStyle2Char"/>
    <w:qFormat/>
    <w:rsid w:val="00154556"/>
    <w:pPr>
      <w:tabs>
        <w:tab w:val="clear" w:pos="1080"/>
        <w:tab w:val="left" w:pos="1260"/>
      </w:tabs>
      <w:ind w:hanging="360"/>
    </w:pPr>
  </w:style>
  <w:style w:type="character" w:customStyle="1" w:styleId="BulletStyle2Char">
    <w:name w:val="Bullet Style 2 Char"/>
    <w:basedOn w:val="BulletStyleChar"/>
    <w:link w:val="BulletStyle2"/>
    <w:rsid w:val="00154556"/>
    <w:rPr>
      <w:rFonts w:ascii="Arial" w:hAnsi="Arial"/>
      <w:lang w:val="en-GB" w:eastAsia="en-US"/>
    </w:rPr>
  </w:style>
  <w:style w:type="paragraph" w:customStyle="1" w:styleId="CircleStyle3">
    <w:name w:val="Circle Style 3"/>
    <w:basedOn w:val="CircleStyle1"/>
    <w:link w:val="CircleStyle3Char"/>
    <w:qFormat/>
    <w:rsid w:val="00154556"/>
    <w:pPr>
      <w:tabs>
        <w:tab w:val="clear" w:pos="1080"/>
        <w:tab w:val="left" w:pos="1260"/>
      </w:tabs>
    </w:pPr>
  </w:style>
  <w:style w:type="character" w:customStyle="1" w:styleId="CheckMarkStyle2Char">
    <w:name w:val="Check Mark Style 2 Char"/>
    <w:basedOn w:val="CheckMarkStyle1Char"/>
    <w:link w:val="CheckMarkStyle2"/>
    <w:rsid w:val="00154556"/>
    <w:rPr>
      <w:rFonts w:ascii="Arial" w:hAnsi="Arial"/>
      <w:lang w:val="en-GB" w:eastAsia="en-US"/>
    </w:rPr>
  </w:style>
  <w:style w:type="paragraph" w:customStyle="1" w:styleId="DiamondStyle2">
    <w:name w:val="Diamond Style 2"/>
    <w:basedOn w:val="DiamondStyle1"/>
    <w:link w:val="DiamondStyle2Char"/>
    <w:qFormat/>
    <w:rsid w:val="00154556"/>
    <w:pPr>
      <w:tabs>
        <w:tab w:val="clear" w:pos="1080"/>
        <w:tab w:val="left" w:pos="1260"/>
      </w:tabs>
      <w:ind w:hanging="360"/>
    </w:pPr>
  </w:style>
  <w:style w:type="character" w:customStyle="1" w:styleId="CircleStyle3Char">
    <w:name w:val="Circle Style 3 Char"/>
    <w:basedOn w:val="CircleStyle1Char"/>
    <w:link w:val="CircleStyle3"/>
    <w:rsid w:val="00154556"/>
    <w:rPr>
      <w:rFonts w:ascii="Arial" w:hAnsi="Arial"/>
      <w:lang w:val="en-GB" w:eastAsia="en-US"/>
    </w:rPr>
  </w:style>
  <w:style w:type="paragraph" w:customStyle="1" w:styleId="BasicTextStyle1">
    <w:name w:val="Basic Text Style1"/>
    <w:basedOn w:val="ListParagraph"/>
    <w:link w:val="BasicTextStyle1Char"/>
    <w:qFormat/>
    <w:rsid w:val="004E7A10"/>
    <w:pPr>
      <w:ind w:left="1080"/>
    </w:pPr>
  </w:style>
  <w:style w:type="character" w:customStyle="1" w:styleId="DiamondStyle2Char">
    <w:name w:val="Diamond Style 2 Char"/>
    <w:basedOn w:val="DiamondStyle1Char"/>
    <w:link w:val="DiamondStyle2"/>
    <w:rsid w:val="00154556"/>
    <w:rPr>
      <w:rFonts w:ascii="Arial" w:hAnsi="Arial"/>
      <w:lang w:val="en-GB" w:eastAsia="en-US"/>
    </w:rPr>
  </w:style>
  <w:style w:type="character" w:customStyle="1" w:styleId="ListParagraphChar">
    <w:name w:val="List Paragraph Char"/>
    <w:basedOn w:val="DefaultParagraphFont"/>
    <w:link w:val="ListParagraph"/>
    <w:uiPriority w:val="34"/>
    <w:rsid w:val="004E7A10"/>
    <w:rPr>
      <w:rFonts w:ascii="Arial" w:hAnsi="Arial"/>
      <w:lang w:val="en-GB" w:eastAsia="en-US"/>
    </w:rPr>
  </w:style>
  <w:style w:type="character" w:customStyle="1" w:styleId="BasicTextStyle1Char">
    <w:name w:val="Basic Text Style1 Char"/>
    <w:basedOn w:val="ListParagraphChar"/>
    <w:link w:val="BasicTextStyle1"/>
    <w:rsid w:val="004E7A10"/>
    <w:rPr>
      <w:rFonts w:ascii="Arial" w:hAnsi="Arial"/>
      <w:lang w:val="en-GB" w:eastAsia="en-US"/>
    </w:rPr>
  </w:style>
  <w:style w:type="paragraph" w:styleId="NoSpacing">
    <w:name w:val="No Spacing"/>
    <w:uiPriority w:val="1"/>
    <w:rsid w:val="00A87A95"/>
    <w:rPr>
      <w:rFonts w:ascii="Arial" w:hAnsi="Arial"/>
      <w:lang w:val="en-GB" w:eastAsia="en-US"/>
    </w:rPr>
  </w:style>
  <w:style w:type="character" w:styleId="IntenseEmphasis">
    <w:name w:val="Intense Emphasis"/>
    <w:basedOn w:val="DefaultParagraphFont"/>
    <w:uiPriority w:val="21"/>
    <w:rsid w:val="00D8727C"/>
    <w:rPr>
      <w:b/>
      <w:bCs/>
      <w:i/>
      <w:iCs/>
      <w:color w:val="4F81BD" w:themeColor="accent1"/>
    </w:rPr>
  </w:style>
  <w:style w:type="character" w:styleId="Strong">
    <w:name w:val="Strong"/>
    <w:basedOn w:val="DefaultParagraphFont"/>
    <w:uiPriority w:val="22"/>
    <w:rsid w:val="00D8727C"/>
    <w:rPr>
      <w:b/>
      <w:bCs/>
    </w:rPr>
  </w:style>
  <w:style w:type="character" w:styleId="Emphasis">
    <w:name w:val="Emphasis"/>
    <w:basedOn w:val="DefaultParagraphFont"/>
    <w:uiPriority w:val="20"/>
    <w:rsid w:val="00D8727C"/>
    <w:rPr>
      <w:i/>
      <w:iCs/>
    </w:rPr>
  </w:style>
  <w:style w:type="character" w:styleId="IntenseReference">
    <w:name w:val="Intense Reference"/>
    <w:basedOn w:val="DefaultParagraphFont"/>
    <w:uiPriority w:val="32"/>
    <w:rsid w:val="00D8727C"/>
    <w:rPr>
      <w:b/>
      <w:bCs/>
      <w:smallCaps/>
      <w:color w:val="C0504D" w:themeColor="accent2"/>
      <w:spacing w:val="5"/>
      <w:u w:val="single"/>
    </w:rPr>
  </w:style>
  <w:style w:type="paragraph" w:customStyle="1" w:styleId="ListParagraph2">
    <w:name w:val="List Paragraph 2"/>
    <w:basedOn w:val="ListParagraph"/>
    <w:link w:val="ListParagraph2Char"/>
    <w:qFormat/>
    <w:rsid w:val="00D8727C"/>
    <w:pPr>
      <w:ind w:left="1260"/>
    </w:pPr>
  </w:style>
  <w:style w:type="paragraph" w:customStyle="1" w:styleId="NormalParagraph">
    <w:name w:val="Normal Paragraph"/>
    <w:basedOn w:val="Normal"/>
    <w:link w:val="NormalParagraphChar"/>
    <w:rsid w:val="00D8727C"/>
    <w:pPr>
      <w:ind w:left="1080"/>
    </w:pPr>
  </w:style>
  <w:style w:type="character" w:customStyle="1" w:styleId="ListParagraph2Char">
    <w:name w:val="List Paragraph 2 Char"/>
    <w:basedOn w:val="ListParagraphChar"/>
    <w:link w:val="ListParagraph2"/>
    <w:rsid w:val="00D8727C"/>
    <w:rPr>
      <w:rFonts w:ascii="Arial" w:hAnsi="Arial"/>
      <w:lang w:val="en-GB" w:eastAsia="en-US"/>
    </w:rPr>
  </w:style>
  <w:style w:type="paragraph" w:customStyle="1" w:styleId="BoxStyle2">
    <w:name w:val="Box Style 2"/>
    <w:basedOn w:val="BoxStyle4"/>
    <w:link w:val="BoxStyle2Char"/>
    <w:qFormat/>
    <w:rsid w:val="00267647"/>
    <w:pPr>
      <w:tabs>
        <w:tab w:val="clear" w:pos="1080"/>
        <w:tab w:val="left" w:pos="1260"/>
      </w:tabs>
      <w:ind w:left="1620" w:hanging="360"/>
    </w:pPr>
  </w:style>
  <w:style w:type="character" w:customStyle="1" w:styleId="NormalParagraphChar">
    <w:name w:val="Normal Paragraph Char"/>
    <w:basedOn w:val="DefaultParagraphFont"/>
    <w:link w:val="NormalParagraph"/>
    <w:rsid w:val="00D8727C"/>
    <w:rPr>
      <w:rFonts w:ascii="Arial" w:hAnsi="Arial"/>
      <w:lang w:val="en-GB" w:eastAsia="en-US"/>
    </w:rPr>
  </w:style>
  <w:style w:type="paragraph" w:customStyle="1" w:styleId="BoxStyle3">
    <w:name w:val="Box Style 3"/>
    <w:basedOn w:val="BoxStyle4"/>
    <w:link w:val="BoxStyle3Char"/>
    <w:rsid w:val="00267647"/>
    <w:pPr>
      <w:tabs>
        <w:tab w:val="clear" w:pos="1080"/>
        <w:tab w:val="left" w:pos="1260"/>
      </w:tabs>
      <w:ind w:left="1620" w:hanging="360"/>
    </w:pPr>
  </w:style>
  <w:style w:type="character" w:customStyle="1" w:styleId="BoxStyle2Char">
    <w:name w:val="Box Style 2 Char"/>
    <w:basedOn w:val="BoxStyle4Char"/>
    <w:link w:val="BoxStyle2"/>
    <w:rsid w:val="00267647"/>
    <w:rPr>
      <w:rFonts w:ascii="Arial" w:hAnsi="Arial"/>
      <w:lang w:val="en-GB" w:eastAsia="en-US"/>
    </w:rPr>
  </w:style>
  <w:style w:type="character" w:customStyle="1" w:styleId="BoxStyle3Char">
    <w:name w:val="Box Style 3 Char"/>
    <w:basedOn w:val="BoxStyle4Char"/>
    <w:link w:val="BoxStyle3"/>
    <w:rsid w:val="00267647"/>
    <w:rPr>
      <w:rFonts w:ascii="Arial" w:hAnsi="Arial"/>
      <w:lang w:val="en-GB" w:eastAsia="en-US"/>
    </w:rPr>
  </w:style>
  <w:style w:type="paragraph" w:customStyle="1" w:styleId="aStyle2">
    <w:name w:val="a) Style 2"/>
    <w:basedOn w:val="abcalphaliststyle"/>
    <w:link w:val="aStyle2Char"/>
    <w:qFormat/>
    <w:rsid w:val="00977458"/>
    <w:pPr>
      <w:tabs>
        <w:tab w:val="clear" w:pos="1080"/>
        <w:tab w:val="left" w:pos="1260"/>
      </w:tabs>
      <w:ind w:hanging="360"/>
    </w:pPr>
  </w:style>
  <w:style w:type="paragraph" w:customStyle="1" w:styleId="-Style2">
    <w:name w:val="- Style 2"/>
    <w:basedOn w:val="-HyphenStyle"/>
    <w:link w:val="-Style2Char"/>
    <w:qFormat/>
    <w:rsid w:val="00977458"/>
    <w:pPr>
      <w:tabs>
        <w:tab w:val="clear" w:pos="1080"/>
        <w:tab w:val="left" w:pos="1260"/>
      </w:tabs>
      <w:ind w:hanging="360"/>
    </w:pPr>
  </w:style>
  <w:style w:type="character" w:customStyle="1" w:styleId="aStyle2Char">
    <w:name w:val="a) Style 2 Char"/>
    <w:basedOn w:val="abcalphaliststyleChar"/>
    <w:link w:val="aStyle2"/>
    <w:rsid w:val="00977458"/>
    <w:rPr>
      <w:rFonts w:ascii="Arial" w:hAnsi="Arial"/>
      <w:lang w:val="en-GB" w:eastAsia="en-US"/>
    </w:rPr>
  </w:style>
  <w:style w:type="paragraph" w:customStyle="1" w:styleId="Style2">
    <w:name w:val="Style 2"/>
    <w:basedOn w:val="CircleStyle3"/>
    <w:link w:val="Style2Char"/>
    <w:qFormat/>
    <w:rsid w:val="006F1036"/>
    <w:pPr>
      <w:tabs>
        <w:tab w:val="clear" w:pos="1620"/>
        <w:tab w:val="left" w:pos="1980"/>
      </w:tabs>
      <w:ind w:firstLine="0"/>
    </w:pPr>
  </w:style>
  <w:style w:type="character" w:customStyle="1" w:styleId="-Style2Char">
    <w:name w:val="- Style 2 Char"/>
    <w:basedOn w:val="-HyphenStyleChar"/>
    <w:link w:val="-Style2"/>
    <w:rsid w:val="00977458"/>
    <w:rPr>
      <w:rFonts w:ascii="Arial" w:hAnsi="Arial"/>
      <w:lang w:val="en-GB" w:eastAsia="en-US"/>
    </w:rPr>
  </w:style>
  <w:style w:type="character" w:customStyle="1" w:styleId="Style2Char">
    <w:name w:val="Style 2 Char"/>
    <w:basedOn w:val="CircleStyle3Char"/>
    <w:link w:val="Style2"/>
    <w:rsid w:val="006F1036"/>
    <w:rPr>
      <w:rFonts w:ascii="Arial" w:hAnsi="Arial"/>
      <w:lang w:val="en-GB" w:eastAsia="en-US"/>
    </w:rPr>
  </w:style>
  <w:style w:type="paragraph" w:customStyle="1" w:styleId="RightArrowStyle3">
    <w:name w:val="Right Arrow Style 3"/>
    <w:basedOn w:val="Rightarrowstyle1"/>
    <w:link w:val="RightArrowStyle3Char"/>
    <w:qFormat/>
    <w:rsid w:val="00DC2C69"/>
    <w:pPr>
      <w:tabs>
        <w:tab w:val="clear" w:pos="1080"/>
        <w:tab w:val="left" w:pos="1980"/>
      </w:tabs>
      <w:ind w:left="1980" w:hanging="360"/>
    </w:pPr>
  </w:style>
  <w:style w:type="paragraph" w:customStyle="1" w:styleId="RightArrowStyle2">
    <w:name w:val="Right Arrow Style 2"/>
    <w:basedOn w:val="Rightarrowstyle1"/>
    <w:link w:val="RightArrowStyle2Char"/>
    <w:qFormat/>
    <w:rsid w:val="00DC2C69"/>
    <w:pPr>
      <w:tabs>
        <w:tab w:val="clear" w:pos="1080"/>
        <w:tab w:val="left" w:pos="1260"/>
      </w:tabs>
      <w:ind w:hanging="360"/>
    </w:pPr>
  </w:style>
  <w:style w:type="character" w:customStyle="1" w:styleId="RightArrowStyle3Char">
    <w:name w:val="Right Arrow Style 3 Char"/>
    <w:basedOn w:val="Rightarrowstyle1Char"/>
    <w:link w:val="RightArrowStyle3"/>
    <w:rsid w:val="00DC2C69"/>
    <w:rPr>
      <w:rFonts w:ascii="Arial" w:hAnsi="Arial"/>
      <w:lang w:val="en-GB" w:eastAsia="en-US"/>
    </w:rPr>
  </w:style>
  <w:style w:type="character" w:customStyle="1" w:styleId="RightArrowStyle2Char">
    <w:name w:val="Right Arrow Style 2 Char"/>
    <w:basedOn w:val="Rightarrowstyle1Char"/>
    <w:link w:val="RightArrowStyle2"/>
    <w:rsid w:val="00DC2C69"/>
    <w:rPr>
      <w:rFonts w:ascii="Arial" w:hAnsi="Arial"/>
      <w:lang w:val="en-GB" w:eastAsia="en-US"/>
    </w:rPr>
  </w:style>
  <w:style w:type="paragraph" w:customStyle="1" w:styleId="BullettStyle1">
    <w:name w:val="Bullett Style1"/>
    <w:basedOn w:val="BulletStyle2"/>
    <w:link w:val="BullettStyle1Char"/>
    <w:rsid w:val="009A26F1"/>
    <w:pPr>
      <w:tabs>
        <w:tab w:val="clear" w:pos="1260"/>
        <w:tab w:val="clear" w:pos="1620"/>
        <w:tab w:val="left" w:pos="90"/>
        <w:tab w:val="left" w:pos="540"/>
      </w:tabs>
      <w:ind w:left="540" w:hanging="450"/>
    </w:pPr>
  </w:style>
  <w:style w:type="paragraph" w:customStyle="1" w:styleId="BoxStyle1">
    <w:name w:val="Box Style1"/>
    <w:basedOn w:val="BoxStyle2"/>
    <w:link w:val="BoxStyle1Char"/>
    <w:qFormat/>
    <w:rsid w:val="009A26F1"/>
    <w:pPr>
      <w:tabs>
        <w:tab w:val="clear" w:pos="1260"/>
        <w:tab w:val="clear" w:pos="1620"/>
        <w:tab w:val="left" w:pos="0"/>
        <w:tab w:val="left" w:pos="450"/>
      </w:tabs>
      <w:ind w:left="450" w:hanging="450"/>
    </w:pPr>
  </w:style>
  <w:style w:type="character" w:customStyle="1" w:styleId="BullettStyle1Char">
    <w:name w:val="Bullett Style1 Char"/>
    <w:basedOn w:val="BulletStyle2Char"/>
    <w:link w:val="BullettStyle1"/>
    <w:rsid w:val="009A26F1"/>
    <w:rPr>
      <w:rFonts w:ascii="Arial" w:hAnsi="Arial"/>
      <w:lang w:val="en-GB" w:eastAsia="en-US"/>
    </w:rPr>
  </w:style>
  <w:style w:type="paragraph" w:customStyle="1" w:styleId="BulletStyle20">
    <w:name w:val="Bullet Style2"/>
    <w:basedOn w:val="BulletStyle2"/>
    <w:link w:val="BulletStyle2Char0"/>
    <w:qFormat/>
    <w:rsid w:val="006A516E"/>
    <w:pPr>
      <w:tabs>
        <w:tab w:val="clear" w:pos="1260"/>
        <w:tab w:val="left" w:pos="1080"/>
      </w:tabs>
      <w:ind w:left="1620" w:hanging="540"/>
    </w:pPr>
  </w:style>
  <w:style w:type="character" w:customStyle="1" w:styleId="BoxStyle1Char">
    <w:name w:val="Box Style1 Char"/>
    <w:basedOn w:val="BoxStyle2Char"/>
    <w:link w:val="BoxStyle1"/>
    <w:rsid w:val="009A26F1"/>
    <w:rPr>
      <w:rFonts w:ascii="Arial" w:hAnsi="Arial"/>
      <w:lang w:val="en-GB" w:eastAsia="en-US"/>
    </w:rPr>
  </w:style>
  <w:style w:type="paragraph" w:customStyle="1" w:styleId="BulletStyle3">
    <w:name w:val="Bullet Style3"/>
    <w:basedOn w:val="BullettStyle1"/>
    <w:link w:val="BulletStyle3Char"/>
    <w:rsid w:val="00AB1A98"/>
    <w:pPr>
      <w:ind w:hanging="540"/>
    </w:pPr>
  </w:style>
  <w:style w:type="character" w:customStyle="1" w:styleId="BulletStyle2Char0">
    <w:name w:val="Bullet Style2 Char"/>
    <w:basedOn w:val="BulletStyle2Char"/>
    <w:link w:val="BulletStyle20"/>
    <w:rsid w:val="006A516E"/>
    <w:rPr>
      <w:rFonts w:ascii="Arial" w:hAnsi="Arial"/>
      <w:lang w:val="en-GB" w:eastAsia="en-US"/>
    </w:rPr>
  </w:style>
  <w:style w:type="paragraph" w:customStyle="1" w:styleId="BulletStyle1">
    <w:name w:val="Bullet Style1"/>
    <w:basedOn w:val="BulletStyle3"/>
    <w:link w:val="BulletStyle1Char"/>
    <w:rsid w:val="00AB1A98"/>
    <w:pPr>
      <w:tabs>
        <w:tab w:val="clear" w:pos="540"/>
        <w:tab w:val="left" w:pos="450"/>
      </w:tabs>
    </w:pPr>
  </w:style>
  <w:style w:type="character" w:customStyle="1" w:styleId="BulletStyle3Char">
    <w:name w:val="Bullet Style3 Char"/>
    <w:basedOn w:val="BullettStyle1Char"/>
    <w:link w:val="BulletStyle3"/>
    <w:rsid w:val="00AB1A98"/>
    <w:rPr>
      <w:rFonts w:ascii="Arial" w:hAnsi="Arial"/>
      <w:lang w:val="en-GB" w:eastAsia="en-US"/>
    </w:rPr>
  </w:style>
  <w:style w:type="paragraph" w:customStyle="1" w:styleId="BulletStyl1">
    <w:name w:val="Bullet Styl 1"/>
    <w:basedOn w:val="BulletStyle1"/>
    <w:link w:val="BulletStyl1Char"/>
    <w:qFormat/>
    <w:rsid w:val="00AB1A98"/>
    <w:pPr>
      <w:ind w:left="1440" w:hanging="360"/>
    </w:pPr>
  </w:style>
  <w:style w:type="character" w:customStyle="1" w:styleId="BulletStyle1Char">
    <w:name w:val="Bullet Style1 Char"/>
    <w:basedOn w:val="BulletStyle3Char"/>
    <w:link w:val="BulletStyle1"/>
    <w:rsid w:val="00AB1A98"/>
    <w:rPr>
      <w:rFonts w:ascii="Arial" w:hAnsi="Arial"/>
      <w:lang w:val="en-GB" w:eastAsia="en-US"/>
    </w:rPr>
  </w:style>
  <w:style w:type="paragraph" w:customStyle="1" w:styleId="NormalParagraph1">
    <w:name w:val="Normal Paragraph 1"/>
    <w:basedOn w:val="NormalParagraph"/>
    <w:link w:val="NormalParagraph1Char"/>
    <w:qFormat/>
    <w:rsid w:val="00460B80"/>
    <w:pPr>
      <w:ind w:left="90"/>
    </w:pPr>
  </w:style>
  <w:style w:type="character" w:customStyle="1" w:styleId="BulletStyl1Char">
    <w:name w:val="Bullet Styl 1 Char"/>
    <w:basedOn w:val="BulletStyle1Char"/>
    <w:link w:val="BulletStyl1"/>
    <w:rsid w:val="00AB1A98"/>
    <w:rPr>
      <w:rFonts w:ascii="Arial" w:hAnsi="Arial"/>
      <w:lang w:val="en-GB" w:eastAsia="en-US"/>
    </w:rPr>
  </w:style>
  <w:style w:type="character" w:customStyle="1" w:styleId="NormalParagraph1Char">
    <w:name w:val="Normal Paragraph 1 Char"/>
    <w:basedOn w:val="NormalParagraphChar"/>
    <w:link w:val="NormalParagraph1"/>
    <w:rsid w:val="00460B80"/>
    <w:rPr>
      <w:rFonts w:ascii="Arial" w:hAnsi="Arial"/>
      <w:lang w:val="en-GB" w:eastAsia="en-US"/>
    </w:rPr>
  </w:style>
  <w:style w:type="paragraph" w:customStyle="1" w:styleId="CircleStyle-1">
    <w:name w:val="Circle Style-1"/>
    <w:basedOn w:val="CircleStyle3"/>
    <w:link w:val="CircleStyle-1Char"/>
    <w:qFormat/>
    <w:rsid w:val="00A81409"/>
    <w:pPr>
      <w:tabs>
        <w:tab w:val="clear" w:pos="1260"/>
        <w:tab w:val="clear" w:pos="1620"/>
        <w:tab w:val="left" w:pos="630"/>
      </w:tabs>
      <w:jc w:val="left"/>
    </w:pPr>
  </w:style>
  <w:style w:type="character" w:customStyle="1" w:styleId="CircleStyle-1Char">
    <w:name w:val="Circle Style-1 Char"/>
    <w:basedOn w:val="CircleStyle3Char"/>
    <w:link w:val="CircleStyle-1"/>
    <w:rsid w:val="00A81409"/>
    <w:rPr>
      <w:rFonts w:ascii="Arial" w:hAnsi="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68007F93126CF429E7A33C6FD82E05D" ma:contentTypeVersion="1" ma:contentTypeDescription="Create a new document." ma:contentTypeScope="" ma:versionID="d0b8bec6b002bd437171dba42e1bc857">
  <xsd:schema xmlns:xsd="http://www.w3.org/2001/XMLSchema" xmlns:p="http://schemas.microsoft.com/office/2006/metadata/properties" xmlns:ns1="http://schemas.microsoft.com/sharepoint/v3" targetNamespace="http://schemas.microsoft.com/office/2006/metadata/properties" ma:root="true" ma:fieldsID="949202dcc3c1780e91e58fb2af340b1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FBCFD8-55C8-4CDB-92C8-885589493A99}">
  <ds:schemaRefs>
    <ds:schemaRef ds:uri="http://www.w3.org/XML/1998/namespace"/>
    <ds:schemaRef ds:uri="http://purl.org/dc/elements/1.1/"/>
    <ds:schemaRef ds:uri="http://purl.org/dc/dcmitype/"/>
    <ds:schemaRef ds:uri="http://schemas.openxmlformats.org/package/2006/metadata/core-properties"/>
    <ds:schemaRef ds:uri="http://schemas.microsoft.com/sharepoint/v3"/>
    <ds:schemaRef ds:uri="http://schemas.microsoft.com/office/2006/documentManagement/types"/>
    <ds:schemaRef ds:uri="http://purl.org/dc/terms/"/>
    <ds:schemaRef ds:uri="http://schemas.microsoft.com/office/2006/metadata/properties"/>
  </ds:schemaRefs>
</ds:datastoreItem>
</file>

<file path=customXml/itemProps2.xml><?xml version="1.0" encoding="utf-8"?>
<ds:datastoreItem xmlns:ds="http://schemas.openxmlformats.org/officeDocument/2006/customXml" ds:itemID="{9C326443-5205-42CC-B480-2D3A97736B6A}">
  <ds:schemaRefs>
    <ds:schemaRef ds:uri="http://schemas.microsoft.com/sharepoint/v3/contenttype/forms"/>
  </ds:schemaRefs>
</ds:datastoreItem>
</file>

<file path=customXml/itemProps3.xml><?xml version="1.0" encoding="utf-8"?>
<ds:datastoreItem xmlns:ds="http://schemas.openxmlformats.org/officeDocument/2006/customXml" ds:itemID="{C62BF77E-9499-419D-8B1D-0A32F524CD5B}">
  <ds:schemaRefs>
    <ds:schemaRef ds:uri="http://schemas.microsoft.com/office/2006/metadata/longProperties"/>
  </ds:schemaRefs>
</ds:datastoreItem>
</file>

<file path=customXml/itemProps4.xml><?xml version="1.0" encoding="utf-8"?>
<ds:datastoreItem xmlns:ds="http://schemas.openxmlformats.org/officeDocument/2006/customXml" ds:itemID="{30B9A512-CC61-42B6-BD1F-1B570215EB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573F2FD-14A7-42AC-88C6-66392AE23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945</Words>
  <Characters>5318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info to ARC</vt:lpstr>
    </vt:vector>
  </TitlesOfParts>
  <Company>Ontario Hydro GENCO</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 to ARC</dc:title>
  <dc:creator>190872</dc:creator>
  <cp:lastModifiedBy>LAURETA LAPIRA May -TREASURY</cp:lastModifiedBy>
  <cp:revision>2</cp:revision>
  <cp:lastPrinted>2015-04-10T00:29:00Z</cp:lastPrinted>
  <dcterms:created xsi:type="dcterms:W3CDTF">2017-12-21T16:21:00Z</dcterms:created>
  <dcterms:modified xsi:type="dcterms:W3CDTF">2017-12-21T16:21:00Z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OPG Record</vt:lpwstr>
  </property>
  <property fmtid="{D5CDD505-2E9C-101B-9397-08002B2CF9AE}" pid="3" name="display_urn:schemas-microsoft-com:office:office#OPGAuthor">
    <vt:lpwstr>PALLOTTA Rose -CORPEXECOPS</vt:lpwstr>
  </property>
  <property fmtid="{D5CDD505-2E9C-101B-9397-08002B2CF9AE}" pid="4" name="OPG.vwTeamSitesSCISearch_ID">
    <vt:lpwstr/>
  </property>
  <property fmtid="{D5CDD505-2E9C-101B-9397-08002B2CF9AE}" pid="5" name="ContentTypeId">
    <vt:lpwstr>0x010100868007F93126CF429E7A33C6FD82E05D</vt:lpwstr>
  </property>
  <property fmtid="{D5CDD505-2E9C-101B-9397-08002B2CF9AE}" pid="6" name="OPGStatus">
    <vt:lpwstr>Pending</vt:lpwstr>
  </property>
  <property fmtid="{D5CDD505-2E9C-101B-9397-08002B2CF9AE}" pid="7" name="Doc_Date">
    <vt:lpwstr>2015-06-03T04:00:00+00:00</vt:lpwstr>
  </property>
  <property fmtid="{D5CDD505-2E9C-101B-9397-08002B2CF9AE}" pid="8" name="SecurityClass">
    <vt:lpwstr>OPG Internal Use/OPG Proprietary</vt:lpwstr>
  </property>
  <property fmtid="{D5CDD505-2E9C-101B-9397-08002B2CF9AE}" pid="9" name="Retention_rec">
    <vt:lpwstr>Until Superseded/Obsolete</vt:lpwstr>
  </property>
  <property fmtid="{D5CDD505-2E9C-101B-9397-08002B2CF9AE}" pid="10" name="OPGAuthor">
    <vt:lpwstr>PALLOTTA Rose -CORPEXECOPS4013</vt:lpwstr>
  </property>
  <property fmtid="{D5CDD505-2E9C-101B-9397-08002B2CF9AE}" pid="11" name="Doc_Type_rec">
    <vt:lpwstr>Template</vt:lpwstr>
  </property>
  <property fmtid="{D5CDD505-2E9C-101B-9397-08002B2CF9AE}" pid="12" name="Facility">
    <vt:lpwstr>CORP</vt:lpwstr>
  </property>
</Properties>
</file>