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659" w:rsidRDefault="004D1659" w:rsidP="004D1659">
      <w:pPr>
        <w:spacing w:after="240"/>
        <w:textAlignment w:val="baseline"/>
        <w:rPr>
          <w:rFonts w:ascii="Arial" w:eastAsia="Calibri" w:hAnsi="Arial" w:cs="Arial"/>
          <w:color w:val="000000"/>
          <w:sz w:val="28"/>
        </w:rPr>
      </w:pPr>
      <w:r w:rsidRPr="004D1659">
        <w:rPr>
          <w:rFonts w:ascii="Arial" w:eastAsia="Calibri" w:hAnsi="Arial" w:cs="Arial"/>
          <w:b/>
          <w:color w:val="000000"/>
          <w:sz w:val="28"/>
        </w:rPr>
        <w:t xml:space="preserve">Communication MEMO – Quiet Period </w:t>
      </w:r>
      <w:r w:rsidR="00566075">
        <w:rPr>
          <w:rFonts w:ascii="Arial" w:eastAsia="Calibri" w:hAnsi="Arial" w:cs="Arial"/>
          <w:b/>
          <w:color w:val="000000"/>
          <w:sz w:val="28"/>
        </w:rPr>
        <w:t xml:space="preserve">for </w:t>
      </w:r>
      <w:r w:rsidRPr="004D1659">
        <w:rPr>
          <w:rFonts w:ascii="Arial" w:eastAsia="Calibri" w:hAnsi="Arial" w:cs="Arial"/>
          <w:b/>
          <w:color w:val="000000"/>
          <w:sz w:val="28"/>
        </w:rPr>
        <w:t>FHP 2018 Activities</w:t>
      </w:r>
      <w:r w:rsidRPr="004D1659">
        <w:rPr>
          <w:rFonts w:ascii="Arial" w:eastAsia="Calibri" w:hAnsi="Arial" w:cs="Arial"/>
          <w:color w:val="000000"/>
          <w:sz w:val="28"/>
        </w:rPr>
        <w:t xml:space="preserve"> </w:t>
      </w:r>
    </w:p>
    <w:p w:rsidR="00D27BB1" w:rsidRPr="004D1659" w:rsidRDefault="004D1659" w:rsidP="009B6577">
      <w:pPr>
        <w:spacing w:after="240"/>
        <w:textAlignment w:val="baseline"/>
        <w:rPr>
          <w:rFonts w:ascii="Arial" w:eastAsia="Calibri" w:hAnsi="Arial" w:cs="Arial"/>
          <w:b/>
          <w:color w:val="000000"/>
          <w:spacing w:val="-4"/>
          <w:sz w:val="24"/>
          <w:szCs w:val="24"/>
          <w:u w:val="single"/>
        </w:rPr>
      </w:pPr>
      <w:r>
        <w:rPr>
          <w:rFonts w:ascii="Arial" w:eastAsia="Calibri" w:hAnsi="Arial" w:cs="Arial"/>
          <w:b/>
          <w:color w:val="000000"/>
          <w:spacing w:val="-4"/>
          <w:sz w:val="24"/>
          <w:szCs w:val="24"/>
          <w:u w:val="single"/>
        </w:rPr>
        <w:t xml:space="preserve">Quiet Period Proposal </w:t>
      </w:r>
    </w:p>
    <w:p w:rsidR="0025344B" w:rsidRPr="004D1659" w:rsidRDefault="0025344B" w:rsidP="0025344B">
      <w:pPr>
        <w:numPr>
          <w:ilvl w:val="0"/>
          <w:numId w:val="1"/>
        </w:numPr>
        <w:spacing w:after="240"/>
        <w:ind w:left="360" w:right="576" w:hanging="360"/>
        <w:textAlignment w:val="baseline"/>
        <w:rPr>
          <w:rFonts w:ascii="Arial" w:eastAsia="Calibri" w:hAnsi="Arial" w:cs="Arial"/>
          <w:color w:val="000000"/>
          <w:sz w:val="24"/>
          <w:szCs w:val="24"/>
          <w:lang w:val="en-CA"/>
        </w:rPr>
      </w:pPr>
      <w:r w:rsidRPr="004D1659">
        <w:rPr>
          <w:rFonts w:ascii="Arial" w:eastAsia="Calibri" w:hAnsi="Arial" w:cs="Arial"/>
          <w:color w:val="000000"/>
          <w:sz w:val="24"/>
          <w:szCs w:val="24"/>
          <w:lang w:val="en-CA"/>
        </w:rPr>
        <w:t>On March 2, 2017, the Province announced Ontario’s Fair Hydro Plan (OFHP).  Effective July 1, 2017, OFHP has lowered electricity bills by 25 per cent on average for residential electricity customers and will hold increases to the rate of inflation for four years.</w:t>
      </w:r>
    </w:p>
    <w:p w:rsidR="00F53F88" w:rsidRPr="004D1659" w:rsidRDefault="00C42663" w:rsidP="00BC4737">
      <w:pPr>
        <w:numPr>
          <w:ilvl w:val="0"/>
          <w:numId w:val="1"/>
        </w:numPr>
        <w:spacing w:after="240"/>
        <w:ind w:left="360" w:right="576" w:hanging="360"/>
        <w:textAlignment w:val="baseline"/>
        <w:rPr>
          <w:rFonts w:ascii="Arial" w:eastAsia="Calibri" w:hAnsi="Arial" w:cs="Arial"/>
          <w:color w:val="000000"/>
          <w:sz w:val="24"/>
          <w:szCs w:val="24"/>
          <w:lang w:val="en-CA"/>
        </w:rPr>
      </w:pPr>
      <w:r w:rsidRPr="004D1659">
        <w:rPr>
          <w:rFonts w:ascii="Arial" w:eastAsia="Calibri" w:hAnsi="Arial" w:cs="Arial"/>
          <w:color w:val="000000"/>
          <w:sz w:val="24"/>
          <w:szCs w:val="24"/>
          <w:lang w:val="en-CA"/>
        </w:rPr>
        <w:t>The reduction r</w:t>
      </w:r>
      <w:r w:rsidR="007E60D4" w:rsidRPr="004D1659">
        <w:rPr>
          <w:rFonts w:ascii="Arial" w:eastAsia="Calibri" w:hAnsi="Arial" w:cs="Arial"/>
          <w:color w:val="000000"/>
          <w:sz w:val="24"/>
          <w:szCs w:val="24"/>
          <w:lang w:val="en-CA"/>
        </w:rPr>
        <w:t>eflects a number of initiatives</w:t>
      </w:r>
      <w:r w:rsidR="00DD4B46" w:rsidRPr="004D1659">
        <w:rPr>
          <w:rFonts w:ascii="Arial" w:eastAsia="Calibri" w:hAnsi="Arial" w:cs="Arial"/>
          <w:color w:val="000000"/>
          <w:sz w:val="24"/>
          <w:szCs w:val="24"/>
          <w:lang w:val="en-CA"/>
        </w:rPr>
        <w:t>,</w:t>
      </w:r>
      <w:r w:rsidRPr="004D1659">
        <w:rPr>
          <w:rFonts w:ascii="Arial" w:eastAsia="Calibri" w:hAnsi="Arial" w:cs="Arial"/>
          <w:color w:val="000000"/>
          <w:sz w:val="24"/>
          <w:szCs w:val="24"/>
          <w:lang w:val="en-CA"/>
        </w:rPr>
        <w:t xml:space="preserve"> including</w:t>
      </w:r>
      <w:r w:rsidR="00BC4737" w:rsidRPr="004D1659">
        <w:rPr>
          <w:rFonts w:ascii="Arial" w:eastAsia="Calibri" w:hAnsi="Arial" w:cs="Arial"/>
          <w:color w:val="000000"/>
          <w:sz w:val="24"/>
          <w:szCs w:val="24"/>
          <w:lang w:val="en-CA"/>
        </w:rPr>
        <w:t xml:space="preserve"> refinancing a portion of the</w:t>
      </w:r>
      <w:r w:rsidRPr="004D1659">
        <w:rPr>
          <w:rFonts w:ascii="Arial" w:eastAsia="Calibri" w:hAnsi="Arial" w:cs="Arial"/>
          <w:color w:val="000000"/>
          <w:sz w:val="24"/>
          <w:szCs w:val="24"/>
          <w:lang w:val="en-CA"/>
        </w:rPr>
        <w:t xml:space="preserve"> Global Adjustment (GA)</w:t>
      </w:r>
      <w:r w:rsidR="00716060" w:rsidRPr="004D1659">
        <w:rPr>
          <w:rFonts w:ascii="Arial" w:eastAsia="Calibri" w:hAnsi="Arial" w:cs="Arial"/>
          <w:color w:val="000000"/>
          <w:sz w:val="24"/>
          <w:szCs w:val="24"/>
          <w:lang w:val="en-CA"/>
        </w:rPr>
        <w:t xml:space="preserve"> </w:t>
      </w:r>
      <w:r w:rsidR="00BC4737" w:rsidRPr="004D1659">
        <w:rPr>
          <w:rFonts w:ascii="Arial" w:eastAsia="Calibri" w:hAnsi="Arial" w:cs="Arial"/>
          <w:color w:val="000000"/>
          <w:sz w:val="24"/>
          <w:szCs w:val="24"/>
          <w:lang w:val="en-CA"/>
        </w:rPr>
        <w:t xml:space="preserve">in order to </w:t>
      </w:r>
      <w:r w:rsidR="00E701A8" w:rsidRPr="004D1659">
        <w:rPr>
          <w:rFonts w:ascii="Arial" w:eastAsia="Calibri" w:hAnsi="Arial" w:cs="Arial"/>
          <w:color w:val="000000"/>
          <w:sz w:val="24"/>
          <w:szCs w:val="24"/>
          <w:lang w:val="en-CA"/>
        </w:rPr>
        <w:t>ensure</w:t>
      </w:r>
      <w:r w:rsidR="00BC4737" w:rsidRPr="004D1659">
        <w:rPr>
          <w:rFonts w:ascii="Arial" w:eastAsia="Calibri" w:hAnsi="Arial" w:cs="Arial"/>
          <w:color w:val="000000"/>
          <w:sz w:val="24"/>
          <w:szCs w:val="24"/>
          <w:lang w:val="en-CA"/>
        </w:rPr>
        <w:t xml:space="preserve"> </w:t>
      </w:r>
      <w:r w:rsidR="00895B66" w:rsidRPr="004D1659">
        <w:rPr>
          <w:rFonts w:ascii="Arial" w:eastAsia="Calibri" w:hAnsi="Arial" w:cs="Arial"/>
          <w:color w:val="000000"/>
          <w:sz w:val="24"/>
          <w:szCs w:val="24"/>
          <w:lang w:val="en-CA"/>
        </w:rPr>
        <w:t xml:space="preserve">electricity system </w:t>
      </w:r>
      <w:r w:rsidR="00BC4737" w:rsidRPr="004D1659">
        <w:rPr>
          <w:rFonts w:ascii="Arial" w:eastAsia="Calibri" w:hAnsi="Arial" w:cs="Arial"/>
          <w:color w:val="000000"/>
          <w:sz w:val="24"/>
          <w:szCs w:val="24"/>
          <w:lang w:val="en-CA"/>
        </w:rPr>
        <w:t xml:space="preserve">costs </w:t>
      </w:r>
      <w:r w:rsidR="00E701A8" w:rsidRPr="004D1659">
        <w:rPr>
          <w:rFonts w:ascii="Arial" w:eastAsia="Calibri" w:hAnsi="Arial" w:cs="Arial"/>
          <w:color w:val="000000"/>
          <w:sz w:val="24"/>
          <w:szCs w:val="24"/>
          <w:lang w:val="en-CA"/>
        </w:rPr>
        <w:t xml:space="preserve">are fairly allocated </w:t>
      </w:r>
      <w:r w:rsidR="00BC4737" w:rsidRPr="004D1659">
        <w:rPr>
          <w:rFonts w:ascii="Arial" w:eastAsia="Calibri" w:hAnsi="Arial" w:cs="Arial"/>
          <w:color w:val="000000"/>
          <w:sz w:val="24"/>
          <w:szCs w:val="24"/>
          <w:lang w:val="en-CA"/>
        </w:rPr>
        <w:t>across present and future generations of electricity consumers</w:t>
      </w:r>
      <w:r w:rsidR="00BE362C" w:rsidRPr="004D1659">
        <w:rPr>
          <w:rFonts w:ascii="Arial" w:eastAsia="Calibri" w:hAnsi="Arial" w:cs="Arial"/>
          <w:color w:val="000000"/>
          <w:sz w:val="24"/>
          <w:szCs w:val="24"/>
          <w:lang w:val="en-CA"/>
        </w:rPr>
        <w:t>.</w:t>
      </w:r>
    </w:p>
    <w:p w:rsidR="0025344B" w:rsidRPr="006875A0" w:rsidRDefault="00F710AF" w:rsidP="004D1659">
      <w:pPr>
        <w:numPr>
          <w:ilvl w:val="0"/>
          <w:numId w:val="1"/>
        </w:numPr>
        <w:spacing w:after="240"/>
        <w:ind w:left="360" w:right="576" w:hanging="360"/>
        <w:textAlignment w:val="baseline"/>
        <w:rPr>
          <w:rFonts w:ascii="Arial" w:eastAsia="Calibri" w:hAnsi="Arial" w:cs="Arial"/>
          <w:color w:val="000000"/>
          <w:sz w:val="24"/>
          <w:szCs w:val="24"/>
          <w:lang w:val="en-CA"/>
        </w:rPr>
      </w:pPr>
      <w:r w:rsidRPr="004D1659">
        <w:rPr>
          <w:rFonts w:ascii="Arial" w:eastAsia="Calibri" w:hAnsi="Arial" w:cs="Arial"/>
          <w:color w:val="000000"/>
          <w:sz w:val="24"/>
          <w:szCs w:val="24"/>
          <w:lang w:val="en-CA"/>
        </w:rPr>
        <w:t>Ontario Power Generation (OPG) was identified as the Financial Services Manager responsible for manag</w:t>
      </w:r>
      <w:r w:rsidR="001B5F60" w:rsidRPr="004D1659">
        <w:rPr>
          <w:rFonts w:ascii="Arial" w:eastAsia="Calibri" w:hAnsi="Arial" w:cs="Arial"/>
          <w:color w:val="000000"/>
          <w:sz w:val="24"/>
          <w:szCs w:val="24"/>
          <w:lang w:val="en-CA"/>
        </w:rPr>
        <w:t>ing</w:t>
      </w:r>
      <w:r w:rsidRPr="004D1659">
        <w:rPr>
          <w:rFonts w:ascii="Arial" w:eastAsia="Calibri" w:hAnsi="Arial" w:cs="Arial"/>
          <w:color w:val="000000"/>
          <w:sz w:val="24"/>
          <w:szCs w:val="24"/>
          <w:lang w:val="en-CA"/>
        </w:rPr>
        <w:t xml:space="preserve"> debt obligations</w:t>
      </w:r>
      <w:r w:rsidR="00C75A88" w:rsidRPr="004D1659">
        <w:rPr>
          <w:rFonts w:ascii="Arial" w:eastAsia="Calibri" w:hAnsi="Arial" w:cs="Arial"/>
          <w:color w:val="000000"/>
          <w:sz w:val="24"/>
          <w:szCs w:val="24"/>
          <w:lang w:val="en-CA"/>
        </w:rPr>
        <w:t xml:space="preserve"> under the GA refinancing structure</w:t>
      </w:r>
      <w:r w:rsidRPr="004D1659">
        <w:rPr>
          <w:rFonts w:ascii="Arial" w:eastAsia="Calibri" w:hAnsi="Arial" w:cs="Arial"/>
          <w:color w:val="000000"/>
          <w:sz w:val="24"/>
          <w:szCs w:val="24"/>
          <w:lang w:val="en-CA"/>
        </w:rPr>
        <w:t xml:space="preserve">. </w:t>
      </w:r>
      <w:r w:rsidR="00CB7938" w:rsidRPr="004D1659">
        <w:rPr>
          <w:rFonts w:ascii="Arial" w:eastAsia="Calibri" w:hAnsi="Arial" w:cs="Arial"/>
          <w:color w:val="000000"/>
          <w:sz w:val="24"/>
          <w:szCs w:val="24"/>
        </w:rPr>
        <w:t xml:space="preserve">OPG is expected to launch marketing activities for the </w:t>
      </w:r>
      <w:r w:rsidR="00CD40E5" w:rsidRPr="004D1659">
        <w:rPr>
          <w:rFonts w:ascii="Arial" w:eastAsia="Calibri" w:hAnsi="Arial" w:cs="Arial"/>
          <w:color w:val="000000"/>
          <w:sz w:val="24"/>
          <w:szCs w:val="24"/>
        </w:rPr>
        <w:t>first offering of debt in the capital markets</w:t>
      </w:r>
      <w:r w:rsidR="00CB7938" w:rsidRPr="004D1659">
        <w:rPr>
          <w:rFonts w:ascii="Arial" w:eastAsia="Calibri" w:hAnsi="Arial" w:cs="Arial"/>
          <w:color w:val="000000"/>
          <w:sz w:val="24"/>
          <w:szCs w:val="24"/>
        </w:rPr>
        <w:t xml:space="preserve"> </w:t>
      </w:r>
      <w:r w:rsidR="003E00CC" w:rsidRPr="004D1659">
        <w:rPr>
          <w:rFonts w:ascii="Arial" w:eastAsia="Calibri" w:hAnsi="Arial" w:cs="Arial"/>
          <w:color w:val="000000"/>
          <w:sz w:val="24"/>
          <w:szCs w:val="24"/>
        </w:rPr>
        <w:t xml:space="preserve">on January 22, </w:t>
      </w:r>
      <w:r w:rsidR="009B6577" w:rsidRPr="004D1659">
        <w:rPr>
          <w:rFonts w:ascii="Arial" w:eastAsia="Calibri" w:hAnsi="Arial" w:cs="Arial"/>
          <w:color w:val="000000"/>
          <w:sz w:val="24"/>
          <w:szCs w:val="24"/>
        </w:rPr>
        <w:t>2018</w:t>
      </w:r>
      <w:r w:rsidR="00E701A8" w:rsidRPr="004D1659">
        <w:rPr>
          <w:rFonts w:ascii="Arial" w:eastAsia="Calibri" w:hAnsi="Arial" w:cs="Arial"/>
          <w:color w:val="000000"/>
          <w:sz w:val="24"/>
          <w:szCs w:val="24"/>
        </w:rPr>
        <w:t xml:space="preserve"> and to close on </w:t>
      </w:r>
      <w:r w:rsidR="00CB7938" w:rsidRPr="004D1659">
        <w:rPr>
          <w:rFonts w:ascii="Arial" w:eastAsia="Calibri" w:hAnsi="Arial" w:cs="Arial"/>
          <w:color w:val="000000"/>
          <w:sz w:val="24"/>
          <w:szCs w:val="24"/>
        </w:rPr>
        <w:t>February</w:t>
      </w:r>
      <w:r w:rsidR="00E701A8" w:rsidRPr="004D1659">
        <w:rPr>
          <w:rFonts w:ascii="Arial" w:eastAsia="Calibri" w:hAnsi="Arial" w:cs="Arial"/>
          <w:color w:val="000000"/>
          <w:sz w:val="24"/>
          <w:szCs w:val="24"/>
        </w:rPr>
        <w:t xml:space="preserve"> 12</w:t>
      </w:r>
      <w:r w:rsidR="00CB7938" w:rsidRPr="004D1659">
        <w:rPr>
          <w:rFonts w:ascii="Arial" w:eastAsia="Calibri" w:hAnsi="Arial" w:cs="Arial"/>
          <w:color w:val="000000"/>
          <w:sz w:val="24"/>
          <w:szCs w:val="24"/>
        </w:rPr>
        <w:t xml:space="preserve">, 2018. </w:t>
      </w:r>
      <w:r w:rsidR="00367182" w:rsidRPr="004D1659">
        <w:rPr>
          <w:rFonts w:ascii="Arial" w:eastAsia="Calibri" w:hAnsi="Arial" w:cs="Arial"/>
          <w:color w:val="000000"/>
          <w:sz w:val="24"/>
          <w:szCs w:val="24"/>
        </w:rPr>
        <w:t xml:space="preserve"> </w:t>
      </w:r>
    </w:p>
    <w:p w:rsidR="00CE48C0" w:rsidRPr="00CE48C0" w:rsidRDefault="00774053" w:rsidP="004D1659">
      <w:pPr>
        <w:numPr>
          <w:ilvl w:val="0"/>
          <w:numId w:val="1"/>
        </w:numPr>
        <w:spacing w:after="240"/>
        <w:ind w:left="360" w:right="576" w:hanging="360"/>
        <w:textAlignment w:val="baseline"/>
        <w:rPr>
          <w:rFonts w:ascii="Arial" w:eastAsia="Calibri" w:hAnsi="Arial" w:cs="Arial"/>
          <w:color w:val="000000"/>
          <w:sz w:val="24"/>
          <w:szCs w:val="24"/>
        </w:rPr>
      </w:pPr>
      <w:r w:rsidRPr="00CE48C0">
        <w:rPr>
          <w:rFonts w:ascii="Arial" w:eastAsia="Calibri" w:hAnsi="Arial" w:cs="Arial"/>
          <w:color w:val="000000"/>
          <w:sz w:val="24"/>
          <w:szCs w:val="24"/>
          <w:lang w:val="en-CA"/>
        </w:rPr>
        <w:t>The Offering Memorandum prepared in connection with the offering contains language that contemplates that information contained in that document (as well as all associated disclosure documents) be treated with a high level of confidentiality.   This document provides a recommended approach to communications in relation to the offering which is currently underway.</w:t>
      </w:r>
    </w:p>
    <w:p w:rsidR="00E13ADD" w:rsidRPr="004D1659" w:rsidRDefault="004D1659" w:rsidP="004D1659">
      <w:pPr>
        <w:numPr>
          <w:ilvl w:val="0"/>
          <w:numId w:val="1"/>
        </w:numPr>
        <w:spacing w:after="240"/>
        <w:ind w:left="360" w:right="576" w:hanging="360"/>
        <w:textAlignment w:val="baseline"/>
        <w:rPr>
          <w:rFonts w:ascii="Arial" w:eastAsia="Calibri" w:hAnsi="Arial" w:cs="Arial"/>
          <w:color w:val="000000"/>
          <w:sz w:val="24"/>
          <w:szCs w:val="24"/>
        </w:rPr>
      </w:pPr>
      <w:bookmarkStart w:id="0" w:name="_GoBack"/>
      <w:bookmarkEnd w:id="0"/>
      <w:r w:rsidRPr="004D1659">
        <w:rPr>
          <w:rFonts w:ascii="Arial" w:eastAsia="Calibri" w:hAnsi="Arial" w:cs="Arial"/>
          <w:color w:val="000000"/>
          <w:sz w:val="24"/>
          <w:szCs w:val="24"/>
        </w:rPr>
        <w:t>Given the sensitivity associated with OPG activities</w:t>
      </w:r>
      <w:r w:rsidR="00566075">
        <w:rPr>
          <w:rFonts w:ascii="Arial" w:eastAsia="Calibri" w:hAnsi="Arial" w:cs="Arial"/>
          <w:color w:val="000000"/>
          <w:sz w:val="24"/>
          <w:szCs w:val="24"/>
        </w:rPr>
        <w:t xml:space="preserve"> during the next few weeks</w:t>
      </w:r>
      <w:r w:rsidR="009D5CDD">
        <w:rPr>
          <w:rFonts w:ascii="Arial" w:eastAsia="Calibri" w:hAnsi="Arial" w:cs="Arial"/>
          <w:color w:val="000000"/>
          <w:sz w:val="24"/>
          <w:szCs w:val="24"/>
        </w:rPr>
        <w:t xml:space="preserve"> and in an abundance of caution</w:t>
      </w:r>
      <w:r w:rsidR="003E00CC" w:rsidRPr="004D1659">
        <w:rPr>
          <w:rFonts w:ascii="Arial" w:eastAsia="Calibri" w:hAnsi="Arial" w:cs="Arial"/>
          <w:color w:val="000000"/>
          <w:sz w:val="24"/>
          <w:szCs w:val="24"/>
        </w:rPr>
        <w:t xml:space="preserve">, a </w:t>
      </w:r>
      <w:r w:rsidR="00B06496" w:rsidRPr="004D1659">
        <w:rPr>
          <w:rFonts w:ascii="Arial" w:eastAsia="Calibri" w:hAnsi="Arial" w:cs="Arial"/>
          <w:color w:val="000000"/>
          <w:sz w:val="24"/>
          <w:szCs w:val="24"/>
        </w:rPr>
        <w:t>“</w:t>
      </w:r>
      <w:r w:rsidR="003E00CC" w:rsidRPr="004D1659">
        <w:rPr>
          <w:rFonts w:ascii="Arial" w:eastAsia="Calibri" w:hAnsi="Arial" w:cs="Arial"/>
          <w:color w:val="000000"/>
          <w:sz w:val="24"/>
          <w:szCs w:val="24"/>
        </w:rPr>
        <w:t>quiet period</w:t>
      </w:r>
      <w:r w:rsidR="00B06496" w:rsidRPr="004D1659">
        <w:rPr>
          <w:rFonts w:ascii="Arial" w:eastAsia="Calibri" w:hAnsi="Arial" w:cs="Arial"/>
          <w:color w:val="000000"/>
          <w:sz w:val="24"/>
          <w:szCs w:val="24"/>
        </w:rPr>
        <w:t>”</w:t>
      </w:r>
      <w:r w:rsidR="003E00CC" w:rsidRPr="004D1659">
        <w:rPr>
          <w:rFonts w:ascii="Arial" w:eastAsia="Calibri" w:hAnsi="Arial" w:cs="Arial"/>
          <w:color w:val="000000"/>
          <w:sz w:val="24"/>
          <w:szCs w:val="24"/>
        </w:rPr>
        <w:t xml:space="preserve"> is </w:t>
      </w:r>
      <w:r w:rsidR="009B6577" w:rsidRPr="004D1659">
        <w:rPr>
          <w:rFonts w:ascii="Arial" w:eastAsia="Calibri" w:hAnsi="Arial" w:cs="Arial"/>
          <w:color w:val="000000"/>
          <w:sz w:val="24"/>
          <w:szCs w:val="24"/>
        </w:rPr>
        <w:t>being proposed</w:t>
      </w:r>
      <w:r w:rsidR="000E69A2">
        <w:rPr>
          <w:rFonts w:ascii="Arial" w:eastAsia="Calibri" w:hAnsi="Arial" w:cs="Arial"/>
          <w:color w:val="000000"/>
          <w:sz w:val="24"/>
          <w:szCs w:val="24"/>
        </w:rPr>
        <w:t xml:space="preserve"> as a recommended practice</w:t>
      </w:r>
      <w:r w:rsidRPr="004D1659">
        <w:rPr>
          <w:rFonts w:ascii="Arial" w:eastAsia="Calibri" w:hAnsi="Arial" w:cs="Arial"/>
          <w:color w:val="000000"/>
          <w:sz w:val="24"/>
          <w:szCs w:val="24"/>
        </w:rPr>
        <w:t>. Re</w:t>
      </w:r>
      <w:r w:rsidR="00055E12" w:rsidRPr="004D1659">
        <w:rPr>
          <w:rFonts w:ascii="Arial" w:eastAsia="Calibri" w:hAnsi="Arial" w:cs="Arial"/>
          <w:color w:val="000000"/>
          <w:sz w:val="24"/>
          <w:szCs w:val="24"/>
        </w:rPr>
        <w:t>frain</w:t>
      </w:r>
      <w:r w:rsidRPr="004D1659">
        <w:rPr>
          <w:rFonts w:ascii="Arial" w:eastAsia="Calibri" w:hAnsi="Arial" w:cs="Arial"/>
          <w:color w:val="000000"/>
          <w:sz w:val="24"/>
          <w:szCs w:val="24"/>
        </w:rPr>
        <w:t>ing</w:t>
      </w:r>
      <w:r w:rsidR="00055E12" w:rsidRPr="004D1659">
        <w:rPr>
          <w:rFonts w:ascii="Arial" w:eastAsia="Calibri" w:hAnsi="Arial" w:cs="Arial"/>
          <w:color w:val="000000"/>
          <w:sz w:val="24"/>
          <w:szCs w:val="24"/>
        </w:rPr>
        <w:t xml:space="preserve"> from making public statements or engaging with the public, the media</w:t>
      </w:r>
      <w:r w:rsidR="000E69A2">
        <w:rPr>
          <w:rFonts w:ascii="Arial" w:eastAsia="Calibri" w:hAnsi="Arial" w:cs="Arial"/>
          <w:color w:val="000000"/>
          <w:sz w:val="24"/>
          <w:szCs w:val="24"/>
        </w:rPr>
        <w:t xml:space="preserve"> including social media</w:t>
      </w:r>
      <w:r w:rsidR="00055E12" w:rsidRPr="004D1659">
        <w:rPr>
          <w:rFonts w:ascii="Arial" w:eastAsia="Calibri" w:hAnsi="Arial" w:cs="Arial"/>
          <w:color w:val="000000"/>
          <w:sz w:val="24"/>
          <w:szCs w:val="24"/>
        </w:rPr>
        <w:t xml:space="preserve"> or the investment community regarding the offering during that time</w:t>
      </w:r>
      <w:r w:rsidRPr="004D1659">
        <w:rPr>
          <w:rFonts w:ascii="Arial" w:eastAsia="Calibri" w:hAnsi="Arial" w:cs="Arial"/>
          <w:color w:val="000000"/>
          <w:sz w:val="24"/>
          <w:szCs w:val="24"/>
        </w:rPr>
        <w:t xml:space="preserve"> will help ensure investment decisions are made based on the disclosure documentation and </w:t>
      </w:r>
      <w:r w:rsidR="000E69A2">
        <w:rPr>
          <w:rFonts w:ascii="Arial" w:eastAsia="Calibri" w:hAnsi="Arial" w:cs="Arial"/>
          <w:color w:val="000000"/>
          <w:sz w:val="24"/>
          <w:szCs w:val="24"/>
        </w:rPr>
        <w:t xml:space="preserve">any advice provided by the investor’s own </w:t>
      </w:r>
      <w:r w:rsidRPr="004D1659">
        <w:rPr>
          <w:rFonts w:ascii="Arial" w:eastAsia="Calibri" w:hAnsi="Arial" w:cs="Arial"/>
          <w:color w:val="000000"/>
          <w:sz w:val="24"/>
          <w:szCs w:val="24"/>
        </w:rPr>
        <w:t>professional</w:t>
      </w:r>
      <w:r w:rsidR="000E69A2">
        <w:rPr>
          <w:rFonts w:ascii="Arial" w:eastAsia="Calibri" w:hAnsi="Arial" w:cs="Arial"/>
          <w:color w:val="000000"/>
          <w:sz w:val="24"/>
          <w:szCs w:val="24"/>
        </w:rPr>
        <w:t xml:space="preserve"> advisors</w:t>
      </w:r>
      <w:r w:rsidRPr="004D1659">
        <w:rPr>
          <w:rFonts w:ascii="Arial" w:eastAsia="Calibri" w:hAnsi="Arial" w:cs="Arial"/>
          <w:color w:val="000000"/>
          <w:sz w:val="24"/>
          <w:szCs w:val="24"/>
        </w:rPr>
        <w:t>.</w:t>
      </w:r>
    </w:p>
    <w:p w:rsidR="00407BF6" w:rsidRPr="004D1659" w:rsidRDefault="00566075" w:rsidP="004D1659">
      <w:pPr>
        <w:numPr>
          <w:ilvl w:val="0"/>
          <w:numId w:val="1"/>
        </w:numPr>
        <w:spacing w:after="240"/>
        <w:ind w:left="360" w:right="288" w:hanging="360"/>
        <w:textAlignment w:val="baseline"/>
        <w:rPr>
          <w:rFonts w:ascii="Arial" w:eastAsia="Calibri" w:hAnsi="Arial" w:cs="Arial"/>
          <w:color w:val="000000"/>
          <w:sz w:val="24"/>
          <w:szCs w:val="24"/>
        </w:rPr>
      </w:pPr>
      <w:r>
        <w:rPr>
          <w:rFonts w:ascii="Arial" w:eastAsia="Calibri" w:hAnsi="Arial" w:cs="Arial"/>
          <w:color w:val="000000"/>
          <w:sz w:val="24"/>
          <w:szCs w:val="24"/>
        </w:rPr>
        <w:t>C</w:t>
      </w:r>
      <w:r w:rsidR="00407BF6" w:rsidRPr="004D1659">
        <w:rPr>
          <w:rFonts w:ascii="Arial" w:eastAsia="Calibri" w:hAnsi="Arial" w:cs="Arial"/>
          <w:color w:val="000000"/>
          <w:sz w:val="24"/>
          <w:szCs w:val="24"/>
        </w:rPr>
        <w:t xml:space="preserve">ommunications during this quiet period that might be seen as promoting the offering or encouraging or facilitating media coverage should be avoided. Commenting on the offering, or responding to any adverse commentary, </w:t>
      </w:r>
      <w:r w:rsidR="000E69A2">
        <w:rPr>
          <w:rFonts w:ascii="Arial" w:eastAsia="Calibri" w:hAnsi="Arial" w:cs="Arial"/>
          <w:color w:val="000000"/>
          <w:sz w:val="24"/>
          <w:szCs w:val="24"/>
        </w:rPr>
        <w:t>should</w:t>
      </w:r>
      <w:r w:rsidR="000E69A2" w:rsidRPr="004D1659">
        <w:rPr>
          <w:rFonts w:ascii="Arial" w:eastAsia="Calibri" w:hAnsi="Arial" w:cs="Arial"/>
          <w:color w:val="000000"/>
          <w:sz w:val="24"/>
          <w:szCs w:val="24"/>
        </w:rPr>
        <w:t xml:space="preserve"> </w:t>
      </w:r>
      <w:r w:rsidR="00407BF6" w:rsidRPr="004D1659">
        <w:rPr>
          <w:rFonts w:ascii="Arial" w:eastAsia="Calibri" w:hAnsi="Arial" w:cs="Arial"/>
          <w:color w:val="000000"/>
          <w:sz w:val="24"/>
          <w:szCs w:val="24"/>
        </w:rPr>
        <w:t xml:space="preserve">be undertaken carefully. </w:t>
      </w:r>
    </w:p>
    <w:p w:rsidR="00D74F1F" w:rsidRPr="006875A0" w:rsidRDefault="006310CB" w:rsidP="00D74F1F">
      <w:pPr>
        <w:numPr>
          <w:ilvl w:val="0"/>
          <w:numId w:val="1"/>
        </w:numPr>
        <w:spacing w:after="240"/>
        <w:ind w:left="360" w:right="432" w:hanging="360"/>
        <w:textAlignment w:val="baseline"/>
        <w:rPr>
          <w:rFonts w:ascii="Arial" w:eastAsia="Calibri" w:hAnsi="Arial" w:cs="Arial"/>
          <w:color w:val="000000"/>
          <w:sz w:val="24"/>
          <w:szCs w:val="24"/>
        </w:rPr>
      </w:pPr>
      <w:r w:rsidRPr="000E69A2">
        <w:rPr>
          <w:rFonts w:ascii="Arial" w:eastAsia="Calibri" w:hAnsi="Arial" w:cs="Arial"/>
          <w:color w:val="000000"/>
          <w:sz w:val="24"/>
          <w:szCs w:val="24"/>
        </w:rPr>
        <w:t>Accordingly</w:t>
      </w:r>
      <w:r w:rsidR="00055E12" w:rsidRPr="000E69A2">
        <w:rPr>
          <w:rFonts w:ascii="Arial" w:eastAsia="Calibri" w:hAnsi="Arial" w:cs="Arial"/>
          <w:color w:val="000000"/>
          <w:sz w:val="24"/>
          <w:szCs w:val="24"/>
        </w:rPr>
        <w:t xml:space="preserve">, any communications by the Government </w:t>
      </w:r>
      <w:r w:rsidR="00C90FD9" w:rsidRPr="000E69A2">
        <w:rPr>
          <w:rFonts w:ascii="Arial" w:eastAsia="Calibri" w:hAnsi="Arial" w:cs="Arial"/>
          <w:color w:val="000000"/>
          <w:sz w:val="24"/>
          <w:szCs w:val="24"/>
        </w:rPr>
        <w:t>regarding</w:t>
      </w:r>
      <w:r w:rsidR="00E40D7E" w:rsidRPr="000E69A2">
        <w:rPr>
          <w:rFonts w:ascii="Arial" w:eastAsia="Calibri" w:hAnsi="Arial" w:cs="Arial"/>
          <w:color w:val="000000"/>
          <w:sz w:val="24"/>
          <w:szCs w:val="24"/>
        </w:rPr>
        <w:t xml:space="preserve"> the</w:t>
      </w:r>
      <w:r w:rsidR="00C90FD9" w:rsidRPr="000E69A2">
        <w:rPr>
          <w:rFonts w:ascii="Arial" w:eastAsia="Calibri" w:hAnsi="Arial" w:cs="Arial"/>
          <w:color w:val="000000"/>
          <w:sz w:val="24"/>
          <w:szCs w:val="24"/>
        </w:rPr>
        <w:t xml:space="preserve"> </w:t>
      </w:r>
      <w:r w:rsidR="000E69A2" w:rsidRPr="000E69A2">
        <w:rPr>
          <w:rFonts w:ascii="Arial" w:eastAsia="Calibri" w:hAnsi="Arial" w:cs="Arial"/>
          <w:color w:val="000000"/>
          <w:sz w:val="24"/>
          <w:szCs w:val="24"/>
        </w:rPr>
        <w:t>F</w:t>
      </w:r>
      <w:r w:rsidR="000E69A2" w:rsidRPr="00C54A3E">
        <w:rPr>
          <w:rFonts w:ascii="Arial" w:eastAsia="Calibri" w:hAnsi="Arial" w:cs="Arial"/>
          <w:color w:val="000000"/>
          <w:sz w:val="24"/>
          <w:szCs w:val="24"/>
        </w:rPr>
        <w:t xml:space="preserve">air Hydro Trust including the </w:t>
      </w:r>
      <w:r w:rsidR="00C90FD9" w:rsidRPr="00C54A3E">
        <w:rPr>
          <w:rFonts w:ascii="Arial" w:eastAsia="Calibri" w:hAnsi="Arial" w:cs="Arial"/>
          <w:color w:val="000000"/>
          <w:sz w:val="24"/>
          <w:szCs w:val="24"/>
        </w:rPr>
        <w:t xml:space="preserve">GA refinancing </w:t>
      </w:r>
      <w:r w:rsidR="000E69A2" w:rsidRPr="00C54A3E">
        <w:rPr>
          <w:rFonts w:ascii="Arial" w:eastAsia="Calibri" w:hAnsi="Arial" w:cs="Arial"/>
          <w:color w:val="000000"/>
          <w:sz w:val="24"/>
          <w:szCs w:val="24"/>
        </w:rPr>
        <w:t xml:space="preserve">aspects of the Fair Hydro </w:t>
      </w:r>
      <w:r w:rsidR="00E40D7E" w:rsidRPr="00C54A3E">
        <w:rPr>
          <w:rFonts w:ascii="Arial" w:eastAsia="Calibri" w:hAnsi="Arial" w:cs="Arial"/>
          <w:color w:val="000000"/>
          <w:sz w:val="24"/>
          <w:szCs w:val="24"/>
        </w:rPr>
        <w:t xml:space="preserve">program </w:t>
      </w:r>
      <w:r w:rsidR="00055E12" w:rsidRPr="00C54A3E">
        <w:rPr>
          <w:rFonts w:ascii="Arial" w:eastAsia="Calibri" w:hAnsi="Arial" w:cs="Arial"/>
          <w:color w:val="000000"/>
          <w:sz w:val="24"/>
          <w:szCs w:val="24"/>
        </w:rPr>
        <w:t>must be carefully reviewed and coordinated by the Ministry of Energy</w:t>
      </w:r>
      <w:r w:rsidR="005F22DC" w:rsidRPr="00C54A3E">
        <w:rPr>
          <w:rFonts w:ascii="Arial" w:eastAsia="Calibri" w:hAnsi="Arial" w:cs="Arial"/>
          <w:color w:val="000000"/>
          <w:sz w:val="24"/>
          <w:szCs w:val="24"/>
        </w:rPr>
        <w:t xml:space="preserve"> and Ministry of Finance</w:t>
      </w:r>
      <w:r w:rsidR="00055E12" w:rsidRPr="00C54A3E">
        <w:rPr>
          <w:rFonts w:ascii="Arial" w:eastAsia="Calibri" w:hAnsi="Arial" w:cs="Arial"/>
          <w:color w:val="000000"/>
          <w:sz w:val="24"/>
          <w:szCs w:val="24"/>
        </w:rPr>
        <w:t>.</w:t>
      </w:r>
      <w:r w:rsidR="009D5CDD" w:rsidRPr="00C54A3E">
        <w:rPr>
          <w:rFonts w:ascii="Arial" w:eastAsia="Calibri" w:hAnsi="Arial" w:cs="Arial"/>
          <w:color w:val="000000"/>
          <w:sz w:val="24"/>
          <w:szCs w:val="24"/>
        </w:rPr>
        <w:t xml:space="preserve"> </w:t>
      </w:r>
      <w:r w:rsidR="009D5CDD">
        <w:rPr>
          <w:rFonts w:ascii="Arial" w:eastAsia="Calibri" w:hAnsi="Arial" w:cs="Arial"/>
          <w:color w:val="000000"/>
          <w:sz w:val="24"/>
          <w:szCs w:val="24"/>
        </w:rPr>
        <w:t xml:space="preserve">For greater clarity this does not restrict the government from talking about the policy </w:t>
      </w:r>
      <w:r w:rsidR="00927849">
        <w:rPr>
          <w:rFonts w:ascii="Arial" w:eastAsia="Calibri" w:hAnsi="Arial" w:cs="Arial"/>
          <w:color w:val="000000"/>
          <w:sz w:val="24"/>
          <w:szCs w:val="24"/>
        </w:rPr>
        <w:t xml:space="preserve">rationale </w:t>
      </w:r>
      <w:r w:rsidR="00600FB7">
        <w:rPr>
          <w:rFonts w:ascii="Arial" w:eastAsia="Calibri" w:hAnsi="Arial" w:cs="Arial"/>
          <w:color w:val="000000"/>
          <w:sz w:val="24"/>
          <w:szCs w:val="24"/>
        </w:rPr>
        <w:t xml:space="preserve">and </w:t>
      </w:r>
      <w:r w:rsidR="00927849">
        <w:rPr>
          <w:rFonts w:ascii="Arial" w:eastAsia="Calibri" w:hAnsi="Arial" w:cs="Arial"/>
          <w:color w:val="000000"/>
          <w:sz w:val="24"/>
          <w:szCs w:val="24"/>
        </w:rPr>
        <w:t xml:space="preserve">ratepayer </w:t>
      </w:r>
      <w:r w:rsidR="00600FB7">
        <w:rPr>
          <w:rFonts w:ascii="Arial" w:eastAsia="Calibri" w:hAnsi="Arial" w:cs="Arial"/>
          <w:color w:val="000000"/>
          <w:sz w:val="24"/>
          <w:szCs w:val="24"/>
        </w:rPr>
        <w:t xml:space="preserve">benefits </w:t>
      </w:r>
      <w:r w:rsidR="009D5CDD">
        <w:rPr>
          <w:rFonts w:ascii="Arial" w:eastAsia="Calibri" w:hAnsi="Arial" w:cs="Arial"/>
          <w:color w:val="000000"/>
          <w:sz w:val="24"/>
          <w:szCs w:val="24"/>
        </w:rPr>
        <w:t xml:space="preserve">of the OFHP more broadly. </w:t>
      </w:r>
    </w:p>
    <w:sectPr w:rsidR="00D74F1F" w:rsidRPr="006875A0">
      <w:headerReference w:type="default" r:id="rId8"/>
      <w:footerReference w:type="default" r:id="rId9"/>
      <w:footerReference w:type="first" r:id="rId10"/>
      <w:pgSz w:w="12240" w:h="15840"/>
      <w:pgMar w:top="700" w:right="1447" w:bottom="845" w:left="14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C3F" w:rsidRDefault="009B4C3F" w:rsidP="0005088D">
      <w:r>
        <w:separator/>
      </w:r>
    </w:p>
  </w:endnote>
  <w:endnote w:type="continuationSeparator" w:id="0">
    <w:p w:rsidR="009B4C3F" w:rsidRDefault="009B4C3F" w:rsidP="0005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577210"/>
      <w:docPartObj>
        <w:docPartGallery w:val="Page Numbers (Bottom of Page)"/>
        <w:docPartUnique/>
      </w:docPartObj>
    </w:sdtPr>
    <w:sdtEndPr>
      <w:rPr>
        <w:noProof/>
      </w:rPr>
    </w:sdtEndPr>
    <w:sdtContent>
      <w:p w:rsidR="00055E12" w:rsidRDefault="00055E12">
        <w:pPr>
          <w:pStyle w:val="Footer"/>
          <w:jc w:val="right"/>
        </w:pPr>
      </w:p>
      <w:p w:rsidR="00BE04E8" w:rsidRDefault="00055E12" w:rsidP="00055E12">
        <w:pPr>
          <w:pStyle w:val="Footer"/>
          <w:jc w:val="right"/>
          <w:rPr>
            <w:noProof/>
          </w:rPr>
        </w:pPr>
        <w:r w:rsidRPr="00055E12">
          <w:rPr>
            <w:rFonts w:asciiTheme="minorHAnsi" w:hAnsiTheme="minorHAnsi" w:cstheme="minorHAnsi"/>
          </w:rPr>
          <w:fldChar w:fldCharType="begin"/>
        </w:r>
        <w:r w:rsidRPr="00055E12">
          <w:rPr>
            <w:rFonts w:asciiTheme="minorHAnsi" w:hAnsiTheme="minorHAnsi" w:cstheme="minorHAnsi"/>
          </w:rPr>
          <w:instrText xml:space="preserve"> PAGE   \* MERGEFORMAT </w:instrText>
        </w:r>
        <w:r w:rsidRPr="00055E12">
          <w:rPr>
            <w:rFonts w:asciiTheme="minorHAnsi" w:hAnsiTheme="minorHAnsi" w:cstheme="minorHAnsi"/>
          </w:rPr>
          <w:fldChar w:fldCharType="separate"/>
        </w:r>
        <w:r w:rsidR="00CE48C0">
          <w:rPr>
            <w:rFonts w:asciiTheme="minorHAnsi" w:hAnsiTheme="minorHAnsi" w:cstheme="minorHAnsi"/>
            <w:noProof/>
          </w:rPr>
          <w:t>1</w:t>
        </w:r>
        <w:r w:rsidRPr="00055E12">
          <w:rPr>
            <w:rFonts w:asciiTheme="minorHAnsi" w:hAnsiTheme="minorHAnsi" w:cstheme="minorHAnsi"/>
            <w:noProof/>
          </w:rPr>
          <w:fldChar w:fldCharType="end"/>
        </w:r>
      </w:p>
    </w:sdtContent>
  </w:sdt>
  <w:p w:rsidR="00B27B39" w:rsidRDefault="00BC29C3">
    <w:pPr>
      <w:pStyle w:val="Footer"/>
    </w:pPr>
    <w:r>
      <w:rPr>
        <w:noProof/>
        <w:lang w:val="en-CA" w:eastAsia="en-CA"/>
      </w:rPr>
      <mc:AlternateContent>
        <mc:Choice Requires="wps">
          <w:drawing>
            <wp:anchor distT="0" distB="0" distL="114300" distR="114300" simplePos="0" relativeHeight="251659264" behindDoc="1" locked="0" layoutInCell="1" allowOverlap="1" wp14:anchorId="0C5BEACF" wp14:editId="3D4BB086">
              <wp:simplePos x="0" y="0"/>
              <wp:positionH relativeFrom="margin">
                <wp:posOffset>0</wp:posOffset>
              </wp:positionH>
              <wp:positionV relativeFrom="paragraph">
                <wp:posOffset>137160</wp:posOffset>
              </wp:positionV>
              <wp:extent cx="2560320" cy="255905"/>
              <wp:effectExtent l="0" t="3810" r="1905" b="0"/>
              <wp:wrapNone/>
              <wp:docPr id="2" name="zzmpTrailer_1078_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B39" w:rsidRDefault="00B27B39">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BEACF" id="_x0000_t202" coordsize="21600,21600" o:spt="202" path="m,l,21600r21600,l21600,xe">
              <v:stroke joinstyle="miter"/>
              <v:path gradientshapeok="t" o:connecttype="rect"/>
            </v:shapetype>
            <v:shape id="zzmpTrailer_1078_19" o:spid="_x0000_s1026"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hwtgIAALIFAAAOAAAAZHJzL2Uyb0RvYy54bWysVG1vmzAQ/j5p/8Hyd8pLIQFUUrUhTJO6&#10;F6nd58oBE6yBzWwnpK3233c2IU1bTZq28cE67PNz99w9vovLfdeiHZWKCZ5h/8zDiPJSVIxvMvzt&#10;rnBijJQmvCKt4DTDD1Thy8X7dxdDn9JANKKtqEQAwlU69BlutO5T11VlQzuizkRPORzWQnZEw6/c&#10;uJUkA6B3rRt43swdhKx6KUqqFOzm4yFeWPy6pqX+UteKatRmGHLTdpV2XZvVXVyQdCNJ37DykAb5&#10;iyw6wjgEPULlRBO0lewNVMdKKZSo9VkpOlfUNSup5QBsfO8Vm9uG9NRygeKo/lgm9f9gy8+7rxKx&#10;KsMBRpx00KLHx66/k4S1VN773jy+9xNTpqFXKXjf9uCv99diD+22lFV/I8rvCnGxbAjf0CspxdBQ&#10;UkGavrnpnlwdcZQBWQ+fRAXxyFYLC7SvZWdqCFVBgA7teji2iO41KmEziGbeeQBHJZwFUZR4kQ1B&#10;0ul2L5X+QEWHjJFhCRKw6GR3o7TJhqSTiwnGRcHa1sqg5S82wHHcgdhw1ZyZLGxXnxIvWcWrOHTC&#10;YLZyQi/PnatiGTqzwp9H+Xm+XOb+TxPXD9OGVRXlJsykMD/8sw4etD5q46gxJVpWGTiTkpKb9bKV&#10;aEdA4YX9DgU5cXNfpmGLAFxeUfKD0LsOEqeYxXMnLMLISeZe7Hh+cp3MvDAJ8+IlpRvG6b9TQkOG&#10;kyiIRjH9lptnv7fcSNoxDTOkZV2G46MTSY0EV7yyrdUg59E+KYVJ/7kU0O6p0VawRqOjWvV+vQcU&#10;o+K1qB5AulKAskCEMPjAaIR8xGiAIZJh9WNLJMWo/chB/mbiTIacjPVkEF7C1QxrjEZzqcfJtO0l&#10;2zSAPD4wLq7gidTMqvc5i8PDgsFgSRyGmJk8p//W63nULn4BAAD//wMAUEsDBBQABgAIAAAAIQCL&#10;JU8H3AAAAAYBAAAPAAAAZHJzL2Rvd25yZXYueG1sTI/BTsMwEETvSPyDtUjcqJOAIhqyqSoEJyRE&#10;Gg4cnXibWI3XIXbb8PeYEz2OZjTzptwsdhQnmr1xjJCuEhDEndOGe4TP5vXuEYQPirUaHRPCD3nY&#10;VNdXpSq0O3NNp13oRSxhXyiEIYSpkNJ3A1nlV24ijt7ezVaFKOde6lmdY7kdZZYkubTKcFwY1ETP&#10;A3WH3dEibL+4fjHf7+1Hva9N06wTfssPiLc3y/YJRKAl/IfhDz+iQxWZWndk7cWIEI8EhCzNQUT3&#10;IbnPQLQIeboGWZXyEr/6BQAA//8DAFBLAQItABQABgAIAAAAIQC2gziS/gAAAOEBAAATAAAAAAAA&#10;AAAAAAAAAAAAAABbQ29udGVudF9UeXBlc10ueG1sUEsBAi0AFAAGAAgAAAAhADj9If/WAAAAlAEA&#10;AAsAAAAAAAAAAAAAAAAALwEAAF9yZWxzLy5yZWxzUEsBAi0AFAAGAAgAAAAhAB8saHC2AgAAsgUA&#10;AA4AAAAAAAAAAAAAAAAALgIAAGRycy9lMm9Eb2MueG1sUEsBAi0AFAAGAAgAAAAhAIslTwfcAAAA&#10;BgEAAA8AAAAAAAAAAAAAAAAAEAUAAGRycy9kb3ducmV2LnhtbFBLBQYAAAAABAAEAPMAAAAZBgAA&#10;AAA=&#10;" filled="f" stroked="f">
              <v:textbox inset="0,0,0,0">
                <w:txbxContent>
                  <w:p w:rsidR="00B27B39" w:rsidRDefault="00B27B39">
                    <w:pPr>
                      <w:pStyle w:val="MacPacTrailer"/>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B39" w:rsidRDefault="00BC29C3">
    <w:pPr>
      <w:pStyle w:val="Footer"/>
    </w:pPr>
    <w:r>
      <w:rPr>
        <w:noProof/>
        <w:lang w:val="en-CA" w:eastAsia="en-CA"/>
      </w:rPr>
      <mc:AlternateContent>
        <mc:Choice Requires="wps">
          <w:drawing>
            <wp:anchor distT="0" distB="0" distL="114300" distR="114300" simplePos="0" relativeHeight="251661312" behindDoc="1" locked="0" layoutInCell="1" allowOverlap="1" wp14:anchorId="1BBFD20C" wp14:editId="28E9CB8F">
              <wp:simplePos x="0" y="0"/>
              <wp:positionH relativeFrom="margin">
                <wp:posOffset>0</wp:posOffset>
              </wp:positionH>
              <wp:positionV relativeFrom="paragraph">
                <wp:posOffset>137160</wp:posOffset>
              </wp:positionV>
              <wp:extent cx="2560320" cy="255905"/>
              <wp:effectExtent l="0" t="3810" r="1905" b="0"/>
              <wp:wrapNone/>
              <wp:docPr id="1" name="zzmpTrailer_1078_1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B39" w:rsidRDefault="00B27B39">
                          <w:pPr>
                            <w:pStyle w:val="MacPacTrailer"/>
                          </w:pPr>
                          <w:r>
                            <w:t>21182018.2</w:t>
                          </w:r>
                        </w:p>
                        <w:p w:rsidR="00B27B39" w:rsidRDefault="00B27B39">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FD20C" id="_x0000_t202" coordsize="21600,21600" o:spt="202" path="m,l,21600r21600,l21600,xe">
              <v:stroke joinstyle="miter"/>
              <v:path gradientshapeok="t" o:connecttype="rect"/>
            </v:shapetype>
            <v:shape id="zzmpTrailer_1078_1B" o:spid="_x0000_s1027"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WuAIAALkFAAAOAAAAZHJzL2Uyb0RvYy54bWysVG1vmzAQ/j5p/8Hyd8rLIAFUUjUhTJO6&#10;F6nd58oBE6yBzWwnpJ3233c2IU1bTZq28cE67PNz99w9vsurQ9eiPZWKCZ5h/8LDiPJSVIxvM/z1&#10;rnBijJQmvCKt4DTDD1Thq8XbN5dDn9JANKKtqEQAwlU69BlutO5T11VlQzuiLkRPORzWQnZEw6/c&#10;upUkA6B3rRt43swdhKx6KUqqFOzm4yFeWPy6pqX+XNeKatRmGHLTdpV23ZjVXVySdCtJ37DymAb5&#10;iyw6wjgEPUHlRBO0k+wVVMdKKZSo9UUpOlfUNSup5QBsfO8Fm9uG9NRygeKo/lQm9f9gy0/7LxKx&#10;CnqHEScdtOjxsevvJGEtlfe+N4/v/aUp09CrFLxve/DXh6U4mCuGsupvRPlNIS5WDeFbei2lGBpK&#10;KkjTNzfds6sjjjIgm+GjqCAe2WlhgQ617AwgVAUBOrTr4dQietCohM0gmnnvAjgq4SyIosSLbAiS&#10;Trd7qfR7KjpkjAxLkIBFJ/sbpU02JJ1cTDAuCta2VgYtf7YBjuMOxIar5sxkYbv6I/GSdbyOQycM&#10;Zmsn9PLcuS5WoTMr/HmUv8tXq9z/aeL6YdqwqqLchJkU5od/1sGj1kdtnDSmRMsqA2dSUnK7WbUS&#10;7QkovLDfsSBnbu7zNGwRgMsLSn4QessgcYpZPHfCIoycZO7Fjucny2TmhUmYF88p3TBO/50SGjKc&#10;REE0ium33Dz7veZG0o5pmCEt6zIcn5xIaiS45pVtrQY5j/ZZKUz6T6WAdk+NtoI1Gh3Vqg+bw/GJ&#10;AJgR80ZUD6BgKUBgoEWYf2A0Qj5iNMAsybD6viOSYtR+4PAKzOCZDDkZm8kgvISrGdYYjeZKjwNq&#10;10u2bQB5fGdcXMNLqZkV8VMWx/cF88FyOc4yM4DO/63X08Rd/AIAAP//AwBQSwMEFAAGAAgAAAAh&#10;AIslTwfcAAAABgEAAA8AAABkcnMvZG93bnJldi54bWxMj8FOwzAQRO9I/IO1SNyok4AiGrKpKgQn&#10;JEQaDhydeJtYjdchdtvw95gTPY5mNPOm3Cx2FCeavXGMkK4SEMSd04Z7hM/m9e4RhA+KtRodE8IP&#10;edhU11elKrQ7c02nXehFLGFfKIQhhKmQ0ncDWeVXbiKO3t7NVoUo517qWZ1juR1lliS5tMpwXBjU&#10;RM8DdYfd0SJsv7h+Md/v7Ue9r03TrBN+yw+ItzfL9glEoCX8h+EPP6JDFZlad2TtxYgQjwSELM1B&#10;RPchuc9AtAh5ugZZlfISv/oFAAD//wMAUEsBAi0AFAAGAAgAAAAhALaDOJL+AAAA4QEAABMAAAAA&#10;AAAAAAAAAAAAAAAAAFtDb250ZW50X1R5cGVzXS54bWxQSwECLQAUAAYACAAAACEAOP0h/9YAAACU&#10;AQAACwAAAAAAAAAAAAAAAAAvAQAAX3JlbHMvLnJlbHNQSwECLQAUAAYACAAAACEAJ/4BFrgCAAC5&#10;BQAADgAAAAAAAAAAAAAAAAAuAgAAZHJzL2Uyb0RvYy54bWxQSwECLQAUAAYACAAAACEAiyVPB9wA&#10;AAAGAQAADwAAAAAAAAAAAAAAAAASBQAAZHJzL2Rvd25yZXYueG1sUEsFBgAAAAAEAAQA8wAAABsG&#10;AAAAAA==&#10;" filled="f" stroked="f">
              <v:textbox inset="0,0,0,0">
                <w:txbxContent>
                  <w:p w:rsidR="00B27B39" w:rsidRDefault="00B27B39">
                    <w:pPr>
                      <w:pStyle w:val="MacPacTrailer"/>
                    </w:pPr>
                    <w:r>
                      <w:t>21182018.2</w:t>
                    </w:r>
                  </w:p>
                  <w:p w:rsidR="00B27B39" w:rsidRDefault="00B27B39">
                    <w:pPr>
                      <w:pStyle w:val="MacPacTraile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C3F" w:rsidRDefault="009B4C3F" w:rsidP="0005088D">
      <w:r>
        <w:separator/>
      </w:r>
    </w:p>
  </w:footnote>
  <w:footnote w:type="continuationSeparator" w:id="0">
    <w:p w:rsidR="009B4C3F" w:rsidRDefault="009B4C3F" w:rsidP="00050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A1A" w:rsidRPr="004D1659" w:rsidRDefault="00055E12" w:rsidP="00055E12">
    <w:pPr>
      <w:spacing w:after="240"/>
      <w:textAlignment w:val="baseline"/>
      <w:rPr>
        <w:rFonts w:ascii="Arial" w:eastAsia="Calibri" w:hAnsi="Arial" w:cs="Arial"/>
        <w:color w:val="000000"/>
        <w:sz w:val="24"/>
      </w:rPr>
    </w:pPr>
    <w:r w:rsidRPr="004D1659">
      <w:rPr>
        <w:rFonts w:ascii="Arial" w:eastAsia="Calibri" w:hAnsi="Arial" w:cs="Arial"/>
        <w:color w:val="000000"/>
        <w:sz w:val="24"/>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A5030"/>
    <w:multiLevelType w:val="hybridMultilevel"/>
    <w:tmpl w:val="2D90594C"/>
    <w:lvl w:ilvl="0" w:tplc="31A6335E">
      <w:start w:val="1"/>
      <w:numFmt w:val="bullet"/>
      <w:lvlText w:val="•"/>
      <w:lvlJc w:val="left"/>
      <w:pPr>
        <w:tabs>
          <w:tab w:val="num" w:pos="720"/>
        </w:tabs>
        <w:ind w:left="720" w:hanging="360"/>
      </w:pPr>
      <w:rPr>
        <w:rFonts w:ascii="Arial" w:hAnsi="Arial" w:hint="default"/>
      </w:rPr>
    </w:lvl>
    <w:lvl w:ilvl="1" w:tplc="0BBA46F0" w:tentative="1">
      <w:start w:val="1"/>
      <w:numFmt w:val="bullet"/>
      <w:lvlText w:val="•"/>
      <w:lvlJc w:val="left"/>
      <w:pPr>
        <w:tabs>
          <w:tab w:val="num" w:pos="1440"/>
        </w:tabs>
        <w:ind w:left="1440" w:hanging="360"/>
      </w:pPr>
      <w:rPr>
        <w:rFonts w:ascii="Arial" w:hAnsi="Arial" w:hint="default"/>
      </w:rPr>
    </w:lvl>
    <w:lvl w:ilvl="2" w:tplc="FC18A804" w:tentative="1">
      <w:start w:val="1"/>
      <w:numFmt w:val="bullet"/>
      <w:lvlText w:val="•"/>
      <w:lvlJc w:val="left"/>
      <w:pPr>
        <w:tabs>
          <w:tab w:val="num" w:pos="2160"/>
        </w:tabs>
        <w:ind w:left="2160" w:hanging="360"/>
      </w:pPr>
      <w:rPr>
        <w:rFonts w:ascii="Arial" w:hAnsi="Arial" w:hint="default"/>
      </w:rPr>
    </w:lvl>
    <w:lvl w:ilvl="3" w:tplc="1654188E" w:tentative="1">
      <w:start w:val="1"/>
      <w:numFmt w:val="bullet"/>
      <w:lvlText w:val="•"/>
      <w:lvlJc w:val="left"/>
      <w:pPr>
        <w:tabs>
          <w:tab w:val="num" w:pos="2880"/>
        </w:tabs>
        <w:ind w:left="2880" w:hanging="360"/>
      </w:pPr>
      <w:rPr>
        <w:rFonts w:ascii="Arial" w:hAnsi="Arial" w:hint="default"/>
      </w:rPr>
    </w:lvl>
    <w:lvl w:ilvl="4" w:tplc="816A6910" w:tentative="1">
      <w:start w:val="1"/>
      <w:numFmt w:val="bullet"/>
      <w:lvlText w:val="•"/>
      <w:lvlJc w:val="left"/>
      <w:pPr>
        <w:tabs>
          <w:tab w:val="num" w:pos="3600"/>
        </w:tabs>
        <w:ind w:left="3600" w:hanging="360"/>
      </w:pPr>
      <w:rPr>
        <w:rFonts w:ascii="Arial" w:hAnsi="Arial" w:hint="default"/>
      </w:rPr>
    </w:lvl>
    <w:lvl w:ilvl="5" w:tplc="1C705E34" w:tentative="1">
      <w:start w:val="1"/>
      <w:numFmt w:val="bullet"/>
      <w:lvlText w:val="•"/>
      <w:lvlJc w:val="left"/>
      <w:pPr>
        <w:tabs>
          <w:tab w:val="num" w:pos="4320"/>
        </w:tabs>
        <w:ind w:left="4320" w:hanging="360"/>
      </w:pPr>
      <w:rPr>
        <w:rFonts w:ascii="Arial" w:hAnsi="Arial" w:hint="default"/>
      </w:rPr>
    </w:lvl>
    <w:lvl w:ilvl="6" w:tplc="474C9D2A" w:tentative="1">
      <w:start w:val="1"/>
      <w:numFmt w:val="bullet"/>
      <w:lvlText w:val="•"/>
      <w:lvlJc w:val="left"/>
      <w:pPr>
        <w:tabs>
          <w:tab w:val="num" w:pos="5040"/>
        </w:tabs>
        <w:ind w:left="5040" w:hanging="360"/>
      </w:pPr>
      <w:rPr>
        <w:rFonts w:ascii="Arial" w:hAnsi="Arial" w:hint="default"/>
      </w:rPr>
    </w:lvl>
    <w:lvl w:ilvl="7" w:tplc="DEEA3D2A" w:tentative="1">
      <w:start w:val="1"/>
      <w:numFmt w:val="bullet"/>
      <w:lvlText w:val="•"/>
      <w:lvlJc w:val="left"/>
      <w:pPr>
        <w:tabs>
          <w:tab w:val="num" w:pos="5760"/>
        </w:tabs>
        <w:ind w:left="5760" w:hanging="360"/>
      </w:pPr>
      <w:rPr>
        <w:rFonts w:ascii="Arial" w:hAnsi="Arial" w:hint="default"/>
      </w:rPr>
    </w:lvl>
    <w:lvl w:ilvl="8" w:tplc="ECB09C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6590FAA"/>
    <w:multiLevelType w:val="multilevel"/>
    <w:tmpl w:val="42984CAE"/>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7Q#L┙┬:7&lt;}śmI⌓Ç8⌙JçXp„⌕OðÎu‾*¿Õ]!×zÜŧÊâ‡«⌕öØ{@⌝n¬J⌒ÎƀFø⌉Ó/śř⌌⌏:¦årp@ÖØYz«j¶⌂èPR¯⌅E⌚ò‧Xú²c1¯‮4‵5Xt:îSýB)L⁁⌐Û²;ïþö4‮‷°®řƃ0XV:±fN⌡ÀÍ;´ť¾Î•.oôçApã⌏âé-]¯ËÈÝU9/Þ.…℩7æˤøó⌍TðGâ[OHVM011"/>
    <w:docVar w:name="zzmp10LastTrailerInserted_1078" w:val="^`~#mp!@*7Q#L┙┬:7&lt;}śmI⌓Ç8⌙JçXp„⌕OðÎu‾*¿Õ]!×zÜŧÊâ‡«⌕öØ{@⌝n¬J⌒ÎƀFø⌉Ó/śř⌌⌏:¦årp@ÖØYz«j¶⌂èPR¯⌅E⌚ò‧Xú²c1¯‮4‵5Xt:îSýB)L⁁⌐Û²;ïþö4‮‷°®řƃ0XV:±fN⌡ÀÍ;´ť¾Î•.oôçApã⌏âé-]¯ËÈÝU9/Þ.…℩7æˤøó⌍TðGâ[OHVM011"/>
    <w:docVar w:name="zzmp10mSEGsValidated" w:val="1"/>
    <w:docVar w:name="zzmpCompatibilityMode" w:val="15"/>
    <w:docVar w:name="zzmpLTFontsClean" w:val="True"/>
    <w:docVar w:name="zzmpnSession" w:val="0.5403711"/>
  </w:docVars>
  <w:rsids>
    <w:rsidRoot w:val="00D27BB1"/>
    <w:rsid w:val="0000553B"/>
    <w:rsid w:val="00017F62"/>
    <w:rsid w:val="00047F15"/>
    <w:rsid w:val="0005088D"/>
    <w:rsid w:val="00055E12"/>
    <w:rsid w:val="00063B8B"/>
    <w:rsid w:val="0007319B"/>
    <w:rsid w:val="0009203E"/>
    <w:rsid w:val="000B6FED"/>
    <w:rsid w:val="000C07E2"/>
    <w:rsid w:val="000E69A2"/>
    <w:rsid w:val="0010220C"/>
    <w:rsid w:val="00106879"/>
    <w:rsid w:val="00121592"/>
    <w:rsid w:val="00121C52"/>
    <w:rsid w:val="001238F1"/>
    <w:rsid w:val="001440A5"/>
    <w:rsid w:val="0015361E"/>
    <w:rsid w:val="001A4B21"/>
    <w:rsid w:val="001B0A5C"/>
    <w:rsid w:val="001B1ADF"/>
    <w:rsid w:val="001B5F60"/>
    <w:rsid w:val="001C5983"/>
    <w:rsid w:val="001D05E5"/>
    <w:rsid w:val="001D51BE"/>
    <w:rsid w:val="001E202F"/>
    <w:rsid w:val="001E6CFA"/>
    <w:rsid w:val="001E795A"/>
    <w:rsid w:val="001F4426"/>
    <w:rsid w:val="002010AF"/>
    <w:rsid w:val="00251D5A"/>
    <w:rsid w:val="0025344B"/>
    <w:rsid w:val="00253A6F"/>
    <w:rsid w:val="00276247"/>
    <w:rsid w:val="002909DE"/>
    <w:rsid w:val="002917C1"/>
    <w:rsid w:val="00291CFD"/>
    <w:rsid w:val="00295932"/>
    <w:rsid w:val="002A2054"/>
    <w:rsid w:val="002C212A"/>
    <w:rsid w:val="002C6E61"/>
    <w:rsid w:val="002E6399"/>
    <w:rsid w:val="00310454"/>
    <w:rsid w:val="003167C9"/>
    <w:rsid w:val="003436C2"/>
    <w:rsid w:val="00344BEE"/>
    <w:rsid w:val="00361A5F"/>
    <w:rsid w:val="00367182"/>
    <w:rsid w:val="003A29F9"/>
    <w:rsid w:val="003A5A5D"/>
    <w:rsid w:val="003A5F57"/>
    <w:rsid w:val="003D38E5"/>
    <w:rsid w:val="003D4639"/>
    <w:rsid w:val="003D5006"/>
    <w:rsid w:val="003E00CC"/>
    <w:rsid w:val="003E411D"/>
    <w:rsid w:val="003F0FBE"/>
    <w:rsid w:val="003F1793"/>
    <w:rsid w:val="003F37AC"/>
    <w:rsid w:val="003F7C9F"/>
    <w:rsid w:val="004056DB"/>
    <w:rsid w:val="00407BF6"/>
    <w:rsid w:val="00420C6E"/>
    <w:rsid w:val="00422469"/>
    <w:rsid w:val="00425D3D"/>
    <w:rsid w:val="00426377"/>
    <w:rsid w:val="0047620D"/>
    <w:rsid w:val="004819BF"/>
    <w:rsid w:val="00486B9C"/>
    <w:rsid w:val="004A0A87"/>
    <w:rsid w:val="004B3A78"/>
    <w:rsid w:val="004C50B5"/>
    <w:rsid w:val="004D1659"/>
    <w:rsid w:val="0050554A"/>
    <w:rsid w:val="00516180"/>
    <w:rsid w:val="005376BD"/>
    <w:rsid w:val="005510A8"/>
    <w:rsid w:val="00554CF5"/>
    <w:rsid w:val="005603D7"/>
    <w:rsid w:val="00566075"/>
    <w:rsid w:val="0058170E"/>
    <w:rsid w:val="00584433"/>
    <w:rsid w:val="005925B8"/>
    <w:rsid w:val="005A36B5"/>
    <w:rsid w:val="005B17AD"/>
    <w:rsid w:val="005D0907"/>
    <w:rsid w:val="005D3BB7"/>
    <w:rsid w:val="005D4112"/>
    <w:rsid w:val="005D415B"/>
    <w:rsid w:val="005E677B"/>
    <w:rsid w:val="005F22DC"/>
    <w:rsid w:val="005F3FDE"/>
    <w:rsid w:val="005F6433"/>
    <w:rsid w:val="00600FB7"/>
    <w:rsid w:val="00610CAE"/>
    <w:rsid w:val="006158CD"/>
    <w:rsid w:val="006306EF"/>
    <w:rsid w:val="006310CB"/>
    <w:rsid w:val="006406C6"/>
    <w:rsid w:val="00642A1A"/>
    <w:rsid w:val="00672CA2"/>
    <w:rsid w:val="006828B2"/>
    <w:rsid w:val="006875A0"/>
    <w:rsid w:val="00687BA4"/>
    <w:rsid w:val="0069352E"/>
    <w:rsid w:val="006A49B9"/>
    <w:rsid w:val="006B17FB"/>
    <w:rsid w:val="006B6953"/>
    <w:rsid w:val="006D2792"/>
    <w:rsid w:val="006D5E2A"/>
    <w:rsid w:val="006F78C6"/>
    <w:rsid w:val="00716060"/>
    <w:rsid w:val="00730F2E"/>
    <w:rsid w:val="007629BB"/>
    <w:rsid w:val="00774053"/>
    <w:rsid w:val="00774A42"/>
    <w:rsid w:val="007A7A20"/>
    <w:rsid w:val="007D0941"/>
    <w:rsid w:val="007D7383"/>
    <w:rsid w:val="007E143A"/>
    <w:rsid w:val="007E3297"/>
    <w:rsid w:val="007E60D4"/>
    <w:rsid w:val="007E7C86"/>
    <w:rsid w:val="007F14AA"/>
    <w:rsid w:val="007F7BB9"/>
    <w:rsid w:val="008220D2"/>
    <w:rsid w:val="0083294C"/>
    <w:rsid w:val="00840293"/>
    <w:rsid w:val="00844BC2"/>
    <w:rsid w:val="00850935"/>
    <w:rsid w:val="00853829"/>
    <w:rsid w:val="00853E18"/>
    <w:rsid w:val="008770C6"/>
    <w:rsid w:val="00895B66"/>
    <w:rsid w:val="008C4DC0"/>
    <w:rsid w:val="008C7949"/>
    <w:rsid w:val="008E671D"/>
    <w:rsid w:val="009009FA"/>
    <w:rsid w:val="0090782E"/>
    <w:rsid w:val="00912677"/>
    <w:rsid w:val="00921D3E"/>
    <w:rsid w:val="00927849"/>
    <w:rsid w:val="009341A4"/>
    <w:rsid w:val="009A1454"/>
    <w:rsid w:val="009A20E5"/>
    <w:rsid w:val="009B0906"/>
    <w:rsid w:val="009B3A3B"/>
    <w:rsid w:val="009B4C3F"/>
    <w:rsid w:val="009B6577"/>
    <w:rsid w:val="009C4C23"/>
    <w:rsid w:val="009D3C13"/>
    <w:rsid w:val="009D5CDD"/>
    <w:rsid w:val="009E1E57"/>
    <w:rsid w:val="009F4F93"/>
    <w:rsid w:val="00A06862"/>
    <w:rsid w:val="00A1104B"/>
    <w:rsid w:val="00A22B06"/>
    <w:rsid w:val="00A31012"/>
    <w:rsid w:val="00A401FE"/>
    <w:rsid w:val="00A462FE"/>
    <w:rsid w:val="00A64DE0"/>
    <w:rsid w:val="00A72710"/>
    <w:rsid w:val="00A8035F"/>
    <w:rsid w:val="00A80E91"/>
    <w:rsid w:val="00A83A86"/>
    <w:rsid w:val="00AA074D"/>
    <w:rsid w:val="00AA111C"/>
    <w:rsid w:val="00AF39C7"/>
    <w:rsid w:val="00B06496"/>
    <w:rsid w:val="00B12A86"/>
    <w:rsid w:val="00B22D92"/>
    <w:rsid w:val="00B27250"/>
    <w:rsid w:val="00B27B39"/>
    <w:rsid w:val="00B41E6E"/>
    <w:rsid w:val="00B56587"/>
    <w:rsid w:val="00B7245A"/>
    <w:rsid w:val="00B9797C"/>
    <w:rsid w:val="00BA3264"/>
    <w:rsid w:val="00BB35AB"/>
    <w:rsid w:val="00BC29C3"/>
    <w:rsid w:val="00BC4737"/>
    <w:rsid w:val="00BD13D1"/>
    <w:rsid w:val="00BD2F88"/>
    <w:rsid w:val="00BE04E8"/>
    <w:rsid w:val="00BE362C"/>
    <w:rsid w:val="00BE3B00"/>
    <w:rsid w:val="00BE668F"/>
    <w:rsid w:val="00BE70A9"/>
    <w:rsid w:val="00C13E18"/>
    <w:rsid w:val="00C21BD7"/>
    <w:rsid w:val="00C35CE3"/>
    <w:rsid w:val="00C42663"/>
    <w:rsid w:val="00C47B72"/>
    <w:rsid w:val="00C54A3E"/>
    <w:rsid w:val="00C6180B"/>
    <w:rsid w:val="00C635A8"/>
    <w:rsid w:val="00C721AB"/>
    <w:rsid w:val="00C75A88"/>
    <w:rsid w:val="00C8179B"/>
    <w:rsid w:val="00C90FD9"/>
    <w:rsid w:val="00C971C1"/>
    <w:rsid w:val="00CB7938"/>
    <w:rsid w:val="00CC008D"/>
    <w:rsid w:val="00CC7084"/>
    <w:rsid w:val="00CD40E5"/>
    <w:rsid w:val="00CE48C0"/>
    <w:rsid w:val="00CF11C7"/>
    <w:rsid w:val="00D07BF3"/>
    <w:rsid w:val="00D1305D"/>
    <w:rsid w:val="00D14320"/>
    <w:rsid w:val="00D20D3B"/>
    <w:rsid w:val="00D254EA"/>
    <w:rsid w:val="00D27BB1"/>
    <w:rsid w:val="00D366CD"/>
    <w:rsid w:val="00D400F8"/>
    <w:rsid w:val="00D42C58"/>
    <w:rsid w:val="00D541F0"/>
    <w:rsid w:val="00D74F1F"/>
    <w:rsid w:val="00D817F4"/>
    <w:rsid w:val="00DC675D"/>
    <w:rsid w:val="00DD4B46"/>
    <w:rsid w:val="00E00651"/>
    <w:rsid w:val="00E13ADD"/>
    <w:rsid w:val="00E2488B"/>
    <w:rsid w:val="00E27369"/>
    <w:rsid w:val="00E33F88"/>
    <w:rsid w:val="00E40D7E"/>
    <w:rsid w:val="00E571BC"/>
    <w:rsid w:val="00E64057"/>
    <w:rsid w:val="00E701A8"/>
    <w:rsid w:val="00E74BAB"/>
    <w:rsid w:val="00E80604"/>
    <w:rsid w:val="00E959D2"/>
    <w:rsid w:val="00EB569E"/>
    <w:rsid w:val="00F10606"/>
    <w:rsid w:val="00F116CF"/>
    <w:rsid w:val="00F347FF"/>
    <w:rsid w:val="00F42742"/>
    <w:rsid w:val="00F4431E"/>
    <w:rsid w:val="00F53F88"/>
    <w:rsid w:val="00F60905"/>
    <w:rsid w:val="00F63CBE"/>
    <w:rsid w:val="00F710AF"/>
    <w:rsid w:val="00F71D29"/>
    <w:rsid w:val="00F94B41"/>
    <w:rsid w:val="00FA2DCD"/>
    <w:rsid w:val="00FB1EDA"/>
    <w:rsid w:val="00FB6934"/>
    <w:rsid w:val="00FC4E0A"/>
    <w:rsid w:val="00FD0E2C"/>
    <w:rsid w:val="00FD1C30"/>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D03006-BFEB-4BAA-8286-44F51387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88D"/>
    <w:pPr>
      <w:tabs>
        <w:tab w:val="center" w:pos="4680"/>
        <w:tab w:val="right" w:pos="9360"/>
      </w:tabs>
    </w:pPr>
  </w:style>
  <w:style w:type="character" w:customStyle="1" w:styleId="HeaderChar">
    <w:name w:val="Header Char"/>
    <w:basedOn w:val="DefaultParagraphFont"/>
    <w:link w:val="Header"/>
    <w:uiPriority w:val="99"/>
    <w:rsid w:val="0005088D"/>
  </w:style>
  <w:style w:type="paragraph" w:styleId="Footer">
    <w:name w:val="footer"/>
    <w:basedOn w:val="Normal"/>
    <w:link w:val="FooterChar"/>
    <w:uiPriority w:val="99"/>
    <w:unhideWhenUsed/>
    <w:rsid w:val="0005088D"/>
    <w:pPr>
      <w:tabs>
        <w:tab w:val="center" w:pos="4680"/>
        <w:tab w:val="right" w:pos="9360"/>
      </w:tabs>
    </w:pPr>
  </w:style>
  <w:style w:type="character" w:customStyle="1" w:styleId="FooterChar">
    <w:name w:val="Footer Char"/>
    <w:basedOn w:val="DefaultParagraphFont"/>
    <w:link w:val="Footer"/>
    <w:uiPriority w:val="99"/>
    <w:rsid w:val="0005088D"/>
  </w:style>
  <w:style w:type="paragraph" w:customStyle="1" w:styleId="MacPacTrailer">
    <w:name w:val="MacPac Trailer"/>
    <w:rsid w:val="00B27B39"/>
    <w:pPr>
      <w:widowControl w:val="0"/>
      <w:spacing w:line="200" w:lineRule="exact"/>
    </w:pPr>
    <w:rPr>
      <w:rFonts w:eastAsia="Times New Roman"/>
      <w:sz w:val="16"/>
    </w:rPr>
  </w:style>
  <w:style w:type="character" w:styleId="PlaceholderText">
    <w:name w:val="Placeholder Text"/>
    <w:basedOn w:val="DefaultParagraphFont"/>
    <w:uiPriority w:val="99"/>
    <w:semiHidden/>
    <w:rsid w:val="00BE04E8"/>
    <w:rPr>
      <w:color w:val="808080"/>
    </w:rPr>
  </w:style>
  <w:style w:type="character" w:customStyle="1" w:styleId="Prompt">
    <w:name w:val="Prompt"/>
    <w:aliases w:val="PR"/>
    <w:basedOn w:val="DefaultParagraphFont"/>
    <w:rsid w:val="00B27B39"/>
    <w:rPr>
      <w:rFonts w:ascii="Calibri" w:eastAsia="Calibri" w:hAnsi="Calibri"/>
      <w:color w:val="auto"/>
      <w:sz w:val="20"/>
    </w:rPr>
  </w:style>
  <w:style w:type="character" w:styleId="CommentReference">
    <w:name w:val="annotation reference"/>
    <w:basedOn w:val="DefaultParagraphFont"/>
    <w:uiPriority w:val="99"/>
    <w:semiHidden/>
    <w:unhideWhenUsed/>
    <w:rsid w:val="006B6953"/>
    <w:rPr>
      <w:sz w:val="16"/>
      <w:szCs w:val="16"/>
    </w:rPr>
  </w:style>
  <w:style w:type="paragraph" w:styleId="CommentText">
    <w:name w:val="annotation text"/>
    <w:basedOn w:val="Normal"/>
    <w:link w:val="CommentTextChar"/>
    <w:uiPriority w:val="99"/>
    <w:unhideWhenUsed/>
    <w:rsid w:val="006B6953"/>
    <w:rPr>
      <w:sz w:val="20"/>
      <w:szCs w:val="20"/>
    </w:rPr>
  </w:style>
  <w:style w:type="character" w:customStyle="1" w:styleId="CommentTextChar">
    <w:name w:val="Comment Text Char"/>
    <w:basedOn w:val="DefaultParagraphFont"/>
    <w:link w:val="CommentText"/>
    <w:uiPriority w:val="99"/>
    <w:rsid w:val="006B6953"/>
    <w:rPr>
      <w:sz w:val="20"/>
      <w:szCs w:val="20"/>
    </w:rPr>
  </w:style>
  <w:style w:type="paragraph" w:styleId="CommentSubject">
    <w:name w:val="annotation subject"/>
    <w:basedOn w:val="CommentText"/>
    <w:next w:val="CommentText"/>
    <w:link w:val="CommentSubjectChar"/>
    <w:uiPriority w:val="99"/>
    <w:semiHidden/>
    <w:unhideWhenUsed/>
    <w:rsid w:val="006B6953"/>
    <w:rPr>
      <w:b/>
      <w:bCs/>
    </w:rPr>
  </w:style>
  <w:style w:type="character" w:customStyle="1" w:styleId="CommentSubjectChar">
    <w:name w:val="Comment Subject Char"/>
    <w:basedOn w:val="CommentTextChar"/>
    <w:link w:val="CommentSubject"/>
    <w:uiPriority w:val="99"/>
    <w:semiHidden/>
    <w:rsid w:val="006B6953"/>
    <w:rPr>
      <w:b/>
      <w:bCs/>
      <w:sz w:val="20"/>
      <w:szCs w:val="20"/>
    </w:rPr>
  </w:style>
  <w:style w:type="paragraph" w:styleId="BalloonText">
    <w:name w:val="Balloon Text"/>
    <w:basedOn w:val="Normal"/>
    <w:link w:val="BalloonTextChar"/>
    <w:uiPriority w:val="99"/>
    <w:semiHidden/>
    <w:unhideWhenUsed/>
    <w:rsid w:val="006B6953"/>
    <w:rPr>
      <w:rFonts w:ascii="Tahoma" w:hAnsi="Tahoma" w:cs="Tahoma"/>
      <w:sz w:val="16"/>
      <w:szCs w:val="16"/>
    </w:rPr>
  </w:style>
  <w:style w:type="character" w:customStyle="1" w:styleId="BalloonTextChar">
    <w:name w:val="Balloon Text Char"/>
    <w:basedOn w:val="DefaultParagraphFont"/>
    <w:link w:val="BalloonText"/>
    <w:uiPriority w:val="99"/>
    <w:semiHidden/>
    <w:rsid w:val="006B6953"/>
    <w:rPr>
      <w:rFonts w:ascii="Tahoma" w:hAnsi="Tahoma" w:cs="Tahoma"/>
      <w:sz w:val="16"/>
      <w:szCs w:val="16"/>
    </w:rPr>
  </w:style>
  <w:style w:type="paragraph" w:styleId="ListParagraph">
    <w:name w:val="List Paragraph"/>
    <w:basedOn w:val="Normal"/>
    <w:uiPriority w:val="34"/>
    <w:qFormat/>
    <w:rsid w:val="00FC4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748988">
      <w:bodyDiv w:val="1"/>
      <w:marLeft w:val="0"/>
      <w:marRight w:val="0"/>
      <w:marTop w:val="0"/>
      <w:marBottom w:val="0"/>
      <w:divBdr>
        <w:top w:val="none" w:sz="0" w:space="0" w:color="auto"/>
        <w:left w:val="none" w:sz="0" w:space="0" w:color="auto"/>
        <w:bottom w:val="none" w:sz="0" w:space="0" w:color="auto"/>
        <w:right w:val="none" w:sz="0" w:space="0" w:color="auto"/>
      </w:divBdr>
      <w:divsChild>
        <w:div w:id="1341396801">
          <w:marLeft w:val="446"/>
          <w:marRight w:val="0"/>
          <w:marTop w:val="80"/>
          <w:marBottom w:val="0"/>
          <w:divBdr>
            <w:top w:val="none" w:sz="0" w:space="0" w:color="auto"/>
            <w:left w:val="none" w:sz="0" w:space="0" w:color="auto"/>
            <w:bottom w:val="none" w:sz="0" w:space="0" w:color="auto"/>
            <w:right w:val="none" w:sz="0" w:space="0" w:color="auto"/>
          </w:divBdr>
        </w:div>
      </w:divsChild>
    </w:div>
    <w:div w:id="1052192994">
      <w:bodyDiv w:val="1"/>
      <w:marLeft w:val="0"/>
      <w:marRight w:val="0"/>
      <w:marTop w:val="0"/>
      <w:marBottom w:val="0"/>
      <w:divBdr>
        <w:top w:val="none" w:sz="0" w:space="0" w:color="auto"/>
        <w:left w:val="none" w:sz="0" w:space="0" w:color="auto"/>
        <w:bottom w:val="none" w:sz="0" w:space="0" w:color="auto"/>
        <w:right w:val="none" w:sz="0" w:space="0" w:color="auto"/>
      </w:divBdr>
      <w:divsChild>
        <w:div w:id="1852334065">
          <w:marLeft w:val="446"/>
          <w:marRight w:val="0"/>
          <w:marTop w:val="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F385C-5E63-4A91-9914-80ACB9C1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Kaitlin (MOF)</dc:creator>
  <cp:lastModifiedBy>Schlaepfer, Martin (ENERGY)</cp:lastModifiedBy>
  <cp:revision>2</cp:revision>
  <cp:lastPrinted>2018-01-19T23:16:00Z</cp:lastPrinted>
  <dcterms:created xsi:type="dcterms:W3CDTF">2018-01-19T23:28:00Z</dcterms:created>
  <dcterms:modified xsi:type="dcterms:W3CDTF">2018-01-19T23:28:00Z</dcterms:modified>
</cp:coreProperties>
</file>