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AC100" w14:textId="77777777" w:rsidR="00FC1257" w:rsidRDefault="00FC1257"/>
    <w:tbl>
      <w:tblPr>
        <w:tblStyle w:val="GridTable5Dark-Accent1"/>
        <w:tblW w:w="0" w:type="auto"/>
        <w:tblLook w:val="04A0" w:firstRow="1" w:lastRow="0" w:firstColumn="1" w:lastColumn="0" w:noHBand="0" w:noVBand="1"/>
      </w:tblPr>
      <w:tblGrid>
        <w:gridCol w:w="641"/>
        <w:gridCol w:w="1964"/>
        <w:gridCol w:w="1170"/>
        <w:gridCol w:w="2070"/>
        <w:gridCol w:w="2520"/>
        <w:gridCol w:w="4585"/>
      </w:tblGrid>
      <w:tr w:rsidR="00E959D6" w14:paraId="6BA0BD95" w14:textId="77777777" w:rsidTr="008D10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dxa"/>
            <w:vAlign w:val="center"/>
          </w:tcPr>
          <w:p w14:paraId="637FD932" w14:textId="77777777" w:rsidR="00E959D6" w:rsidRDefault="00E959D6">
            <w:r>
              <w:t xml:space="preserve">Item </w:t>
            </w:r>
          </w:p>
          <w:p w14:paraId="694E08E6" w14:textId="662639AF" w:rsidR="00E959D6" w:rsidRDefault="00E959D6">
            <w:r>
              <w:t>#</w:t>
            </w:r>
          </w:p>
        </w:tc>
        <w:tc>
          <w:tcPr>
            <w:tcW w:w="1964" w:type="dxa"/>
            <w:vAlign w:val="center"/>
          </w:tcPr>
          <w:p w14:paraId="1D3B0826" w14:textId="401A792E" w:rsidR="00E959D6" w:rsidRDefault="00E959D6">
            <w:pPr>
              <w:cnfStyle w:val="100000000000" w:firstRow="1" w:lastRow="0" w:firstColumn="0" w:lastColumn="0" w:oddVBand="0" w:evenVBand="0" w:oddHBand="0" w:evenHBand="0" w:firstRowFirstColumn="0" w:firstRowLastColumn="0" w:lastRowFirstColumn="0" w:lastRowLastColumn="0"/>
            </w:pPr>
            <w:r>
              <w:t>Description</w:t>
            </w:r>
          </w:p>
        </w:tc>
        <w:tc>
          <w:tcPr>
            <w:tcW w:w="1170" w:type="dxa"/>
            <w:vAlign w:val="center"/>
          </w:tcPr>
          <w:p w14:paraId="7CB469E6" w14:textId="77777777" w:rsidR="00E959D6" w:rsidRDefault="00E959D6" w:rsidP="009C3B09">
            <w:pPr>
              <w:jc w:val="center"/>
              <w:cnfStyle w:val="100000000000" w:firstRow="1" w:lastRow="0" w:firstColumn="0" w:lastColumn="0" w:oddVBand="0" w:evenVBand="0" w:oddHBand="0" w:evenHBand="0" w:firstRowFirstColumn="0" w:firstRowLastColumn="0" w:lastRowFirstColumn="0" w:lastRowLastColumn="0"/>
            </w:pPr>
            <w:r>
              <w:t>Frequency</w:t>
            </w:r>
          </w:p>
        </w:tc>
        <w:tc>
          <w:tcPr>
            <w:tcW w:w="2070" w:type="dxa"/>
            <w:vAlign w:val="center"/>
          </w:tcPr>
          <w:p w14:paraId="304FA36D" w14:textId="77777777" w:rsidR="00E959D6" w:rsidRDefault="00E959D6" w:rsidP="009C3B09">
            <w:pPr>
              <w:jc w:val="center"/>
              <w:cnfStyle w:val="100000000000" w:firstRow="1" w:lastRow="0" w:firstColumn="0" w:lastColumn="0" w:oddVBand="0" w:evenVBand="0" w:oddHBand="0" w:evenHBand="0" w:firstRowFirstColumn="0" w:firstRowLastColumn="0" w:lastRowFirstColumn="0" w:lastRowLastColumn="0"/>
            </w:pPr>
            <w:r>
              <w:t>FHT Financial Statements</w:t>
            </w:r>
          </w:p>
        </w:tc>
        <w:tc>
          <w:tcPr>
            <w:tcW w:w="2520" w:type="dxa"/>
            <w:vAlign w:val="center"/>
          </w:tcPr>
          <w:p w14:paraId="7A3D64A3" w14:textId="77777777" w:rsidR="00E959D6" w:rsidRDefault="00E959D6" w:rsidP="009C3B09">
            <w:pPr>
              <w:jc w:val="center"/>
              <w:cnfStyle w:val="100000000000" w:firstRow="1" w:lastRow="0" w:firstColumn="0" w:lastColumn="0" w:oddVBand="0" w:evenVBand="0" w:oddHBand="0" w:evenHBand="0" w:firstRowFirstColumn="0" w:firstRowLastColumn="0" w:lastRowFirstColumn="0" w:lastRowLastColumn="0"/>
            </w:pPr>
            <w:r>
              <w:t>OPG Financial Statements (includes MD&amp;A, AIF)</w:t>
            </w:r>
          </w:p>
        </w:tc>
        <w:tc>
          <w:tcPr>
            <w:tcW w:w="4585" w:type="dxa"/>
            <w:vAlign w:val="center"/>
          </w:tcPr>
          <w:p w14:paraId="204AAB77" w14:textId="77777777" w:rsidR="00E959D6" w:rsidRDefault="00E959D6" w:rsidP="009C3B09">
            <w:pPr>
              <w:jc w:val="center"/>
              <w:cnfStyle w:val="100000000000" w:firstRow="1" w:lastRow="0" w:firstColumn="0" w:lastColumn="0" w:oddVBand="0" w:evenVBand="0" w:oddHBand="0" w:evenHBand="0" w:firstRowFirstColumn="0" w:firstRowLastColumn="0" w:lastRowFirstColumn="0" w:lastRowLastColumn="0"/>
            </w:pPr>
            <w:r>
              <w:t>Visibility</w:t>
            </w:r>
          </w:p>
        </w:tc>
      </w:tr>
      <w:tr w:rsidR="00E959D6" w14:paraId="04BF34A3" w14:textId="77777777" w:rsidTr="008D10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dxa"/>
            <w:vAlign w:val="center"/>
          </w:tcPr>
          <w:p w14:paraId="44F4588D" w14:textId="6CFD0C87" w:rsidR="00E959D6" w:rsidRDefault="00E959D6">
            <w:r>
              <w:t>1</w:t>
            </w:r>
          </w:p>
        </w:tc>
        <w:tc>
          <w:tcPr>
            <w:tcW w:w="1964" w:type="dxa"/>
            <w:vAlign w:val="center"/>
          </w:tcPr>
          <w:p w14:paraId="1095F6AA" w14:textId="71B84322" w:rsidR="00E959D6" w:rsidRPr="00E959D6" w:rsidRDefault="00E959D6">
            <w:pPr>
              <w:cnfStyle w:val="000000100000" w:firstRow="0" w:lastRow="0" w:firstColumn="0" w:lastColumn="0" w:oddVBand="0" w:evenVBand="0" w:oddHBand="1" w:evenHBand="0" w:firstRowFirstColumn="0" w:firstRowLastColumn="0" w:lastRowFirstColumn="0" w:lastRowLastColumn="0"/>
              <w:rPr>
                <w:b/>
              </w:rPr>
            </w:pPr>
            <w:r w:rsidRPr="00E959D6">
              <w:rPr>
                <w:b/>
              </w:rPr>
              <w:t>FHT Financial Statements</w:t>
            </w:r>
          </w:p>
        </w:tc>
        <w:tc>
          <w:tcPr>
            <w:tcW w:w="1170" w:type="dxa"/>
            <w:vAlign w:val="center"/>
          </w:tcPr>
          <w:p w14:paraId="6424A335" w14:textId="77777777" w:rsidR="00E959D6" w:rsidRDefault="00E959D6" w:rsidP="00173F0F">
            <w:pPr>
              <w:cnfStyle w:val="000000100000" w:firstRow="0" w:lastRow="0" w:firstColumn="0" w:lastColumn="0" w:oddVBand="0" w:evenVBand="0" w:oddHBand="1" w:evenHBand="0" w:firstRowFirstColumn="0" w:firstRowLastColumn="0" w:lastRowFirstColumn="0" w:lastRowLastColumn="0"/>
            </w:pPr>
            <w:r>
              <w:t>Annual &amp; Quarterly</w:t>
            </w:r>
          </w:p>
        </w:tc>
        <w:tc>
          <w:tcPr>
            <w:tcW w:w="2070" w:type="dxa"/>
            <w:vAlign w:val="center"/>
          </w:tcPr>
          <w:p w14:paraId="6C962515" w14:textId="77777777" w:rsidR="00E959D6" w:rsidRDefault="00E959D6" w:rsidP="000941E5">
            <w:pPr>
              <w:cnfStyle w:val="000000100000" w:firstRow="0" w:lastRow="0" w:firstColumn="0" w:lastColumn="0" w:oddVBand="0" w:evenVBand="0" w:oddHBand="1" w:evenHBand="0" w:firstRowFirstColumn="0" w:firstRowLastColumn="0" w:lastRowFirstColumn="0" w:lastRowLastColumn="0"/>
            </w:pPr>
            <w:r>
              <w:t>Yes</w:t>
            </w:r>
          </w:p>
        </w:tc>
        <w:tc>
          <w:tcPr>
            <w:tcW w:w="2520" w:type="dxa"/>
            <w:vAlign w:val="center"/>
          </w:tcPr>
          <w:p w14:paraId="571987FF" w14:textId="77777777" w:rsidR="00E959D6" w:rsidRDefault="00E959D6" w:rsidP="000941E5">
            <w:pPr>
              <w:cnfStyle w:val="000000100000" w:firstRow="0" w:lastRow="0" w:firstColumn="0" w:lastColumn="0" w:oddVBand="0" w:evenVBand="0" w:oddHBand="1" w:evenHBand="0" w:firstRowFirstColumn="0" w:firstRowLastColumn="0" w:lastRowFirstColumn="0" w:lastRowLastColumn="0"/>
            </w:pPr>
            <w:r>
              <w:t>No</w:t>
            </w:r>
          </w:p>
        </w:tc>
        <w:tc>
          <w:tcPr>
            <w:tcW w:w="4585" w:type="dxa"/>
            <w:vAlign w:val="center"/>
          </w:tcPr>
          <w:p w14:paraId="098314BC" w14:textId="0B15D3D1" w:rsidR="00E959D6" w:rsidRDefault="00E959D6" w:rsidP="00173F0F">
            <w:pPr>
              <w:cnfStyle w:val="000000100000" w:firstRow="0" w:lastRow="0" w:firstColumn="0" w:lastColumn="0" w:oddVBand="0" w:evenVBand="0" w:oddHBand="1" w:evenHBand="0" w:firstRowFirstColumn="0" w:firstRowLastColumn="0" w:lastRowFirstColumn="0" w:lastRowLastColumn="0"/>
            </w:pPr>
            <w:r>
              <w:t xml:space="preserve">Annual audited FS to be posted on OPG.com </w:t>
            </w:r>
          </w:p>
        </w:tc>
      </w:tr>
      <w:tr w:rsidR="00E959D6" w14:paraId="49EA6355" w14:textId="77777777" w:rsidTr="008D1073">
        <w:tc>
          <w:tcPr>
            <w:cnfStyle w:val="001000000000" w:firstRow="0" w:lastRow="0" w:firstColumn="1" w:lastColumn="0" w:oddVBand="0" w:evenVBand="0" w:oddHBand="0" w:evenHBand="0" w:firstRowFirstColumn="0" w:firstRowLastColumn="0" w:lastRowFirstColumn="0" w:lastRowLastColumn="0"/>
            <w:tcW w:w="641" w:type="dxa"/>
            <w:vAlign w:val="center"/>
          </w:tcPr>
          <w:p w14:paraId="329CFCEF" w14:textId="42D67E85" w:rsidR="00E959D6" w:rsidRDefault="00E959D6">
            <w:r>
              <w:t>2</w:t>
            </w:r>
          </w:p>
        </w:tc>
        <w:tc>
          <w:tcPr>
            <w:tcW w:w="1964" w:type="dxa"/>
            <w:vAlign w:val="center"/>
          </w:tcPr>
          <w:p w14:paraId="3652F781" w14:textId="6CF5F3F5" w:rsidR="00E959D6" w:rsidRPr="00E959D6" w:rsidRDefault="00E959D6">
            <w:pPr>
              <w:cnfStyle w:val="000000000000" w:firstRow="0" w:lastRow="0" w:firstColumn="0" w:lastColumn="0" w:oddVBand="0" w:evenVBand="0" w:oddHBand="0" w:evenHBand="0" w:firstRowFirstColumn="0" w:firstRowLastColumn="0" w:lastRowFirstColumn="0" w:lastRowLastColumn="0"/>
              <w:rPr>
                <w:b/>
              </w:rPr>
            </w:pPr>
            <w:r w:rsidRPr="00E959D6">
              <w:rPr>
                <w:b/>
              </w:rPr>
              <w:t>Purchase of asset from IESO and related Provincial equity injection</w:t>
            </w:r>
          </w:p>
        </w:tc>
        <w:tc>
          <w:tcPr>
            <w:tcW w:w="1170" w:type="dxa"/>
            <w:vAlign w:val="center"/>
          </w:tcPr>
          <w:p w14:paraId="27EDE2BC" w14:textId="77777777" w:rsidR="00E959D6" w:rsidRDefault="00E959D6" w:rsidP="00173F0F">
            <w:pPr>
              <w:cnfStyle w:val="000000000000" w:firstRow="0" w:lastRow="0" w:firstColumn="0" w:lastColumn="0" w:oddVBand="0" w:evenVBand="0" w:oddHBand="0" w:evenHBand="0" w:firstRowFirstColumn="0" w:firstRowLastColumn="0" w:lastRowFirstColumn="0" w:lastRowLastColumn="0"/>
            </w:pPr>
            <w:r>
              <w:t>Recurring</w:t>
            </w:r>
          </w:p>
        </w:tc>
        <w:tc>
          <w:tcPr>
            <w:tcW w:w="2070" w:type="dxa"/>
            <w:vAlign w:val="center"/>
          </w:tcPr>
          <w:p w14:paraId="6C201C16" w14:textId="77777777" w:rsidR="00E959D6" w:rsidRDefault="00E959D6" w:rsidP="00024EAD">
            <w:pPr>
              <w:pStyle w:val="ListParagraph"/>
              <w:numPr>
                <w:ilvl w:val="0"/>
                <w:numId w:val="2"/>
              </w:numPr>
              <w:ind w:left="254" w:hanging="270"/>
              <w:cnfStyle w:val="000000000000" w:firstRow="0" w:lastRow="0" w:firstColumn="0" w:lastColumn="0" w:oddVBand="0" w:evenVBand="0" w:oddHBand="0" w:evenHBand="0" w:firstRowFirstColumn="0" w:firstRowLastColumn="0" w:lastRowFirstColumn="0" w:lastRowLastColumn="0"/>
            </w:pPr>
            <w:r>
              <w:t>Debt note</w:t>
            </w:r>
          </w:p>
          <w:p w14:paraId="26E2775F" w14:textId="77777777" w:rsidR="00E959D6" w:rsidRDefault="00E959D6" w:rsidP="00024EAD">
            <w:pPr>
              <w:pStyle w:val="ListParagraph"/>
              <w:numPr>
                <w:ilvl w:val="0"/>
                <w:numId w:val="2"/>
              </w:numPr>
              <w:ind w:left="254" w:hanging="270"/>
              <w:cnfStyle w:val="000000000000" w:firstRow="0" w:lastRow="0" w:firstColumn="0" w:lastColumn="0" w:oddVBand="0" w:evenVBand="0" w:oddHBand="0" w:evenHBand="0" w:firstRowFirstColumn="0" w:firstRowLastColumn="0" w:lastRowFirstColumn="0" w:lastRowLastColumn="0"/>
            </w:pPr>
            <w:r>
              <w:t>Related Party note</w:t>
            </w:r>
          </w:p>
          <w:p w14:paraId="590A4942" w14:textId="77777777" w:rsidR="00E959D6" w:rsidRDefault="00E959D6" w:rsidP="00024EAD">
            <w:pPr>
              <w:pStyle w:val="ListParagraph"/>
              <w:numPr>
                <w:ilvl w:val="0"/>
                <w:numId w:val="2"/>
              </w:numPr>
              <w:ind w:left="254" w:hanging="270"/>
              <w:cnfStyle w:val="000000000000" w:firstRow="0" w:lastRow="0" w:firstColumn="0" w:lastColumn="0" w:oddVBand="0" w:evenVBand="0" w:oddHBand="0" w:evenHBand="0" w:firstRowFirstColumn="0" w:firstRowLastColumn="0" w:lastRowFirstColumn="0" w:lastRowLastColumn="0"/>
            </w:pPr>
            <w:r>
              <w:t>No equity injection detail is disclosed</w:t>
            </w:r>
          </w:p>
        </w:tc>
        <w:tc>
          <w:tcPr>
            <w:tcW w:w="2520" w:type="dxa"/>
            <w:vAlign w:val="center"/>
          </w:tcPr>
          <w:p w14:paraId="7AA94955" w14:textId="433A20A3" w:rsidR="00E959D6" w:rsidRDefault="00E959D6" w:rsidP="00A05994">
            <w:pPr>
              <w:pStyle w:val="ListParagraph"/>
              <w:numPr>
                <w:ilvl w:val="0"/>
                <w:numId w:val="2"/>
              </w:numPr>
              <w:ind w:left="254" w:hanging="270"/>
              <w:cnfStyle w:val="000000000000" w:firstRow="0" w:lastRow="0" w:firstColumn="0" w:lastColumn="0" w:oddVBand="0" w:evenVBand="0" w:oddHBand="0" w:evenHBand="0" w:firstRowFirstColumn="0" w:firstRowLastColumn="0" w:lastRowFirstColumn="0" w:lastRowLastColumn="0"/>
            </w:pPr>
            <w:r>
              <w:t>MD&amp;A FHT Segment and Liquidity and Capital Resources</w:t>
            </w:r>
          </w:p>
          <w:p w14:paraId="721D7067" w14:textId="77777777" w:rsidR="00E959D6" w:rsidRDefault="00E959D6" w:rsidP="0013173E">
            <w:pPr>
              <w:pStyle w:val="ListParagraph"/>
              <w:numPr>
                <w:ilvl w:val="0"/>
                <w:numId w:val="2"/>
              </w:numPr>
              <w:ind w:left="254" w:hanging="270"/>
              <w:cnfStyle w:val="000000000000" w:firstRow="0" w:lastRow="0" w:firstColumn="0" w:lastColumn="0" w:oddVBand="0" w:evenVBand="0" w:oddHBand="0" w:evenHBand="0" w:firstRowFirstColumn="0" w:firstRowLastColumn="0" w:lastRowFirstColumn="0" w:lastRowLastColumn="0"/>
            </w:pPr>
            <w:r>
              <w:t xml:space="preserve">FS Notes: Related Party Transactions, Debt, and Class A shares (for the equity injection portion)  </w:t>
            </w:r>
          </w:p>
          <w:p w14:paraId="4B6F3259" w14:textId="753353EE" w:rsidR="00E959D6" w:rsidRDefault="00E959D6" w:rsidP="00D064B8">
            <w:pPr>
              <w:pStyle w:val="ListParagraph"/>
              <w:ind w:left="254"/>
              <w:cnfStyle w:val="000000000000" w:firstRow="0" w:lastRow="0" w:firstColumn="0" w:lastColumn="0" w:oddVBand="0" w:evenVBand="0" w:oddHBand="0" w:evenHBand="0" w:firstRowFirstColumn="0" w:firstRowLastColumn="0" w:lastRowFirstColumn="0" w:lastRowLastColumn="0"/>
            </w:pPr>
          </w:p>
        </w:tc>
        <w:tc>
          <w:tcPr>
            <w:tcW w:w="4585" w:type="dxa"/>
            <w:vAlign w:val="center"/>
          </w:tcPr>
          <w:p w14:paraId="03EB4C8A" w14:textId="47683198" w:rsidR="00E959D6" w:rsidRDefault="00E959D6" w:rsidP="007E7682">
            <w:pPr>
              <w:pStyle w:val="ListParagraph"/>
              <w:numPr>
                <w:ilvl w:val="0"/>
                <w:numId w:val="1"/>
              </w:numPr>
              <w:ind w:left="229" w:hanging="229"/>
              <w:cnfStyle w:val="000000000000" w:firstRow="0" w:lastRow="0" w:firstColumn="0" w:lastColumn="0" w:oddVBand="0" w:evenVBand="0" w:oddHBand="0" w:evenHBand="0" w:firstRowFirstColumn="0" w:firstRowLastColumn="0" w:lastRowFirstColumn="0" w:lastRowLastColumn="0"/>
            </w:pPr>
            <w:r>
              <w:t>OPG FS are filed in SEDAR and posted on OPG.com</w:t>
            </w:r>
          </w:p>
          <w:p w14:paraId="74E3F331" w14:textId="77777777" w:rsidR="00E959D6" w:rsidRDefault="00E959D6" w:rsidP="007E7682">
            <w:pPr>
              <w:pStyle w:val="ListParagraph"/>
              <w:numPr>
                <w:ilvl w:val="0"/>
                <w:numId w:val="1"/>
              </w:numPr>
              <w:ind w:left="229" w:hanging="229"/>
              <w:cnfStyle w:val="000000000000" w:firstRow="0" w:lastRow="0" w:firstColumn="0" w:lastColumn="0" w:oddVBand="0" w:evenVBand="0" w:oddHBand="0" w:evenHBand="0" w:firstRowFirstColumn="0" w:firstRowLastColumn="0" w:lastRowFirstColumn="0" w:lastRowLastColumn="0"/>
            </w:pPr>
            <w:r>
              <w:t>FHT Annual FS will be posted on OPG.com</w:t>
            </w:r>
          </w:p>
          <w:p w14:paraId="523B59A1" w14:textId="3976BBB1" w:rsidR="00E959D6" w:rsidRDefault="00E959D6" w:rsidP="00D064B8">
            <w:pPr>
              <w:pStyle w:val="ListParagraph"/>
              <w:numPr>
                <w:ilvl w:val="0"/>
                <w:numId w:val="1"/>
              </w:numPr>
              <w:ind w:left="229" w:hanging="229"/>
              <w:cnfStyle w:val="000000000000" w:firstRow="0" w:lastRow="0" w:firstColumn="0" w:lastColumn="0" w:oddVBand="0" w:evenVBand="0" w:oddHBand="0" w:evenHBand="0" w:firstRowFirstColumn="0" w:firstRowLastColumn="0" w:lastRowFirstColumn="0" w:lastRowLastColumn="0"/>
            </w:pPr>
            <w:r>
              <w:t>Financial Services Manager’s Report is delivered to the Ministry of Energy (MOE)</w:t>
            </w:r>
            <w:r>
              <w:rPr>
                <w:rStyle w:val="FootnoteReference"/>
              </w:rPr>
              <w:footnoteReference w:id="2"/>
            </w:r>
            <w:r>
              <w:t xml:space="preserve"> in confidence and details the cumulative asset and debt balances by tranches.  </w:t>
            </w:r>
            <w:r w:rsidDel="0021462A">
              <w:t xml:space="preserve"> </w:t>
            </w:r>
          </w:p>
        </w:tc>
      </w:tr>
      <w:tr w:rsidR="00E959D6" w14:paraId="667B33A0" w14:textId="77777777" w:rsidTr="008D10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dxa"/>
            <w:vAlign w:val="center"/>
          </w:tcPr>
          <w:p w14:paraId="5AA8FD16" w14:textId="39C08850" w:rsidR="00E959D6" w:rsidRDefault="00E959D6" w:rsidP="00AC1716">
            <w:r>
              <w:t>3</w:t>
            </w:r>
          </w:p>
        </w:tc>
        <w:tc>
          <w:tcPr>
            <w:tcW w:w="1964" w:type="dxa"/>
            <w:vAlign w:val="center"/>
          </w:tcPr>
          <w:p w14:paraId="3FF198A8" w14:textId="4BA02B46" w:rsidR="00E959D6" w:rsidRPr="00E959D6" w:rsidRDefault="00E959D6" w:rsidP="00AC1716">
            <w:pPr>
              <w:cnfStyle w:val="000000100000" w:firstRow="0" w:lastRow="0" w:firstColumn="0" w:lastColumn="0" w:oddVBand="0" w:evenVBand="0" w:oddHBand="1" w:evenHBand="0" w:firstRowFirstColumn="0" w:firstRowLastColumn="0" w:lastRowFirstColumn="0" w:lastRowLastColumn="0"/>
              <w:rPr>
                <w:b/>
              </w:rPr>
            </w:pPr>
            <w:r w:rsidRPr="00E959D6">
              <w:rPr>
                <w:b/>
              </w:rPr>
              <w:t>Third-party senior debt issuances and interest rates</w:t>
            </w:r>
          </w:p>
        </w:tc>
        <w:tc>
          <w:tcPr>
            <w:tcW w:w="1170" w:type="dxa"/>
            <w:vAlign w:val="center"/>
          </w:tcPr>
          <w:p w14:paraId="327A4AA3" w14:textId="77777777" w:rsidR="00E959D6" w:rsidRDefault="00E959D6" w:rsidP="00173F0F">
            <w:pPr>
              <w:cnfStyle w:val="000000100000" w:firstRow="0" w:lastRow="0" w:firstColumn="0" w:lastColumn="0" w:oddVBand="0" w:evenVBand="0" w:oddHBand="1" w:evenHBand="0" w:firstRowFirstColumn="0" w:firstRowLastColumn="0" w:lastRowFirstColumn="0" w:lastRowLastColumn="0"/>
            </w:pPr>
            <w:r>
              <w:t>Recurring</w:t>
            </w:r>
          </w:p>
        </w:tc>
        <w:tc>
          <w:tcPr>
            <w:tcW w:w="2070" w:type="dxa"/>
            <w:vAlign w:val="center"/>
          </w:tcPr>
          <w:p w14:paraId="188E0E62" w14:textId="77777777" w:rsidR="00E959D6" w:rsidRDefault="00E959D6" w:rsidP="00F037A6">
            <w:pPr>
              <w:cnfStyle w:val="000000100000" w:firstRow="0" w:lastRow="0" w:firstColumn="0" w:lastColumn="0" w:oddVBand="0" w:evenVBand="0" w:oddHBand="1" w:evenHBand="0" w:firstRowFirstColumn="0" w:firstRowLastColumn="0" w:lastRowFirstColumn="0" w:lastRowLastColumn="0"/>
            </w:pPr>
            <w:r>
              <w:t>All debt issuances by tranche (including subordinated and junior subordinated) and the related coupon and effective interest rates for each tranche are in the Debt note</w:t>
            </w:r>
          </w:p>
        </w:tc>
        <w:tc>
          <w:tcPr>
            <w:tcW w:w="2520" w:type="dxa"/>
            <w:vAlign w:val="center"/>
          </w:tcPr>
          <w:p w14:paraId="1CCA7DCD" w14:textId="6FFCF22B" w:rsidR="00E959D6" w:rsidRDefault="00E959D6" w:rsidP="0021481A">
            <w:pPr>
              <w:pStyle w:val="ListParagraph"/>
              <w:numPr>
                <w:ilvl w:val="0"/>
                <w:numId w:val="2"/>
              </w:numPr>
              <w:ind w:left="254" w:hanging="270"/>
              <w:cnfStyle w:val="000000100000" w:firstRow="0" w:lastRow="0" w:firstColumn="0" w:lastColumn="0" w:oddVBand="0" w:evenVBand="0" w:oddHBand="1" w:evenHBand="0" w:firstRowFirstColumn="0" w:firstRowLastColumn="0" w:lastRowFirstColumn="0" w:lastRowLastColumn="0"/>
            </w:pPr>
            <w:r>
              <w:t>MD&amp;A FHT Segment, Commitments and Contingency, and Liquidity and Capital Resources</w:t>
            </w:r>
          </w:p>
          <w:p w14:paraId="52CD971A" w14:textId="77777777" w:rsidR="00E959D6" w:rsidRDefault="00E959D6" w:rsidP="00283473">
            <w:pPr>
              <w:pStyle w:val="ListParagraph"/>
              <w:numPr>
                <w:ilvl w:val="0"/>
                <w:numId w:val="2"/>
              </w:numPr>
              <w:ind w:left="254" w:hanging="270"/>
              <w:cnfStyle w:val="000000100000" w:firstRow="0" w:lastRow="0" w:firstColumn="0" w:lastColumn="0" w:oddVBand="0" w:evenVBand="0" w:oddHBand="1" w:evenHBand="0" w:firstRowFirstColumn="0" w:firstRowLastColumn="0" w:lastRowFirstColumn="0" w:lastRowLastColumn="0"/>
            </w:pPr>
            <w:r>
              <w:t>FS Notes: Debt, Commitments and Contingencies, and Business Segment</w:t>
            </w:r>
          </w:p>
          <w:p w14:paraId="1F48DDCB" w14:textId="12DE21AE" w:rsidR="00E959D6" w:rsidRDefault="00E959D6" w:rsidP="00D064B8">
            <w:pPr>
              <w:pStyle w:val="ListParagraph"/>
              <w:ind w:left="254"/>
              <w:cnfStyle w:val="000000100000" w:firstRow="0" w:lastRow="0" w:firstColumn="0" w:lastColumn="0" w:oddVBand="0" w:evenVBand="0" w:oddHBand="1" w:evenHBand="0" w:firstRowFirstColumn="0" w:firstRowLastColumn="0" w:lastRowFirstColumn="0" w:lastRowLastColumn="0"/>
            </w:pPr>
          </w:p>
        </w:tc>
        <w:tc>
          <w:tcPr>
            <w:tcW w:w="4585" w:type="dxa"/>
            <w:vAlign w:val="center"/>
          </w:tcPr>
          <w:p w14:paraId="497170B0" w14:textId="60011948" w:rsidR="00E959D6" w:rsidRDefault="00E959D6" w:rsidP="00173F0F">
            <w:pPr>
              <w:pStyle w:val="ListParagraph"/>
              <w:numPr>
                <w:ilvl w:val="0"/>
                <w:numId w:val="2"/>
              </w:numPr>
              <w:ind w:left="260" w:hanging="274"/>
              <w:contextualSpacing w:val="0"/>
              <w:cnfStyle w:val="000000100000" w:firstRow="0" w:lastRow="0" w:firstColumn="0" w:lastColumn="0" w:oddVBand="0" w:evenVBand="0" w:oddHBand="1" w:evenHBand="0" w:firstRowFirstColumn="0" w:firstRowLastColumn="0" w:lastRowFirstColumn="0" w:lastRowLastColumn="0"/>
            </w:pPr>
            <w:r>
              <w:t>OPG FS are filed in SEDAR and posted on OPG.com</w:t>
            </w:r>
          </w:p>
          <w:p w14:paraId="1FFCF5C4" w14:textId="2533B64D" w:rsidR="00E959D6" w:rsidRDefault="00E959D6" w:rsidP="00173F0F">
            <w:pPr>
              <w:pStyle w:val="ListParagraph"/>
              <w:numPr>
                <w:ilvl w:val="0"/>
                <w:numId w:val="2"/>
              </w:numPr>
              <w:spacing w:line="276" w:lineRule="auto"/>
              <w:ind w:left="260" w:hanging="274"/>
              <w:contextualSpacing w:val="0"/>
              <w:cnfStyle w:val="000000100000" w:firstRow="0" w:lastRow="0" w:firstColumn="0" w:lastColumn="0" w:oddVBand="0" w:evenVBand="0" w:oddHBand="1" w:evenHBand="0" w:firstRowFirstColumn="0" w:firstRowLastColumn="0" w:lastRowFirstColumn="0" w:lastRowLastColumn="0"/>
            </w:pPr>
            <w:r>
              <w:t>FHT Annual FS posted on OPG.com</w:t>
            </w:r>
          </w:p>
          <w:p w14:paraId="466D3446" w14:textId="18A9F6A4" w:rsidR="00E959D6" w:rsidRDefault="00E959D6" w:rsidP="00D064B8">
            <w:pPr>
              <w:pStyle w:val="ListParagraph"/>
              <w:numPr>
                <w:ilvl w:val="0"/>
                <w:numId w:val="2"/>
              </w:numPr>
              <w:spacing w:line="276" w:lineRule="auto"/>
              <w:ind w:left="260" w:hanging="274"/>
              <w:contextualSpacing w:val="0"/>
              <w:cnfStyle w:val="000000100000" w:firstRow="0" w:lastRow="0" w:firstColumn="0" w:lastColumn="0" w:oddVBand="0" w:evenVBand="0" w:oddHBand="1" w:evenHBand="0" w:firstRowFirstColumn="0" w:firstRowLastColumn="0" w:lastRowFirstColumn="0" w:lastRowLastColumn="0"/>
            </w:pPr>
            <w:r>
              <w:t xml:space="preserve">Financial Services Manager’s Report is delivered to the MOE in confidence and details the cumulative asset and debt balances by tranche.  </w:t>
            </w:r>
          </w:p>
        </w:tc>
      </w:tr>
      <w:tr w:rsidR="00E959D6" w14:paraId="52CAF73A" w14:textId="77777777" w:rsidTr="008D1073">
        <w:tc>
          <w:tcPr>
            <w:cnfStyle w:val="001000000000" w:firstRow="0" w:lastRow="0" w:firstColumn="1" w:lastColumn="0" w:oddVBand="0" w:evenVBand="0" w:oddHBand="0" w:evenHBand="0" w:firstRowFirstColumn="0" w:firstRowLastColumn="0" w:lastRowFirstColumn="0" w:lastRowLastColumn="0"/>
            <w:tcW w:w="641" w:type="dxa"/>
            <w:vAlign w:val="center"/>
          </w:tcPr>
          <w:p w14:paraId="0BD17E1A" w14:textId="2A3A304B" w:rsidR="00E959D6" w:rsidRDefault="00E959D6" w:rsidP="00F16DED">
            <w:r>
              <w:t>4</w:t>
            </w:r>
          </w:p>
        </w:tc>
        <w:tc>
          <w:tcPr>
            <w:tcW w:w="1964" w:type="dxa"/>
            <w:vAlign w:val="center"/>
          </w:tcPr>
          <w:p w14:paraId="709F7FC7" w14:textId="20021AF9" w:rsidR="00E959D6" w:rsidRPr="00E959D6" w:rsidRDefault="00E959D6" w:rsidP="00F16DED">
            <w:pPr>
              <w:cnfStyle w:val="000000000000" w:firstRow="0" w:lastRow="0" w:firstColumn="0" w:lastColumn="0" w:oddVBand="0" w:evenVBand="0" w:oddHBand="0" w:evenHBand="0" w:firstRowFirstColumn="0" w:firstRowLastColumn="0" w:lastRowFirstColumn="0" w:lastRowLastColumn="0"/>
              <w:rPr>
                <w:b/>
              </w:rPr>
            </w:pPr>
            <w:r w:rsidRPr="00E959D6">
              <w:rPr>
                <w:b/>
              </w:rPr>
              <w:t xml:space="preserve">OPG’s subordinated and junior subordinated debt interest rates </w:t>
            </w:r>
          </w:p>
        </w:tc>
        <w:tc>
          <w:tcPr>
            <w:tcW w:w="1170" w:type="dxa"/>
            <w:vAlign w:val="center"/>
          </w:tcPr>
          <w:p w14:paraId="31F5E9F5" w14:textId="77777777" w:rsidR="00E959D6" w:rsidRDefault="00E959D6" w:rsidP="00173F0F">
            <w:pPr>
              <w:cnfStyle w:val="000000000000" w:firstRow="0" w:lastRow="0" w:firstColumn="0" w:lastColumn="0" w:oddVBand="0" w:evenVBand="0" w:oddHBand="0" w:evenHBand="0" w:firstRowFirstColumn="0" w:firstRowLastColumn="0" w:lastRowFirstColumn="0" w:lastRowLastColumn="0"/>
            </w:pPr>
            <w:r>
              <w:t>Recurring</w:t>
            </w:r>
          </w:p>
        </w:tc>
        <w:tc>
          <w:tcPr>
            <w:tcW w:w="2070" w:type="dxa"/>
            <w:vAlign w:val="center"/>
          </w:tcPr>
          <w:p w14:paraId="421D2ECD" w14:textId="77777777" w:rsidR="00E959D6" w:rsidRDefault="00E959D6" w:rsidP="004D7269">
            <w:pPr>
              <w:cnfStyle w:val="000000000000" w:firstRow="0" w:lastRow="0" w:firstColumn="0" w:lastColumn="0" w:oddVBand="0" w:evenVBand="0" w:oddHBand="0" w:evenHBand="0" w:firstRowFirstColumn="0" w:firstRowLastColumn="0" w:lastRowFirstColumn="0" w:lastRowLastColumn="0"/>
            </w:pPr>
            <w:r>
              <w:t>All debt issuances by tranche (senior, subordinated and junior subordinated) and the related coupon and effective interest rates for each tranche are in the Debt note</w:t>
            </w:r>
          </w:p>
        </w:tc>
        <w:tc>
          <w:tcPr>
            <w:tcW w:w="2520" w:type="dxa"/>
            <w:vAlign w:val="center"/>
          </w:tcPr>
          <w:p w14:paraId="74993D4B" w14:textId="77777777" w:rsidR="00E959D6" w:rsidRDefault="00E959D6" w:rsidP="006C015D">
            <w:pPr>
              <w:pStyle w:val="ListParagraph"/>
              <w:ind w:left="74"/>
              <w:cnfStyle w:val="000000000000" w:firstRow="0" w:lastRow="0" w:firstColumn="0" w:lastColumn="0" w:oddVBand="0" w:evenVBand="0" w:oddHBand="0" w:evenHBand="0" w:firstRowFirstColumn="0" w:firstRowLastColumn="0" w:lastRowFirstColumn="0" w:lastRowLastColumn="0"/>
            </w:pPr>
            <w:r>
              <w:t>N/A – these are eliminated as intercompany transactions upon consolidation</w:t>
            </w:r>
          </w:p>
        </w:tc>
        <w:tc>
          <w:tcPr>
            <w:tcW w:w="4585" w:type="dxa"/>
            <w:vAlign w:val="center"/>
          </w:tcPr>
          <w:p w14:paraId="3DD295D6" w14:textId="4B67BD68" w:rsidR="00E959D6" w:rsidRDefault="00E959D6" w:rsidP="00D064B8">
            <w:pPr>
              <w:cnfStyle w:val="000000000000" w:firstRow="0" w:lastRow="0" w:firstColumn="0" w:lastColumn="0" w:oddVBand="0" w:evenVBand="0" w:oddHBand="0" w:evenHBand="0" w:firstRowFirstColumn="0" w:firstRowLastColumn="0" w:lastRowFirstColumn="0" w:lastRowLastColumn="0"/>
            </w:pPr>
          </w:p>
        </w:tc>
      </w:tr>
      <w:tr w:rsidR="00E959D6" w14:paraId="6F85C45C" w14:textId="77777777" w:rsidTr="008D10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dxa"/>
            <w:vAlign w:val="center"/>
          </w:tcPr>
          <w:p w14:paraId="5DA7AE9B" w14:textId="155B6ED0" w:rsidR="00E959D6" w:rsidRDefault="00E959D6" w:rsidP="003C134A">
            <w:r>
              <w:t>5</w:t>
            </w:r>
          </w:p>
        </w:tc>
        <w:tc>
          <w:tcPr>
            <w:tcW w:w="1964" w:type="dxa"/>
            <w:vAlign w:val="center"/>
          </w:tcPr>
          <w:p w14:paraId="59175F2C" w14:textId="7EDF7565" w:rsidR="00E959D6" w:rsidRPr="00E959D6" w:rsidRDefault="00E959D6" w:rsidP="003C134A">
            <w:pPr>
              <w:cnfStyle w:val="000000100000" w:firstRow="0" w:lastRow="0" w:firstColumn="0" w:lastColumn="0" w:oddVBand="0" w:evenVBand="0" w:oddHBand="1" w:evenHBand="0" w:firstRowFirstColumn="0" w:firstRowLastColumn="0" w:lastRowFirstColumn="0" w:lastRowLastColumn="0"/>
              <w:rPr>
                <w:b/>
              </w:rPr>
            </w:pPr>
            <w:r w:rsidRPr="00E959D6">
              <w:rPr>
                <w:b/>
              </w:rPr>
              <w:t>OPG’s application for fees as Financial Services Manager</w:t>
            </w:r>
          </w:p>
        </w:tc>
        <w:tc>
          <w:tcPr>
            <w:tcW w:w="1170" w:type="dxa"/>
            <w:vAlign w:val="center"/>
          </w:tcPr>
          <w:p w14:paraId="70AB0468" w14:textId="47929332" w:rsidR="00E959D6" w:rsidRDefault="00E959D6" w:rsidP="003C134A">
            <w:pPr>
              <w:cnfStyle w:val="000000100000" w:firstRow="0" w:lastRow="0" w:firstColumn="0" w:lastColumn="0" w:oddVBand="0" w:evenVBand="0" w:oddHBand="1" w:evenHBand="0" w:firstRowFirstColumn="0" w:firstRowLastColumn="0" w:lastRowFirstColumn="0" w:lastRowLastColumn="0"/>
            </w:pPr>
            <w:r>
              <w:t>Annual</w:t>
            </w:r>
          </w:p>
        </w:tc>
        <w:tc>
          <w:tcPr>
            <w:tcW w:w="2070" w:type="dxa"/>
            <w:vAlign w:val="center"/>
          </w:tcPr>
          <w:p w14:paraId="6BD4F96C" w14:textId="5D25B33D" w:rsidR="00E959D6" w:rsidRDefault="00E959D6" w:rsidP="003C134A">
            <w:pPr>
              <w:cnfStyle w:val="000000100000" w:firstRow="0" w:lastRow="0" w:firstColumn="0" w:lastColumn="0" w:oddVBand="0" w:evenVBand="0" w:oddHBand="1" w:evenHBand="0" w:firstRowFirstColumn="0" w:firstRowLastColumn="0" w:lastRowFirstColumn="0" w:lastRowLastColumn="0"/>
            </w:pPr>
            <w:r>
              <w:t>Proposed fees are disclosed in the Payable to OPG and Related Party Transaction notes</w:t>
            </w:r>
          </w:p>
        </w:tc>
        <w:tc>
          <w:tcPr>
            <w:tcW w:w="2520" w:type="dxa"/>
            <w:vAlign w:val="center"/>
          </w:tcPr>
          <w:p w14:paraId="647196F3" w14:textId="5A5D4BA5" w:rsidR="00E959D6" w:rsidRDefault="00E959D6" w:rsidP="008F35AD">
            <w:pPr>
              <w:ind w:left="-16"/>
              <w:cnfStyle w:val="000000100000" w:firstRow="0" w:lastRow="0" w:firstColumn="0" w:lastColumn="0" w:oddVBand="0" w:evenVBand="0" w:oddHBand="1" w:evenHBand="0" w:firstRowFirstColumn="0" w:firstRowLastColumn="0" w:lastRowFirstColumn="0" w:lastRowLastColumn="0"/>
            </w:pPr>
            <w:r>
              <w:t xml:space="preserve">Proposed fees are disclosed in the </w:t>
            </w:r>
            <w:r w:rsidRPr="00373E82">
              <w:t>Related Party Transaction note</w:t>
            </w:r>
            <w:r>
              <w:t xml:space="preserve"> and in the MD&amp;A FHT Segment for the Ontario Energy Board’s (OEB) decision</w:t>
            </w:r>
          </w:p>
        </w:tc>
        <w:tc>
          <w:tcPr>
            <w:tcW w:w="4585" w:type="dxa"/>
            <w:vAlign w:val="center"/>
          </w:tcPr>
          <w:p w14:paraId="74B8C5B6" w14:textId="7E897C9E" w:rsidR="00E959D6" w:rsidRDefault="00E959D6" w:rsidP="003C134A">
            <w:pPr>
              <w:pStyle w:val="ListParagraph"/>
              <w:numPr>
                <w:ilvl w:val="0"/>
                <w:numId w:val="2"/>
              </w:numPr>
              <w:ind w:left="254" w:hanging="270"/>
              <w:cnfStyle w:val="000000100000" w:firstRow="0" w:lastRow="0" w:firstColumn="0" w:lastColumn="0" w:oddVBand="0" w:evenVBand="0" w:oddHBand="1" w:evenHBand="0" w:firstRowFirstColumn="0" w:firstRowLastColumn="0" w:lastRowFirstColumn="0" w:lastRowLastColumn="0"/>
            </w:pPr>
            <w:r>
              <w:t xml:space="preserve">Application for OPG’s fees as Financial Services Manager is submitted to the OEB and uses the </w:t>
            </w:r>
            <w:r w:rsidRPr="008C20D5">
              <w:rPr>
                <w:u w:val="single"/>
              </w:rPr>
              <w:t>forecast</w:t>
            </w:r>
            <w:r>
              <w:t xml:space="preserve"> </w:t>
            </w:r>
            <w:r w:rsidRPr="008C20D5">
              <w:t>average</w:t>
            </w:r>
            <w:r>
              <w:t xml:space="preserve"> monthly asset balance to calculate the base fee.  Public visibility is determined by the OEB</w:t>
            </w:r>
          </w:p>
        </w:tc>
      </w:tr>
      <w:tr w:rsidR="00E959D6" w14:paraId="7B2F66C6" w14:textId="77777777" w:rsidTr="008D1073">
        <w:trPr>
          <w:trHeight w:val="1457"/>
        </w:trPr>
        <w:tc>
          <w:tcPr>
            <w:cnfStyle w:val="001000000000" w:firstRow="0" w:lastRow="0" w:firstColumn="1" w:lastColumn="0" w:oddVBand="0" w:evenVBand="0" w:oddHBand="0" w:evenHBand="0" w:firstRowFirstColumn="0" w:firstRowLastColumn="0" w:lastRowFirstColumn="0" w:lastRowLastColumn="0"/>
            <w:tcW w:w="641" w:type="dxa"/>
          </w:tcPr>
          <w:p w14:paraId="7CAA32C7" w14:textId="69200EC6" w:rsidR="00E959D6" w:rsidRDefault="00E959D6" w:rsidP="003C134A">
            <w:r>
              <w:t>6</w:t>
            </w:r>
          </w:p>
        </w:tc>
        <w:tc>
          <w:tcPr>
            <w:tcW w:w="1964" w:type="dxa"/>
            <w:vAlign w:val="center"/>
          </w:tcPr>
          <w:p w14:paraId="4F7B46A8" w14:textId="04E26786" w:rsidR="00E959D6" w:rsidRPr="00E959D6" w:rsidRDefault="00E959D6" w:rsidP="003C134A">
            <w:pPr>
              <w:cnfStyle w:val="000000000000" w:firstRow="0" w:lastRow="0" w:firstColumn="0" w:lastColumn="0" w:oddVBand="0" w:evenVBand="0" w:oddHBand="0" w:evenHBand="0" w:firstRowFirstColumn="0" w:firstRowLastColumn="0" w:lastRowFirstColumn="0" w:lastRowLastColumn="0"/>
              <w:rPr>
                <w:b/>
              </w:rPr>
            </w:pPr>
            <w:r w:rsidRPr="00E959D6">
              <w:rPr>
                <w:b/>
              </w:rPr>
              <w:t>FHT’s carrying costs</w:t>
            </w:r>
          </w:p>
        </w:tc>
        <w:tc>
          <w:tcPr>
            <w:tcW w:w="1170" w:type="dxa"/>
            <w:vAlign w:val="center"/>
          </w:tcPr>
          <w:p w14:paraId="47528C06" w14:textId="77777777" w:rsidR="00E959D6" w:rsidRDefault="00E959D6" w:rsidP="00173F0F">
            <w:pPr>
              <w:cnfStyle w:val="000000000000" w:firstRow="0" w:lastRow="0" w:firstColumn="0" w:lastColumn="0" w:oddVBand="0" w:evenVBand="0" w:oddHBand="0" w:evenHBand="0" w:firstRowFirstColumn="0" w:firstRowLastColumn="0" w:lastRowFirstColumn="0" w:lastRowLastColumn="0"/>
            </w:pPr>
            <w:r>
              <w:t>Annual</w:t>
            </w:r>
          </w:p>
        </w:tc>
        <w:tc>
          <w:tcPr>
            <w:tcW w:w="2070" w:type="dxa"/>
            <w:vAlign w:val="center"/>
          </w:tcPr>
          <w:p w14:paraId="44D298B9" w14:textId="77777777" w:rsidR="00E959D6" w:rsidRDefault="00E959D6" w:rsidP="003C134A">
            <w:pPr>
              <w:cnfStyle w:val="000000000000" w:firstRow="0" w:lastRow="0" w:firstColumn="0" w:lastColumn="0" w:oddVBand="0" w:evenVBand="0" w:oddHBand="0" w:evenHBand="0" w:firstRowFirstColumn="0" w:firstRowLastColumn="0" w:lastRowFirstColumn="0" w:lastRowLastColumn="0"/>
            </w:pPr>
            <w:r>
              <w:t>N/A</w:t>
            </w:r>
          </w:p>
        </w:tc>
        <w:tc>
          <w:tcPr>
            <w:tcW w:w="2520" w:type="dxa"/>
            <w:vAlign w:val="center"/>
          </w:tcPr>
          <w:p w14:paraId="5E39C32D" w14:textId="77777777" w:rsidR="00E959D6" w:rsidRDefault="00E959D6" w:rsidP="003C134A">
            <w:pPr>
              <w:pStyle w:val="ListParagraph"/>
              <w:ind w:left="74"/>
              <w:cnfStyle w:val="000000000000" w:firstRow="0" w:lastRow="0" w:firstColumn="0" w:lastColumn="0" w:oddVBand="0" w:evenVBand="0" w:oddHBand="0" w:evenHBand="0" w:firstRowFirstColumn="0" w:firstRowLastColumn="0" w:lastRowFirstColumn="0" w:lastRowLastColumn="0"/>
            </w:pPr>
            <w:r>
              <w:t>N/A</w:t>
            </w:r>
          </w:p>
        </w:tc>
        <w:tc>
          <w:tcPr>
            <w:tcW w:w="4585" w:type="dxa"/>
            <w:vAlign w:val="center"/>
          </w:tcPr>
          <w:p w14:paraId="69018A9C" w14:textId="69CA8B05" w:rsidR="00E959D6" w:rsidRDefault="00E959D6" w:rsidP="00173F0F">
            <w:pPr>
              <w:pStyle w:val="ListParagraph"/>
              <w:numPr>
                <w:ilvl w:val="0"/>
                <w:numId w:val="2"/>
              </w:numPr>
              <w:ind w:left="254" w:hanging="270"/>
              <w:cnfStyle w:val="000000000000" w:firstRow="0" w:lastRow="0" w:firstColumn="0" w:lastColumn="0" w:oddVBand="0" w:evenVBand="0" w:oddHBand="0" w:evenHBand="0" w:firstRowFirstColumn="0" w:firstRowLastColumn="0" w:lastRowFirstColumn="0" w:lastRowLastColumn="0"/>
            </w:pPr>
            <w:r>
              <w:t>Financial Services Manager’s Report is delivered to the MOE in confidence and details the total annual carrying costs of FHT funded by the IESO.  Any further public disclosure will be subject to any applicable definitive agreements</w:t>
            </w:r>
          </w:p>
        </w:tc>
      </w:tr>
      <w:tr w:rsidR="00790313" w14:paraId="3F69992D" w14:textId="77777777" w:rsidTr="008D1073">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641" w:type="dxa"/>
            <w:vAlign w:val="center"/>
          </w:tcPr>
          <w:p w14:paraId="6BAE751A" w14:textId="51262F82" w:rsidR="00790313" w:rsidRDefault="00790313" w:rsidP="003C134A">
            <w:r>
              <w:t>7</w:t>
            </w:r>
          </w:p>
        </w:tc>
        <w:tc>
          <w:tcPr>
            <w:tcW w:w="1964" w:type="dxa"/>
            <w:vAlign w:val="center"/>
          </w:tcPr>
          <w:p w14:paraId="1ECF65C0" w14:textId="63BBF176" w:rsidR="00790313" w:rsidRPr="00E959D6" w:rsidRDefault="00790313" w:rsidP="003C134A">
            <w:pPr>
              <w:cnfStyle w:val="000000100000" w:firstRow="0" w:lastRow="0" w:firstColumn="0" w:lastColumn="0" w:oddVBand="0" w:evenVBand="0" w:oddHBand="1" w:evenHBand="0" w:firstRowFirstColumn="0" w:firstRowLastColumn="0" w:lastRowFirstColumn="0" w:lastRowLastColumn="0"/>
              <w:rPr>
                <w:b/>
              </w:rPr>
            </w:pPr>
            <w:r>
              <w:rPr>
                <w:b/>
              </w:rPr>
              <w:t>Overall FHT effective interest rate</w:t>
            </w:r>
          </w:p>
        </w:tc>
        <w:tc>
          <w:tcPr>
            <w:tcW w:w="1170" w:type="dxa"/>
            <w:vAlign w:val="center"/>
          </w:tcPr>
          <w:p w14:paraId="157F419B" w14:textId="0C4F6FDA" w:rsidR="00790313" w:rsidRDefault="00790313" w:rsidP="00173F0F">
            <w:pPr>
              <w:cnfStyle w:val="000000100000" w:firstRow="0" w:lastRow="0" w:firstColumn="0" w:lastColumn="0" w:oddVBand="0" w:evenVBand="0" w:oddHBand="1" w:evenHBand="0" w:firstRowFirstColumn="0" w:firstRowLastColumn="0" w:lastRowFirstColumn="0" w:lastRowLastColumn="0"/>
            </w:pPr>
            <w:r>
              <w:t>Annual</w:t>
            </w:r>
          </w:p>
        </w:tc>
        <w:tc>
          <w:tcPr>
            <w:tcW w:w="2070" w:type="dxa"/>
            <w:vAlign w:val="center"/>
          </w:tcPr>
          <w:p w14:paraId="5C4B36CE" w14:textId="77777777" w:rsidR="00790313" w:rsidRDefault="00790313" w:rsidP="003C134A">
            <w:pPr>
              <w:cnfStyle w:val="000000100000" w:firstRow="0" w:lastRow="0" w:firstColumn="0" w:lastColumn="0" w:oddVBand="0" w:evenVBand="0" w:oddHBand="1" w:evenHBand="0" w:firstRowFirstColumn="0" w:firstRowLastColumn="0" w:lastRowFirstColumn="0" w:lastRowLastColumn="0"/>
            </w:pPr>
            <w:r>
              <w:t>NOT REQUIRED UNDER USGAAP</w:t>
            </w:r>
          </w:p>
          <w:p w14:paraId="07938E76" w14:textId="77777777" w:rsidR="00790313" w:rsidRDefault="00790313" w:rsidP="003C134A">
            <w:pPr>
              <w:cnfStyle w:val="000000100000" w:firstRow="0" w:lastRow="0" w:firstColumn="0" w:lastColumn="0" w:oddVBand="0" w:evenVBand="0" w:oddHBand="1" w:evenHBand="0" w:firstRowFirstColumn="0" w:firstRowLastColumn="0" w:lastRowFirstColumn="0" w:lastRowLastColumn="0"/>
            </w:pPr>
            <w:r>
              <w:t xml:space="preserve">A weighted average cost of financing including senior and subordinated debt </w:t>
            </w:r>
          </w:p>
          <w:p w14:paraId="4E049C64" w14:textId="0A480279" w:rsidR="00790313" w:rsidRDefault="00790313" w:rsidP="003C134A">
            <w:pPr>
              <w:cnfStyle w:val="000000100000" w:firstRow="0" w:lastRow="0" w:firstColumn="0" w:lastColumn="0" w:oddVBand="0" w:evenVBand="0" w:oddHBand="1" w:evenHBand="0" w:firstRowFirstColumn="0" w:firstRowLastColumn="0" w:lastRowFirstColumn="0" w:lastRowLastColumn="0"/>
            </w:pPr>
          </w:p>
        </w:tc>
        <w:tc>
          <w:tcPr>
            <w:tcW w:w="2520" w:type="dxa"/>
            <w:vAlign w:val="center"/>
          </w:tcPr>
          <w:p w14:paraId="21F0944D" w14:textId="3590385F" w:rsidR="00790313" w:rsidRDefault="00790313" w:rsidP="003C134A">
            <w:pPr>
              <w:pStyle w:val="ListParagraph"/>
              <w:ind w:left="74"/>
              <w:cnfStyle w:val="000000100000" w:firstRow="0" w:lastRow="0" w:firstColumn="0" w:lastColumn="0" w:oddVBand="0" w:evenVBand="0" w:oddHBand="1" w:evenHBand="0" w:firstRowFirstColumn="0" w:firstRowLastColumn="0" w:lastRowFirstColumn="0" w:lastRowLastColumn="0"/>
            </w:pPr>
            <w:r>
              <w:t xml:space="preserve">N/A as subordinated debt is eliminated </w:t>
            </w:r>
          </w:p>
        </w:tc>
        <w:tc>
          <w:tcPr>
            <w:tcW w:w="4585" w:type="dxa"/>
            <w:vAlign w:val="center"/>
          </w:tcPr>
          <w:p w14:paraId="5503FAE2" w14:textId="77777777" w:rsidR="00790313" w:rsidRDefault="00790313" w:rsidP="00790313">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Voluntary disclosure that provides overall cost of FHT financing activities as a blended rate that is impacting consumers overall</w:t>
            </w:r>
          </w:p>
          <w:p w14:paraId="25761DFF" w14:textId="6E5F117C" w:rsidR="00790313" w:rsidRDefault="00790313" w:rsidP="00A21F07">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Propose to disclose annually as part of FHT statements posted</w:t>
            </w:r>
            <w:r w:rsidR="00A21F07">
              <w:t xml:space="preserve"> </w:t>
            </w:r>
            <w:r>
              <w:t>o</w:t>
            </w:r>
            <w:r w:rsidR="00A21F07">
              <w:t>n</w:t>
            </w:r>
            <w:bookmarkStart w:id="0" w:name="_GoBack"/>
            <w:bookmarkEnd w:id="0"/>
            <w:r>
              <w:t xml:space="preserve"> OPG.com</w:t>
            </w:r>
          </w:p>
        </w:tc>
      </w:tr>
      <w:tr w:rsidR="00E959D6" w14:paraId="07682D92" w14:textId="77777777" w:rsidTr="008D1073">
        <w:trPr>
          <w:trHeight w:val="980"/>
        </w:trPr>
        <w:tc>
          <w:tcPr>
            <w:cnfStyle w:val="001000000000" w:firstRow="0" w:lastRow="0" w:firstColumn="1" w:lastColumn="0" w:oddVBand="0" w:evenVBand="0" w:oddHBand="0" w:evenHBand="0" w:firstRowFirstColumn="0" w:firstRowLastColumn="0" w:lastRowFirstColumn="0" w:lastRowLastColumn="0"/>
            <w:tcW w:w="641" w:type="dxa"/>
            <w:vAlign w:val="center"/>
          </w:tcPr>
          <w:p w14:paraId="2AB32DE7" w14:textId="240753D3" w:rsidR="00E959D6" w:rsidRDefault="00790313" w:rsidP="003C134A">
            <w:r>
              <w:t>8</w:t>
            </w:r>
          </w:p>
        </w:tc>
        <w:tc>
          <w:tcPr>
            <w:tcW w:w="1964" w:type="dxa"/>
            <w:vAlign w:val="center"/>
          </w:tcPr>
          <w:p w14:paraId="6486AD8B" w14:textId="286AF7DA" w:rsidR="00E959D6" w:rsidRPr="00E959D6" w:rsidRDefault="00E959D6" w:rsidP="003C134A">
            <w:pPr>
              <w:cnfStyle w:val="000000000000" w:firstRow="0" w:lastRow="0" w:firstColumn="0" w:lastColumn="0" w:oddVBand="0" w:evenVBand="0" w:oddHBand="0" w:evenHBand="0" w:firstRowFirstColumn="0" w:firstRowLastColumn="0" w:lastRowFirstColumn="0" w:lastRowLastColumn="0"/>
              <w:rPr>
                <w:b/>
              </w:rPr>
            </w:pPr>
            <w:r w:rsidRPr="00E959D6">
              <w:rPr>
                <w:b/>
              </w:rPr>
              <w:t>FHT’s Financing Plan</w:t>
            </w:r>
          </w:p>
        </w:tc>
        <w:tc>
          <w:tcPr>
            <w:tcW w:w="1170" w:type="dxa"/>
            <w:vAlign w:val="center"/>
          </w:tcPr>
          <w:p w14:paraId="1DBC91D4" w14:textId="77777777" w:rsidR="00E959D6" w:rsidRDefault="00E959D6" w:rsidP="00173F0F">
            <w:pPr>
              <w:cnfStyle w:val="000000000000" w:firstRow="0" w:lastRow="0" w:firstColumn="0" w:lastColumn="0" w:oddVBand="0" w:evenVBand="0" w:oddHBand="0" w:evenHBand="0" w:firstRowFirstColumn="0" w:firstRowLastColumn="0" w:lastRowFirstColumn="0" w:lastRowLastColumn="0"/>
            </w:pPr>
            <w:r>
              <w:t>As required</w:t>
            </w:r>
          </w:p>
        </w:tc>
        <w:tc>
          <w:tcPr>
            <w:tcW w:w="2070" w:type="dxa"/>
            <w:vAlign w:val="center"/>
          </w:tcPr>
          <w:p w14:paraId="66332DCE" w14:textId="77777777" w:rsidR="00E959D6" w:rsidRDefault="00E959D6" w:rsidP="003C134A">
            <w:pPr>
              <w:cnfStyle w:val="000000000000" w:firstRow="0" w:lastRow="0" w:firstColumn="0" w:lastColumn="0" w:oddVBand="0" w:evenVBand="0" w:oddHBand="0" w:evenHBand="0" w:firstRowFirstColumn="0" w:firstRowLastColumn="0" w:lastRowFirstColumn="0" w:lastRowLastColumn="0"/>
            </w:pPr>
            <w:r>
              <w:t>N/A</w:t>
            </w:r>
          </w:p>
        </w:tc>
        <w:tc>
          <w:tcPr>
            <w:tcW w:w="2520" w:type="dxa"/>
            <w:vAlign w:val="center"/>
          </w:tcPr>
          <w:p w14:paraId="54713617" w14:textId="77777777" w:rsidR="00E959D6" w:rsidRDefault="00E959D6" w:rsidP="003C134A">
            <w:pPr>
              <w:pStyle w:val="ListParagraph"/>
              <w:ind w:left="74"/>
              <w:cnfStyle w:val="000000000000" w:firstRow="0" w:lastRow="0" w:firstColumn="0" w:lastColumn="0" w:oddVBand="0" w:evenVBand="0" w:oddHBand="0" w:evenHBand="0" w:firstRowFirstColumn="0" w:firstRowLastColumn="0" w:lastRowFirstColumn="0" w:lastRowLastColumn="0"/>
            </w:pPr>
            <w:r>
              <w:t>N/A</w:t>
            </w:r>
          </w:p>
        </w:tc>
        <w:tc>
          <w:tcPr>
            <w:tcW w:w="4585" w:type="dxa"/>
            <w:vAlign w:val="center"/>
          </w:tcPr>
          <w:p w14:paraId="1634ECAC" w14:textId="189332F1" w:rsidR="00E959D6" w:rsidRDefault="00E959D6" w:rsidP="003C134A">
            <w:pPr>
              <w:pStyle w:val="ListParagraph"/>
              <w:numPr>
                <w:ilvl w:val="0"/>
                <w:numId w:val="2"/>
              </w:numPr>
              <w:ind w:left="254" w:hanging="270"/>
              <w:cnfStyle w:val="000000000000" w:firstRow="0" w:lastRow="0" w:firstColumn="0" w:lastColumn="0" w:oddVBand="0" w:evenVBand="0" w:oddHBand="0" w:evenHBand="0" w:firstRowFirstColumn="0" w:firstRowLastColumn="0" w:lastRowFirstColumn="0" w:lastRowLastColumn="0"/>
            </w:pPr>
            <w:r>
              <w:t xml:space="preserve">Delivered to the MOE in confidence as required by the </w:t>
            </w:r>
            <w:r>
              <w:rPr>
                <w:i/>
              </w:rPr>
              <w:t>Ontario Fair Hydro Plan Act, 2017</w:t>
            </w:r>
            <w:r>
              <w:t>.  Any further public disclosure will be subject to any applicable definitive agreements</w:t>
            </w:r>
          </w:p>
        </w:tc>
      </w:tr>
      <w:tr w:rsidR="00E959D6" w14:paraId="4894FBEA" w14:textId="77777777" w:rsidTr="008D10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dxa"/>
            <w:vAlign w:val="center"/>
          </w:tcPr>
          <w:p w14:paraId="67FF5F66" w14:textId="3EB7B6B9" w:rsidR="00E959D6" w:rsidRDefault="00790313" w:rsidP="003C134A">
            <w:r>
              <w:t>9</w:t>
            </w:r>
          </w:p>
        </w:tc>
        <w:tc>
          <w:tcPr>
            <w:tcW w:w="1964" w:type="dxa"/>
            <w:vAlign w:val="center"/>
          </w:tcPr>
          <w:p w14:paraId="42A8FE86" w14:textId="36F4CA3D" w:rsidR="00E959D6" w:rsidRPr="00E959D6" w:rsidRDefault="00E959D6" w:rsidP="003C134A">
            <w:pPr>
              <w:cnfStyle w:val="000000100000" w:firstRow="0" w:lastRow="0" w:firstColumn="0" w:lastColumn="0" w:oddVBand="0" w:evenVBand="0" w:oddHBand="1" w:evenHBand="0" w:firstRowFirstColumn="0" w:firstRowLastColumn="0" w:lastRowFirstColumn="0" w:lastRowLastColumn="0"/>
              <w:rPr>
                <w:b/>
              </w:rPr>
            </w:pPr>
            <w:r w:rsidRPr="00E959D6">
              <w:rPr>
                <w:b/>
              </w:rPr>
              <w:t>Offering memorandum and Investor presentations</w:t>
            </w:r>
          </w:p>
        </w:tc>
        <w:tc>
          <w:tcPr>
            <w:tcW w:w="1170" w:type="dxa"/>
            <w:vAlign w:val="center"/>
          </w:tcPr>
          <w:p w14:paraId="68393544" w14:textId="77777777" w:rsidR="00E959D6" w:rsidRDefault="00E959D6" w:rsidP="00173F0F">
            <w:pPr>
              <w:cnfStyle w:val="000000100000" w:firstRow="0" w:lastRow="0" w:firstColumn="0" w:lastColumn="0" w:oddVBand="0" w:evenVBand="0" w:oddHBand="1" w:evenHBand="0" w:firstRowFirstColumn="0" w:firstRowLastColumn="0" w:lastRowFirstColumn="0" w:lastRowLastColumn="0"/>
            </w:pPr>
            <w:r>
              <w:t>Recurring, with external debt issuances</w:t>
            </w:r>
          </w:p>
        </w:tc>
        <w:tc>
          <w:tcPr>
            <w:tcW w:w="2070" w:type="dxa"/>
            <w:vAlign w:val="center"/>
          </w:tcPr>
          <w:p w14:paraId="75BD62B1" w14:textId="77777777" w:rsidR="00E959D6" w:rsidRDefault="00E959D6" w:rsidP="003C134A">
            <w:pPr>
              <w:cnfStyle w:val="000000100000" w:firstRow="0" w:lastRow="0" w:firstColumn="0" w:lastColumn="0" w:oddVBand="0" w:evenVBand="0" w:oddHBand="1" w:evenHBand="0" w:firstRowFirstColumn="0" w:firstRowLastColumn="0" w:lastRowFirstColumn="0" w:lastRowLastColumn="0"/>
            </w:pPr>
            <w:r>
              <w:t>N/A</w:t>
            </w:r>
          </w:p>
        </w:tc>
        <w:tc>
          <w:tcPr>
            <w:tcW w:w="2520" w:type="dxa"/>
            <w:vAlign w:val="center"/>
          </w:tcPr>
          <w:p w14:paraId="7D801D34" w14:textId="77777777" w:rsidR="00E959D6" w:rsidRDefault="00E959D6" w:rsidP="003C134A">
            <w:pPr>
              <w:pStyle w:val="ListParagraph"/>
              <w:ind w:left="74"/>
              <w:cnfStyle w:val="000000100000" w:firstRow="0" w:lastRow="0" w:firstColumn="0" w:lastColumn="0" w:oddVBand="0" w:evenVBand="0" w:oddHBand="1" w:evenHBand="0" w:firstRowFirstColumn="0" w:firstRowLastColumn="0" w:lastRowFirstColumn="0" w:lastRowLastColumn="0"/>
            </w:pPr>
            <w:r>
              <w:t>N/A</w:t>
            </w:r>
          </w:p>
        </w:tc>
        <w:tc>
          <w:tcPr>
            <w:tcW w:w="4585" w:type="dxa"/>
            <w:vAlign w:val="center"/>
          </w:tcPr>
          <w:p w14:paraId="36ED4C4D" w14:textId="34B40DD2" w:rsidR="00E959D6" w:rsidRDefault="00E959D6" w:rsidP="003C134A">
            <w:pPr>
              <w:pStyle w:val="ListParagraph"/>
              <w:numPr>
                <w:ilvl w:val="0"/>
                <w:numId w:val="2"/>
              </w:numPr>
              <w:ind w:left="254" w:hanging="270"/>
              <w:cnfStyle w:val="000000100000" w:firstRow="0" w:lastRow="0" w:firstColumn="0" w:lastColumn="0" w:oddVBand="0" w:evenVBand="0" w:oddHBand="1" w:evenHBand="0" w:firstRowFirstColumn="0" w:firstRowLastColumn="0" w:lastRowFirstColumn="0" w:lastRowLastColumn="0"/>
            </w:pPr>
            <w:r>
              <w:t>Provided to potential investors in confidence</w:t>
            </w:r>
          </w:p>
        </w:tc>
      </w:tr>
      <w:tr w:rsidR="00E959D6" w14:paraId="7911FB86" w14:textId="77777777" w:rsidTr="008D1073">
        <w:tc>
          <w:tcPr>
            <w:cnfStyle w:val="001000000000" w:firstRow="0" w:lastRow="0" w:firstColumn="1" w:lastColumn="0" w:oddVBand="0" w:evenVBand="0" w:oddHBand="0" w:evenHBand="0" w:firstRowFirstColumn="0" w:firstRowLastColumn="0" w:lastRowFirstColumn="0" w:lastRowLastColumn="0"/>
            <w:tcW w:w="641" w:type="dxa"/>
            <w:vAlign w:val="center"/>
          </w:tcPr>
          <w:p w14:paraId="35039DC0" w14:textId="45E82AB7" w:rsidR="00E959D6" w:rsidRDefault="00790313" w:rsidP="003C134A">
            <w:r>
              <w:t>10</w:t>
            </w:r>
          </w:p>
        </w:tc>
        <w:tc>
          <w:tcPr>
            <w:tcW w:w="1964" w:type="dxa"/>
            <w:vAlign w:val="center"/>
          </w:tcPr>
          <w:p w14:paraId="169126F6" w14:textId="4AFBB2B5" w:rsidR="00E959D6" w:rsidRPr="00E959D6" w:rsidRDefault="00E959D6" w:rsidP="003C134A">
            <w:pPr>
              <w:cnfStyle w:val="000000000000" w:firstRow="0" w:lastRow="0" w:firstColumn="0" w:lastColumn="0" w:oddVBand="0" w:evenVBand="0" w:oddHBand="0" w:evenHBand="0" w:firstRowFirstColumn="0" w:firstRowLastColumn="0" w:lastRowFirstColumn="0" w:lastRowLastColumn="0"/>
              <w:rPr>
                <w:b/>
              </w:rPr>
            </w:pPr>
            <w:r w:rsidRPr="00E959D6">
              <w:rPr>
                <w:b/>
              </w:rPr>
              <w:t>OPG’s semi-annual investor calls – slide decks and call transcripts</w:t>
            </w:r>
          </w:p>
        </w:tc>
        <w:tc>
          <w:tcPr>
            <w:tcW w:w="1170" w:type="dxa"/>
            <w:vAlign w:val="center"/>
          </w:tcPr>
          <w:p w14:paraId="599074DF" w14:textId="77777777" w:rsidR="00E959D6" w:rsidRDefault="00E959D6" w:rsidP="005351B1">
            <w:pPr>
              <w:cnfStyle w:val="000000000000" w:firstRow="0" w:lastRow="0" w:firstColumn="0" w:lastColumn="0" w:oddVBand="0" w:evenVBand="0" w:oddHBand="0" w:evenHBand="0" w:firstRowFirstColumn="0" w:firstRowLastColumn="0" w:lastRowFirstColumn="0" w:lastRowLastColumn="0"/>
            </w:pPr>
            <w:r>
              <w:t>Semi-annual</w:t>
            </w:r>
          </w:p>
        </w:tc>
        <w:tc>
          <w:tcPr>
            <w:tcW w:w="2070" w:type="dxa"/>
            <w:vAlign w:val="center"/>
          </w:tcPr>
          <w:p w14:paraId="15E0701F" w14:textId="77777777" w:rsidR="00E959D6" w:rsidRDefault="00E959D6" w:rsidP="003C134A">
            <w:pPr>
              <w:cnfStyle w:val="000000000000" w:firstRow="0" w:lastRow="0" w:firstColumn="0" w:lastColumn="0" w:oddVBand="0" w:evenVBand="0" w:oddHBand="0" w:evenHBand="0" w:firstRowFirstColumn="0" w:firstRowLastColumn="0" w:lastRowFirstColumn="0" w:lastRowLastColumn="0"/>
            </w:pPr>
            <w:r>
              <w:t>N/A</w:t>
            </w:r>
          </w:p>
        </w:tc>
        <w:tc>
          <w:tcPr>
            <w:tcW w:w="2520" w:type="dxa"/>
            <w:vAlign w:val="center"/>
          </w:tcPr>
          <w:p w14:paraId="5E3A1852" w14:textId="77777777" w:rsidR="00E959D6" w:rsidRDefault="00E959D6" w:rsidP="003C134A">
            <w:pPr>
              <w:pStyle w:val="ListParagraph"/>
              <w:ind w:left="74"/>
              <w:cnfStyle w:val="000000000000" w:firstRow="0" w:lastRow="0" w:firstColumn="0" w:lastColumn="0" w:oddVBand="0" w:evenVBand="0" w:oddHBand="0" w:evenHBand="0" w:firstRowFirstColumn="0" w:firstRowLastColumn="0" w:lastRowFirstColumn="0" w:lastRowLastColumn="0"/>
            </w:pPr>
            <w:r>
              <w:t>N/A</w:t>
            </w:r>
          </w:p>
        </w:tc>
        <w:tc>
          <w:tcPr>
            <w:tcW w:w="4585" w:type="dxa"/>
            <w:vAlign w:val="center"/>
          </w:tcPr>
          <w:p w14:paraId="75C3F16E" w14:textId="77777777" w:rsidR="00E959D6" w:rsidRDefault="00E959D6" w:rsidP="003C134A">
            <w:pPr>
              <w:pStyle w:val="ListParagraph"/>
              <w:numPr>
                <w:ilvl w:val="0"/>
                <w:numId w:val="2"/>
              </w:numPr>
              <w:ind w:left="254" w:hanging="270"/>
              <w:cnfStyle w:val="000000000000" w:firstRow="0" w:lastRow="0" w:firstColumn="0" w:lastColumn="0" w:oddVBand="0" w:evenVBand="0" w:oddHBand="0" w:evenHBand="0" w:firstRowFirstColumn="0" w:firstRowLastColumn="0" w:lastRowFirstColumn="0" w:lastRowLastColumn="0"/>
            </w:pPr>
            <w:r>
              <w:t>Posted on OPG.com</w:t>
            </w:r>
          </w:p>
        </w:tc>
      </w:tr>
      <w:tr w:rsidR="00E959D6" w14:paraId="0E94F6E9" w14:textId="77777777" w:rsidTr="008D10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dxa"/>
            <w:vAlign w:val="center"/>
          </w:tcPr>
          <w:p w14:paraId="126AF3C0" w14:textId="327DF588" w:rsidR="00E959D6" w:rsidRDefault="00790313" w:rsidP="003C134A">
            <w:r>
              <w:t>11</w:t>
            </w:r>
          </w:p>
        </w:tc>
        <w:tc>
          <w:tcPr>
            <w:tcW w:w="1964" w:type="dxa"/>
            <w:vAlign w:val="center"/>
          </w:tcPr>
          <w:p w14:paraId="41EB398B" w14:textId="66C799FA" w:rsidR="00E959D6" w:rsidRPr="00E959D6" w:rsidRDefault="00E959D6" w:rsidP="003C134A">
            <w:pPr>
              <w:cnfStyle w:val="000000100000" w:firstRow="0" w:lastRow="0" w:firstColumn="0" w:lastColumn="0" w:oddVBand="0" w:evenVBand="0" w:oddHBand="1" w:evenHBand="0" w:firstRowFirstColumn="0" w:firstRowLastColumn="0" w:lastRowFirstColumn="0" w:lastRowLastColumn="0"/>
              <w:rPr>
                <w:b/>
              </w:rPr>
            </w:pPr>
            <w:r w:rsidRPr="00E959D6">
              <w:rPr>
                <w:b/>
              </w:rPr>
              <w:t>Monthly Portfolio Report</w:t>
            </w:r>
          </w:p>
        </w:tc>
        <w:tc>
          <w:tcPr>
            <w:tcW w:w="1170" w:type="dxa"/>
            <w:vAlign w:val="center"/>
          </w:tcPr>
          <w:p w14:paraId="780B58B1" w14:textId="77777777" w:rsidR="00E959D6" w:rsidRDefault="00E959D6" w:rsidP="005351B1">
            <w:pPr>
              <w:cnfStyle w:val="000000100000" w:firstRow="0" w:lastRow="0" w:firstColumn="0" w:lastColumn="0" w:oddVBand="0" w:evenVBand="0" w:oddHBand="1" w:evenHBand="0" w:firstRowFirstColumn="0" w:firstRowLastColumn="0" w:lastRowFirstColumn="0" w:lastRowLastColumn="0"/>
            </w:pPr>
            <w:r>
              <w:t>Monthly</w:t>
            </w:r>
          </w:p>
        </w:tc>
        <w:tc>
          <w:tcPr>
            <w:tcW w:w="2070" w:type="dxa"/>
            <w:vAlign w:val="center"/>
          </w:tcPr>
          <w:p w14:paraId="66567E47" w14:textId="77777777" w:rsidR="00E959D6" w:rsidRDefault="00E959D6" w:rsidP="003C134A">
            <w:pPr>
              <w:cnfStyle w:val="000000100000" w:firstRow="0" w:lastRow="0" w:firstColumn="0" w:lastColumn="0" w:oddVBand="0" w:evenVBand="0" w:oddHBand="1" w:evenHBand="0" w:firstRowFirstColumn="0" w:firstRowLastColumn="0" w:lastRowFirstColumn="0" w:lastRowLastColumn="0"/>
            </w:pPr>
            <w:r>
              <w:t>N/A</w:t>
            </w:r>
          </w:p>
        </w:tc>
        <w:tc>
          <w:tcPr>
            <w:tcW w:w="2520" w:type="dxa"/>
            <w:vAlign w:val="center"/>
          </w:tcPr>
          <w:p w14:paraId="1F374CED" w14:textId="77777777" w:rsidR="00E959D6" w:rsidRDefault="00E959D6" w:rsidP="003C134A">
            <w:pPr>
              <w:pStyle w:val="ListParagraph"/>
              <w:ind w:left="74"/>
              <w:cnfStyle w:val="000000100000" w:firstRow="0" w:lastRow="0" w:firstColumn="0" w:lastColumn="0" w:oddVBand="0" w:evenVBand="0" w:oddHBand="1" w:evenHBand="0" w:firstRowFirstColumn="0" w:firstRowLastColumn="0" w:lastRowFirstColumn="0" w:lastRowLastColumn="0"/>
            </w:pPr>
            <w:r>
              <w:t>N/A</w:t>
            </w:r>
          </w:p>
        </w:tc>
        <w:tc>
          <w:tcPr>
            <w:tcW w:w="4585" w:type="dxa"/>
            <w:vAlign w:val="center"/>
          </w:tcPr>
          <w:p w14:paraId="278EDF7D" w14:textId="125E62E6" w:rsidR="00E959D6" w:rsidRDefault="00E959D6" w:rsidP="003C134A">
            <w:pPr>
              <w:pStyle w:val="ListParagraph"/>
              <w:numPr>
                <w:ilvl w:val="0"/>
                <w:numId w:val="2"/>
              </w:numPr>
              <w:ind w:left="254" w:hanging="270"/>
              <w:cnfStyle w:val="000000100000" w:firstRow="0" w:lastRow="0" w:firstColumn="0" w:lastColumn="0" w:oddVBand="0" w:evenVBand="0" w:oddHBand="1" w:evenHBand="0" w:firstRowFirstColumn="0" w:firstRowLastColumn="0" w:lastRowFirstColumn="0" w:lastRowLastColumn="0"/>
            </w:pPr>
            <w:r>
              <w:t>Provided to Issuer Trustee (BNY Trust of Canada) and rating agencies (DBRS and Moody’s) in confidence</w:t>
            </w:r>
          </w:p>
          <w:p w14:paraId="2F208B83" w14:textId="499092AA" w:rsidR="00E959D6" w:rsidRDefault="00E959D6" w:rsidP="003C134A">
            <w:pPr>
              <w:pStyle w:val="ListParagraph"/>
              <w:numPr>
                <w:ilvl w:val="0"/>
                <w:numId w:val="2"/>
              </w:numPr>
              <w:ind w:left="254" w:hanging="270"/>
              <w:cnfStyle w:val="000000100000" w:firstRow="0" w:lastRow="0" w:firstColumn="0" w:lastColumn="0" w:oddVBand="0" w:evenVBand="0" w:oddHBand="1" w:evenHBand="0" w:firstRowFirstColumn="0" w:firstRowLastColumn="0" w:lastRowFirstColumn="0" w:lastRowLastColumn="0"/>
            </w:pPr>
            <w:r>
              <w:t xml:space="preserve">Report </w:t>
            </w:r>
            <w:r w:rsidRPr="0046301F">
              <w:t>summariz</w:t>
            </w:r>
            <w:r>
              <w:t xml:space="preserve">es the </w:t>
            </w:r>
            <w:r w:rsidRPr="0046301F">
              <w:t>balances of each tranche of debt FHT has issued (including interest costs)</w:t>
            </w:r>
            <w:r>
              <w:t xml:space="preserve">, the </w:t>
            </w:r>
            <w:r w:rsidRPr="0046301F">
              <w:t xml:space="preserve">balances in all FHT bank </w:t>
            </w:r>
            <w:r w:rsidRPr="0046301F">
              <w:lastRenderedPageBreak/>
              <w:t>accounts</w:t>
            </w:r>
            <w:r>
              <w:t>,</w:t>
            </w:r>
            <w:r w:rsidRPr="0046301F">
              <w:t xml:space="preserve"> and the application of the payment waterfall</w:t>
            </w:r>
            <w:r>
              <w:t xml:space="preserve"> per the Master Trust Indenture</w:t>
            </w:r>
          </w:p>
        </w:tc>
      </w:tr>
      <w:tr w:rsidR="00E959D6" w14:paraId="0A4EE1F0" w14:textId="77777777" w:rsidTr="008D1073">
        <w:tc>
          <w:tcPr>
            <w:cnfStyle w:val="001000000000" w:firstRow="0" w:lastRow="0" w:firstColumn="1" w:lastColumn="0" w:oddVBand="0" w:evenVBand="0" w:oddHBand="0" w:evenHBand="0" w:firstRowFirstColumn="0" w:firstRowLastColumn="0" w:lastRowFirstColumn="0" w:lastRowLastColumn="0"/>
            <w:tcW w:w="641" w:type="dxa"/>
            <w:vAlign w:val="center"/>
          </w:tcPr>
          <w:p w14:paraId="591D6702" w14:textId="2B0B5E91" w:rsidR="00E959D6" w:rsidRDefault="00790313" w:rsidP="003C134A">
            <w:r>
              <w:lastRenderedPageBreak/>
              <w:t>12</w:t>
            </w:r>
          </w:p>
        </w:tc>
        <w:tc>
          <w:tcPr>
            <w:tcW w:w="1964" w:type="dxa"/>
            <w:vAlign w:val="center"/>
          </w:tcPr>
          <w:p w14:paraId="5F48B454" w14:textId="2C15BDC1" w:rsidR="00E959D6" w:rsidRPr="00E959D6" w:rsidRDefault="00E959D6" w:rsidP="003C134A">
            <w:pPr>
              <w:cnfStyle w:val="000000000000" w:firstRow="0" w:lastRow="0" w:firstColumn="0" w:lastColumn="0" w:oddVBand="0" w:evenVBand="0" w:oddHBand="0" w:evenHBand="0" w:firstRowFirstColumn="0" w:firstRowLastColumn="0" w:lastRowFirstColumn="0" w:lastRowLastColumn="0"/>
              <w:rPr>
                <w:b/>
              </w:rPr>
            </w:pPr>
            <w:r w:rsidRPr="00E959D6">
              <w:rPr>
                <w:b/>
              </w:rPr>
              <w:t>FHT tax return</w:t>
            </w:r>
          </w:p>
        </w:tc>
        <w:tc>
          <w:tcPr>
            <w:tcW w:w="1170" w:type="dxa"/>
            <w:vAlign w:val="center"/>
          </w:tcPr>
          <w:p w14:paraId="033AF52D" w14:textId="72293F5F" w:rsidR="00E959D6" w:rsidRDefault="00E959D6" w:rsidP="005351B1">
            <w:pPr>
              <w:cnfStyle w:val="000000000000" w:firstRow="0" w:lastRow="0" w:firstColumn="0" w:lastColumn="0" w:oddVBand="0" w:evenVBand="0" w:oddHBand="0" w:evenHBand="0" w:firstRowFirstColumn="0" w:firstRowLastColumn="0" w:lastRowFirstColumn="0" w:lastRowLastColumn="0"/>
            </w:pPr>
            <w:r>
              <w:t>Annual</w:t>
            </w:r>
          </w:p>
        </w:tc>
        <w:tc>
          <w:tcPr>
            <w:tcW w:w="2070" w:type="dxa"/>
            <w:vAlign w:val="center"/>
          </w:tcPr>
          <w:p w14:paraId="07DC8017" w14:textId="1C28B696" w:rsidR="00E959D6" w:rsidRDefault="00E959D6" w:rsidP="003C134A">
            <w:pPr>
              <w:cnfStyle w:val="000000000000" w:firstRow="0" w:lastRow="0" w:firstColumn="0" w:lastColumn="0" w:oddVBand="0" w:evenVBand="0" w:oddHBand="0" w:evenHBand="0" w:firstRowFirstColumn="0" w:firstRowLastColumn="0" w:lastRowFirstColumn="0" w:lastRowLastColumn="0"/>
            </w:pPr>
            <w:r>
              <w:t>N/A</w:t>
            </w:r>
          </w:p>
        </w:tc>
        <w:tc>
          <w:tcPr>
            <w:tcW w:w="2520" w:type="dxa"/>
            <w:vAlign w:val="center"/>
          </w:tcPr>
          <w:p w14:paraId="312AA370" w14:textId="5D359E58" w:rsidR="00E959D6" w:rsidRDefault="00E959D6" w:rsidP="003C134A">
            <w:pPr>
              <w:pStyle w:val="ListParagraph"/>
              <w:ind w:left="74"/>
              <w:cnfStyle w:val="000000000000" w:firstRow="0" w:lastRow="0" w:firstColumn="0" w:lastColumn="0" w:oddVBand="0" w:evenVBand="0" w:oddHBand="0" w:evenHBand="0" w:firstRowFirstColumn="0" w:firstRowLastColumn="0" w:lastRowFirstColumn="0" w:lastRowLastColumn="0"/>
            </w:pPr>
            <w:r>
              <w:t>N/A</w:t>
            </w:r>
          </w:p>
        </w:tc>
        <w:tc>
          <w:tcPr>
            <w:tcW w:w="4585" w:type="dxa"/>
            <w:vAlign w:val="center"/>
          </w:tcPr>
          <w:p w14:paraId="4BCCC92F" w14:textId="1C3D2FD1" w:rsidR="00E959D6" w:rsidRDefault="00E959D6" w:rsidP="00173F0F">
            <w:pPr>
              <w:pStyle w:val="ListParagraph"/>
              <w:numPr>
                <w:ilvl w:val="0"/>
                <w:numId w:val="2"/>
              </w:numPr>
              <w:ind w:left="254" w:hanging="270"/>
              <w:cnfStyle w:val="000000000000" w:firstRow="0" w:lastRow="0" w:firstColumn="0" w:lastColumn="0" w:oddVBand="0" w:evenVBand="0" w:oddHBand="0" w:evenHBand="0" w:firstRowFirstColumn="0" w:firstRowLastColumn="0" w:lastRowFirstColumn="0" w:lastRowLastColumn="0"/>
            </w:pPr>
            <w:r>
              <w:t xml:space="preserve">Filed with the Canada Revenue Agency along with draft FHT FS </w:t>
            </w:r>
          </w:p>
        </w:tc>
      </w:tr>
      <w:tr w:rsidR="00163981" w14:paraId="34554F99" w14:textId="77777777" w:rsidTr="008D1073">
        <w:trPr>
          <w:cnfStyle w:val="000000100000" w:firstRow="0" w:lastRow="0" w:firstColumn="0" w:lastColumn="0" w:oddVBand="0" w:evenVBand="0" w:oddHBand="1" w:evenHBand="0" w:firstRowFirstColumn="0" w:firstRowLastColumn="0" w:lastRowFirstColumn="0" w:lastRowLastColumn="0"/>
          <w:trHeight w:val="953"/>
        </w:trPr>
        <w:tc>
          <w:tcPr>
            <w:cnfStyle w:val="001000000000" w:firstRow="0" w:lastRow="0" w:firstColumn="1" w:lastColumn="0" w:oddVBand="0" w:evenVBand="0" w:oddHBand="0" w:evenHBand="0" w:firstRowFirstColumn="0" w:firstRowLastColumn="0" w:lastRowFirstColumn="0" w:lastRowLastColumn="0"/>
            <w:tcW w:w="641" w:type="dxa"/>
            <w:vAlign w:val="center"/>
          </w:tcPr>
          <w:p w14:paraId="6BBEF60A" w14:textId="4959EBC6" w:rsidR="00E959D6" w:rsidRDefault="00790313" w:rsidP="003C134A">
            <w:r>
              <w:t>13</w:t>
            </w:r>
          </w:p>
        </w:tc>
        <w:tc>
          <w:tcPr>
            <w:tcW w:w="1964" w:type="dxa"/>
            <w:vAlign w:val="center"/>
          </w:tcPr>
          <w:p w14:paraId="4FE5B406" w14:textId="5805A605" w:rsidR="00E959D6" w:rsidRPr="00E959D6" w:rsidRDefault="00E959D6" w:rsidP="003C134A">
            <w:pPr>
              <w:cnfStyle w:val="000000100000" w:firstRow="0" w:lastRow="0" w:firstColumn="0" w:lastColumn="0" w:oddVBand="0" w:evenVBand="0" w:oddHBand="1" w:evenHBand="0" w:firstRowFirstColumn="0" w:firstRowLastColumn="0" w:lastRowFirstColumn="0" w:lastRowLastColumn="0"/>
              <w:rPr>
                <w:b/>
              </w:rPr>
            </w:pPr>
            <w:r w:rsidRPr="00E959D6">
              <w:rPr>
                <w:b/>
              </w:rPr>
              <w:t>Clean Energy Adjustment determination</w:t>
            </w:r>
          </w:p>
        </w:tc>
        <w:tc>
          <w:tcPr>
            <w:tcW w:w="1170" w:type="dxa"/>
            <w:vAlign w:val="center"/>
          </w:tcPr>
          <w:p w14:paraId="3A3819D4" w14:textId="62F60739" w:rsidR="00E959D6" w:rsidRDefault="00E959D6" w:rsidP="005351B1">
            <w:pPr>
              <w:cnfStyle w:val="000000100000" w:firstRow="0" w:lastRow="0" w:firstColumn="0" w:lastColumn="0" w:oddVBand="0" w:evenVBand="0" w:oddHBand="1" w:evenHBand="0" w:firstRowFirstColumn="0" w:firstRowLastColumn="0" w:lastRowFirstColumn="0" w:lastRowLastColumn="0"/>
            </w:pPr>
            <w:r>
              <w:t>Semi-Annual</w:t>
            </w:r>
          </w:p>
        </w:tc>
        <w:tc>
          <w:tcPr>
            <w:tcW w:w="4590" w:type="dxa"/>
            <w:gridSpan w:val="2"/>
            <w:vAlign w:val="center"/>
          </w:tcPr>
          <w:p w14:paraId="61D344AB" w14:textId="5AA5BA6D" w:rsidR="00E959D6" w:rsidRDefault="00E959D6" w:rsidP="00173F0F">
            <w:pPr>
              <w:cnfStyle w:val="000000100000" w:firstRow="0" w:lastRow="0" w:firstColumn="0" w:lastColumn="0" w:oddVBand="0" w:evenVBand="0" w:oddHBand="1" w:evenHBand="0" w:firstRowFirstColumn="0" w:firstRowLastColumn="0" w:lastRowFirstColumn="0" w:lastRowLastColumn="0"/>
            </w:pPr>
            <w:r>
              <w:t>TBD – disclosure note required until 2021</w:t>
            </w:r>
          </w:p>
        </w:tc>
        <w:tc>
          <w:tcPr>
            <w:tcW w:w="4585" w:type="dxa"/>
            <w:vAlign w:val="center"/>
          </w:tcPr>
          <w:p w14:paraId="00FE3C20" w14:textId="7083CB05" w:rsidR="00E959D6" w:rsidRDefault="00E959D6" w:rsidP="003C134A">
            <w:pPr>
              <w:pStyle w:val="ListParagraph"/>
              <w:numPr>
                <w:ilvl w:val="0"/>
                <w:numId w:val="2"/>
              </w:numPr>
              <w:ind w:left="254" w:hanging="270"/>
              <w:cnfStyle w:val="000000100000" w:firstRow="0" w:lastRow="0" w:firstColumn="0" w:lastColumn="0" w:oddVBand="0" w:evenVBand="0" w:oddHBand="1" w:evenHBand="0" w:firstRowFirstColumn="0" w:firstRowLastColumn="0" w:lastRowFirstColumn="0" w:lastRowLastColumn="0"/>
            </w:pPr>
            <w:r>
              <w:t>To be delivered to the OEB for the determination of Regulated Price Plan rates before each 6-month reference period</w:t>
            </w:r>
          </w:p>
        </w:tc>
      </w:tr>
    </w:tbl>
    <w:p w14:paraId="03D105B7" w14:textId="77777777" w:rsidR="009C3B09" w:rsidRDefault="009C3B09"/>
    <w:p w14:paraId="04D4F262" w14:textId="77777777" w:rsidR="009C3B09" w:rsidRDefault="009C3B09" w:rsidP="009C3B09"/>
    <w:p w14:paraId="78635637" w14:textId="77777777" w:rsidR="009C3B09" w:rsidRPr="009C3B09" w:rsidRDefault="009C3B09" w:rsidP="009C3B09">
      <w:pPr>
        <w:tabs>
          <w:tab w:val="left" w:pos="5944"/>
        </w:tabs>
      </w:pPr>
      <w:r>
        <w:tab/>
      </w:r>
    </w:p>
    <w:sectPr w:rsidR="009C3B09" w:rsidRPr="009C3B09" w:rsidSect="009C3B09">
      <w:head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FEFB4" w14:textId="77777777" w:rsidR="00CA1554" w:rsidRDefault="00CA1554" w:rsidP="00C87248">
      <w:pPr>
        <w:spacing w:after="0" w:line="240" w:lineRule="auto"/>
      </w:pPr>
      <w:r>
        <w:separator/>
      </w:r>
    </w:p>
  </w:endnote>
  <w:endnote w:type="continuationSeparator" w:id="0">
    <w:p w14:paraId="3E276F67" w14:textId="77777777" w:rsidR="00CA1554" w:rsidRDefault="00CA1554" w:rsidP="00C87248">
      <w:pPr>
        <w:spacing w:after="0" w:line="240" w:lineRule="auto"/>
      </w:pPr>
      <w:r>
        <w:continuationSeparator/>
      </w:r>
    </w:p>
  </w:endnote>
  <w:endnote w:type="continuationNotice" w:id="1">
    <w:p w14:paraId="5AB38D55" w14:textId="77777777" w:rsidR="00CA1554" w:rsidRDefault="00CA15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5A3DC" w14:textId="77777777" w:rsidR="00CA1554" w:rsidRDefault="00CA1554" w:rsidP="00C87248">
      <w:pPr>
        <w:spacing w:after="0" w:line="240" w:lineRule="auto"/>
      </w:pPr>
      <w:r>
        <w:separator/>
      </w:r>
    </w:p>
  </w:footnote>
  <w:footnote w:type="continuationSeparator" w:id="0">
    <w:p w14:paraId="7D1480A5" w14:textId="77777777" w:rsidR="00CA1554" w:rsidRDefault="00CA1554" w:rsidP="00C87248">
      <w:pPr>
        <w:spacing w:after="0" w:line="240" w:lineRule="auto"/>
      </w:pPr>
      <w:r>
        <w:continuationSeparator/>
      </w:r>
    </w:p>
  </w:footnote>
  <w:footnote w:type="continuationNotice" w:id="1">
    <w:p w14:paraId="2BD605C0" w14:textId="77777777" w:rsidR="00CA1554" w:rsidRDefault="00CA1554">
      <w:pPr>
        <w:spacing w:after="0" w:line="240" w:lineRule="auto"/>
      </w:pPr>
    </w:p>
  </w:footnote>
  <w:footnote w:id="2">
    <w:p w14:paraId="15EF7A2A" w14:textId="77777777" w:rsidR="00E959D6" w:rsidRPr="00636929" w:rsidRDefault="00E959D6" w:rsidP="00636929">
      <w:pPr>
        <w:pStyle w:val="FootnoteText"/>
        <w:rPr>
          <w:lang w:val="en-US"/>
        </w:rPr>
      </w:pPr>
      <w:r>
        <w:rPr>
          <w:rStyle w:val="FootnoteReference"/>
        </w:rPr>
        <w:footnoteRef/>
      </w:r>
      <w:r>
        <w:t xml:space="preserve"> Reporting requirement is pursuant to </w:t>
      </w:r>
      <w:r w:rsidRPr="002B46A4">
        <w:rPr>
          <w:i/>
        </w:rPr>
        <w:t>Ontario Regulation 206/17</w:t>
      </w:r>
      <w:r w:rsidRPr="002B46A4">
        <w:t>, section 14(3)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E4C3D" w14:textId="4882DEDA" w:rsidR="00C545CC" w:rsidRPr="00C545CC" w:rsidRDefault="00226586" w:rsidP="008F35AD">
    <w:pPr>
      <w:pStyle w:val="Header"/>
      <w:jc w:val="center"/>
      <w:rPr>
        <w:b/>
        <w:sz w:val="24"/>
        <w:szCs w:val="24"/>
      </w:rPr>
    </w:pPr>
    <w:r>
      <w:rPr>
        <w:noProof/>
        <w:lang w:eastAsia="en-CA"/>
      </w:rPr>
      <w:drawing>
        <wp:anchor distT="0" distB="0" distL="114300" distR="114300" simplePos="0" relativeHeight="251658240" behindDoc="1" locked="0" layoutInCell="1" allowOverlap="1" wp14:anchorId="0718D68C" wp14:editId="2B8AD965">
          <wp:simplePos x="0" y="0"/>
          <wp:positionH relativeFrom="column">
            <wp:posOffset>7115175</wp:posOffset>
          </wp:positionH>
          <wp:positionV relativeFrom="paragraph">
            <wp:posOffset>-228600</wp:posOffset>
          </wp:positionV>
          <wp:extent cx="996696" cy="5943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235713"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96696" cy="594360"/>
                  </a:xfrm>
                  <a:prstGeom prst="rect">
                    <a:avLst/>
                  </a:prstGeom>
                  <a:noFill/>
                  <a:ln>
                    <a:noFill/>
                  </a:ln>
                </pic:spPr>
              </pic:pic>
            </a:graphicData>
          </a:graphic>
        </wp:anchor>
      </w:drawing>
    </w:r>
    <w:r w:rsidR="00C545CC" w:rsidRPr="00C545CC">
      <w:rPr>
        <w:b/>
        <w:sz w:val="24"/>
        <w:szCs w:val="24"/>
      </w:rPr>
      <w:t xml:space="preserve">Fair Hydro Trust (FHT) </w:t>
    </w:r>
    <w:r w:rsidR="004C30BC">
      <w:rPr>
        <w:b/>
        <w:sz w:val="24"/>
        <w:szCs w:val="24"/>
      </w:rPr>
      <w:t xml:space="preserve">Financial </w:t>
    </w:r>
    <w:r w:rsidR="00C545CC" w:rsidRPr="00C545CC">
      <w:rPr>
        <w:b/>
        <w:sz w:val="24"/>
        <w:szCs w:val="24"/>
      </w:rPr>
      <w:t>Reporting Requirements Summary</w:t>
    </w:r>
  </w:p>
  <w:p w14:paraId="4E2F95BA" w14:textId="75E7610B" w:rsidR="00C87248" w:rsidRDefault="00C87248" w:rsidP="00C545C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751EEF"/>
    <w:multiLevelType w:val="hybridMultilevel"/>
    <w:tmpl w:val="0ED0AD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69E5081"/>
    <w:multiLevelType w:val="hybridMultilevel"/>
    <w:tmpl w:val="70C47F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09"/>
    <w:rsid w:val="0001093D"/>
    <w:rsid w:val="00024EAD"/>
    <w:rsid w:val="00070340"/>
    <w:rsid w:val="00072C45"/>
    <w:rsid w:val="00076E30"/>
    <w:rsid w:val="00086994"/>
    <w:rsid w:val="00086BC0"/>
    <w:rsid w:val="0009072F"/>
    <w:rsid w:val="000941E5"/>
    <w:rsid w:val="000A0FAD"/>
    <w:rsid w:val="000A1307"/>
    <w:rsid w:val="000C0B2E"/>
    <w:rsid w:val="000E5ABA"/>
    <w:rsid w:val="000F0585"/>
    <w:rsid w:val="000F503A"/>
    <w:rsid w:val="00114092"/>
    <w:rsid w:val="001316D0"/>
    <w:rsid w:val="0013173E"/>
    <w:rsid w:val="0014440C"/>
    <w:rsid w:val="0014627F"/>
    <w:rsid w:val="00150322"/>
    <w:rsid w:val="00163981"/>
    <w:rsid w:val="00164E92"/>
    <w:rsid w:val="00166ECB"/>
    <w:rsid w:val="00173C5D"/>
    <w:rsid w:val="00173F0F"/>
    <w:rsid w:val="00176260"/>
    <w:rsid w:val="00180E13"/>
    <w:rsid w:val="00190CE1"/>
    <w:rsid w:val="0019301D"/>
    <w:rsid w:val="001A29DA"/>
    <w:rsid w:val="001A2A33"/>
    <w:rsid w:val="001B465F"/>
    <w:rsid w:val="001C786C"/>
    <w:rsid w:val="001D0EF9"/>
    <w:rsid w:val="00203989"/>
    <w:rsid w:val="00206488"/>
    <w:rsid w:val="0021462A"/>
    <w:rsid w:val="0021481A"/>
    <w:rsid w:val="00226586"/>
    <w:rsid w:val="002428F9"/>
    <w:rsid w:val="00283473"/>
    <w:rsid w:val="002A6388"/>
    <w:rsid w:val="002B46A4"/>
    <w:rsid w:val="002C4E8E"/>
    <w:rsid w:val="002F6B48"/>
    <w:rsid w:val="00304256"/>
    <w:rsid w:val="00321927"/>
    <w:rsid w:val="0035162D"/>
    <w:rsid w:val="003550F1"/>
    <w:rsid w:val="0036775E"/>
    <w:rsid w:val="00373E82"/>
    <w:rsid w:val="00383A9C"/>
    <w:rsid w:val="003A55B7"/>
    <w:rsid w:val="003C134A"/>
    <w:rsid w:val="003D4D4A"/>
    <w:rsid w:val="003E5928"/>
    <w:rsid w:val="0040474D"/>
    <w:rsid w:val="00413AF4"/>
    <w:rsid w:val="004200A8"/>
    <w:rsid w:val="00462824"/>
    <w:rsid w:val="0046301F"/>
    <w:rsid w:val="004654BB"/>
    <w:rsid w:val="00466EA6"/>
    <w:rsid w:val="004760A9"/>
    <w:rsid w:val="00480FBA"/>
    <w:rsid w:val="004A69D0"/>
    <w:rsid w:val="004B3EE3"/>
    <w:rsid w:val="004C30BC"/>
    <w:rsid w:val="004D7269"/>
    <w:rsid w:val="004E6FC6"/>
    <w:rsid w:val="004F43F6"/>
    <w:rsid w:val="005351B1"/>
    <w:rsid w:val="00541C84"/>
    <w:rsid w:val="00554A33"/>
    <w:rsid w:val="005A2BA4"/>
    <w:rsid w:val="005C5555"/>
    <w:rsid w:val="00622099"/>
    <w:rsid w:val="006253E5"/>
    <w:rsid w:val="00636929"/>
    <w:rsid w:val="0067612A"/>
    <w:rsid w:val="0068466F"/>
    <w:rsid w:val="006946DF"/>
    <w:rsid w:val="006A2C73"/>
    <w:rsid w:val="006B2AA9"/>
    <w:rsid w:val="006B6AA7"/>
    <w:rsid w:val="006B6B69"/>
    <w:rsid w:val="006C015D"/>
    <w:rsid w:val="006E6BAC"/>
    <w:rsid w:val="006F1F58"/>
    <w:rsid w:val="007025FB"/>
    <w:rsid w:val="00712FDA"/>
    <w:rsid w:val="00734056"/>
    <w:rsid w:val="00751F12"/>
    <w:rsid w:val="0076139C"/>
    <w:rsid w:val="0076607C"/>
    <w:rsid w:val="00790313"/>
    <w:rsid w:val="007A689B"/>
    <w:rsid w:val="007C4423"/>
    <w:rsid w:val="007C7A0A"/>
    <w:rsid w:val="007D405F"/>
    <w:rsid w:val="007E0BE9"/>
    <w:rsid w:val="007E7682"/>
    <w:rsid w:val="00842B26"/>
    <w:rsid w:val="00862F76"/>
    <w:rsid w:val="00871B58"/>
    <w:rsid w:val="0089391B"/>
    <w:rsid w:val="008972FE"/>
    <w:rsid w:val="008A7268"/>
    <w:rsid w:val="008B37B1"/>
    <w:rsid w:val="008B50A7"/>
    <w:rsid w:val="008C20D5"/>
    <w:rsid w:val="008D1073"/>
    <w:rsid w:val="008D385A"/>
    <w:rsid w:val="008F35AD"/>
    <w:rsid w:val="008F577E"/>
    <w:rsid w:val="0090201E"/>
    <w:rsid w:val="00905728"/>
    <w:rsid w:val="0090601C"/>
    <w:rsid w:val="00927669"/>
    <w:rsid w:val="00940074"/>
    <w:rsid w:val="00955386"/>
    <w:rsid w:val="00960EFC"/>
    <w:rsid w:val="009A0303"/>
    <w:rsid w:val="009C3B09"/>
    <w:rsid w:val="009E4A0C"/>
    <w:rsid w:val="009F00E5"/>
    <w:rsid w:val="00A05994"/>
    <w:rsid w:val="00A16C9E"/>
    <w:rsid w:val="00A21F07"/>
    <w:rsid w:val="00A224EF"/>
    <w:rsid w:val="00A253DA"/>
    <w:rsid w:val="00A2586C"/>
    <w:rsid w:val="00A66560"/>
    <w:rsid w:val="00A75FB0"/>
    <w:rsid w:val="00AA23E4"/>
    <w:rsid w:val="00AA3373"/>
    <w:rsid w:val="00AC1716"/>
    <w:rsid w:val="00AD6E38"/>
    <w:rsid w:val="00AF595F"/>
    <w:rsid w:val="00B43426"/>
    <w:rsid w:val="00B608D9"/>
    <w:rsid w:val="00B74737"/>
    <w:rsid w:val="00BA609A"/>
    <w:rsid w:val="00BB29D2"/>
    <w:rsid w:val="00BC5450"/>
    <w:rsid w:val="00BE6681"/>
    <w:rsid w:val="00BE6FC7"/>
    <w:rsid w:val="00C2089F"/>
    <w:rsid w:val="00C545CC"/>
    <w:rsid w:val="00C87248"/>
    <w:rsid w:val="00C946BE"/>
    <w:rsid w:val="00CA1554"/>
    <w:rsid w:val="00CA497C"/>
    <w:rsid w:val="00CA50BA"/>
    <w:rsid w:val="00CA6505"/>
    <w:rsid w:val="00CB1620"/>
    <w:rsid w:val="00CC3920"/>
    <w:rsid w:val="00CE6D85"/>
    <w:rsid w:val="00CF5ADC"/>
    <w:rsid w:val="00CF75C9"/>
    <w:rsid w:val="00D064B8"/>
    <w:rsid w:val="00D10899"/>
    <w:rsid w:val="00D4017F"/>
    <w:rsid w:val="00D567E1"/>
    <w:rsid w:val="00D65F9F"/>
    <w:rsid w:val="00D84378"/>
    <w:rsid w:val="00DB47FF"/>
    <w:rsid w:val="00DD5D23"/>
    <w:rsid w:val="00DD6BDD"/>
    <w:rsid w:val="00DF020E"/>
    <w:rsid w:val="00E2219E"/>
    <w:rsid w:val="00E22B9A"/>
    <w:rsid w:val="00E43CA5"/>
    <w:rsid w:val="00E44A50"/>
    <w:rsid w:val="00E55711"/>
    <w:rsid w:val="00E86852"/>
    <w:rsid w:val="00E959D6"/>
    <w:rsid w:val="00EB5095"/>
    <w:rsid w:val="00EC1A0F"/>
    <w:rsid w:val="00F037A6"/>
    <w:rsid w:val="00F03DE4"/>
    <w:rsid w:val="00F063AE"/>
    <w:rsid w:val="00F16DED"/>
    <w:rsid w:val="00F2790B"/>
    <w:rsid w:val="00F34AEA"/>
    <w:rsid w:val="00F42CED"/>
    <w:rsid w:val="00F570A5"/>
    <w:rsid w:val="00F61986"/>
    <w:rsid w:val="00F677A7"/>
    <w:rsid w:val="00F71642"/>
    <w:rsid w:val="00F81D8A"/>
    <w:rsid w:val="00F83320"/>
    <w:rsid w:val="00FA3DDF"/>
    <w:rsid w:val="00FB3FBA"/>
    <w:rsid w:val="00FC1257"/>
    <w:rsid w:val="00FF63DF"/>
    <w:rsid w:val="00FF6BF2"/>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A339DB"/>
  <w15:chartTrackingRefBased/>
  <w15:docId w15:val="{B0695F69-08AA-4649-B50A-D9999E7C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2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3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C3B0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9C3B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Header">
    <w:name w:val="header"/>
    <w:basedOn w:val="Normal"/>
    <w:link w:val="HeaderChar"/>
    <w:uiPriority w:val="99"/>
    <w:unhideWhenUsed/>
    <w:rsid w:val="00C87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248"/>
  </w:style>
  <w:style w:type="paragraph" w:styleId="Footer">
    <w:name w:val="footer"/>
    <w:basedOn w:val="Normal"/>
    <w:link w:val="FooterChar"/>
    <w:uiPriority w:val="99"/>
    <w:unhideWhenUsed/>
    <w:rsid w:val="00C87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248"/>
  </w:style>
  <w:style w:type="paragraph" w:styleId="ListParagraph">
    <w:name w:val="List Paragraph"/>
    <w:basedOn w:val="Normal"/>
    <w:uiPriority w:val="34"/>
    <w:qFormat/>
    <w:rsid w:val="007E7682"/>
    <w:pPr>
      <w:ind w:left="720"/>
      <w:contextualSpacing/>
    </w:pPr>
  </w:style>
  <w:style w:type="paragraph" w:styleId="FootnoteText">
    <w:name w:val="footnote text"/>
    <w:basedOn w:val="Normal"/>
    <w:link w:val="FootnoteTextChar"/>
    <w:uiPriority w:val="99"/>
    <w:semiHidden/>
    <w:unhideWhenUsed/>
    <w:rsid w:val="006369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929"/>
    <w:rPr>
      <w:sz w:val="20"/>
      <w:szCs w:val="20"/>
    </w:rPr>
  </w:style>
  <w:style w:type="character" w:styleId="FootnoteReference">
    <w:name w:val="footnote reference"/>
    <w:basedOn w:val="DefaultParagraphFont"/>
    <w:uiPriority w:val="99"/>
    <w:semiHidden/>
    <w:unhideWhenUsed/>
    <w:rsid w:val="00636929"/>
    <w:rPr>
      <w:vertAlign w:val="superscript"/>
    </w:rPr>
  </w:style>
  <w:style w:type="paragraph" w:styleId="BalloonText">
    <w:name w:val="Balloon Text"/>
    <w:basedOn w:val="Normal"/>
    <w:link w:val="BalloonTextChar"/>
    <w:uiPriority w:val="99"/>
    <w:semiHidden/>
    <w:unhideWhenUsed/>
    <w:rsid w:val="00072C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2C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EE1F3-91A7-4312-9792-F6F0A124B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596</Words>
  <Characters>3403</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Lapira</dc:creator>
  <cp:keywords/>
  <dc:description/>
  <cp:lastModifiedBy>MAUTI John -FIN &amp; C CTRL</cp:lastModifiedBy>
  <cp:revision>2</cp:revision>
  <cp:lastPrinted>2018-05-08T17:43:00Z</cp:lastPrinted>
  <dcterms:created xsi:type="dcterms:W3CDTF">2018-05-09T04:02:00Z</dcterms:created>
  <dcterms:modified xsi:type="dcterms:W3CDTF">2018-05-09T04:02:00Z</dcterms:modified>
</cp:coreProperties>
</file>