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FDC" w:rsidRPr="00AC1FDC" w:rsidRDefault="00AC1FDC" w:rsidP="00AC1FDC">
      <w:pPr>
        <w:jc w:val="center"/>
        <w:rPr>
          <w:b/>
        </w:rPr>
      </w:pPr>
      <w:r w:rsidRPr="00AC1FDC">
        <w:rPr>
          <w:b/>
        </w:rPr>
        <w:t>FAO ANALYSIS OF FAIR HYDRO PLAN</w:t>
      </w:r>
    </w:p>
    <w:p w:rsidR="00AB11FD" w:rsidRPr="00AC1FDC" w:rsidRDefault="00AB11FD">
      <w:pPr>
        <w:rPr>
          <w:b/>
        </w:rPr>
      </w:pPr>
      <w:r w:rsidRPr="00AC1FDC">
        <w:rPr>
          <w:b/>
        </w:rPr>
        <w:t>Summary of FAO Analysis</w:t>
      </w:r>
    </w:p>
    <w:tbl>
      <w:tblPr>
        <w:tblStyle w:val="MediumShading1-Accent1"/>
        <w:tblW w:w="9918" w:type="dxa"/>
        <w:tblLook w:val="04E0"/>
      </w:tblPr>
      <w:tblGrid>
        <w:gridCol w:w="3798"/>
        <w:gridCol w:w="2040"/>
        <w:gridCol w:w="2040"/>
        <w:gridCol w:w="2040"/>
      </w:tblGrid>
      <w:tr w:rsidR="00AC1FDC" w:rsidTr="00AC1FDC">
        <w:trPr>
          <w:cnfStyle w:val="100000000000"/>
        </w:trPr>
        <w:tc>
          <w:tcPr>
            <w:cnfStyle w:val="001000000000"/>
            <w:tcW w:w="3798" w:type="dxa"/>
          </w:tcPr>
          <w:p w:rsidR="00AB11FD" w:rsidRDefault="00AB11FD" w:rsidP="0002496A"/>
        </w:tc>
        <w:tc>
          <w:tcPr>
            <w:tcW w:w="2040" w:type="dxa"/>
          </w:tcPr>
          <w:p w:rsidR="00AB11FD" w:rsidRDefault="00AB11FD" w:rsidP="0002496A">
            <w:pPr>
              <w:cnfStyle w:val="100000000000"/>
            </w:pPr>
            <w:r>
              <w:t>Cost to Province</w:t>
            </w:r>
          </w:p>
        </w:tc>
        <w:tc>
          <w:tcPr>
            <w:tcW w:w="2040" w:type="dxa"/>
          </w:tcPr>
          <w:p w:rsidR="00AB11FD" w:rsidRDefault="00AB11FD" w:rsidP="0002496A">
            <w:pPr>
              <w:cnfStyle w:val="100000000000"/>
            </w:pPr>
            <w:r>
              <w:t>Ratepayer Savings</w:t>
            </w:r>
          </w:p>
        </w:tc>
        <w:tc>
          <w:tcPr>
            <w:tcW w:w="2040" w:type="dxa"/>
          </w:tcPr>
          <w:p w:rsidR="00AB11FD" w:rsidRDefault="00AB11FD" w:rsidP="0002496A">
            <w:pPr>
              <w:cnfStyle w:val="100000000000"/>
            </w:pPr>
            <w:r>
              <w:t>Cost to Ratepayers</w:t>
            </w:r>
          </w:p>
        </w:tc>
      </w:tr>
      <w:tr w:rsidR="00AB11FD" w:rsidTr="00AC1FDC">
        <w:trPr>
          <w:cnfStyle w:val="000000100000"/>
        </w:trPr>
        <w:tc>
          <w:tcPr>
            <w:cnfStyle w:val="001000000000"/>
            <w:tcW w:w="3798" w:type="dxa"/>
            <w:shd w:val="clear" w:color="auto" w:fill="auto"/>
          </w:tcPr>
          <w:p w:rsidR="00AB11FD" w:rsidRPr="00F86361" w:rsidRDefault="00AB11FD" w:rsidP="00AC1FDC">
            <w:pPr>
              <w:rPr>
                <w:b w:val="0"/>
              </w:rPr>
            </w:pPr>
            <w:r w:rsidRPr="00F86361">
              <w:rPr>
                <w:b w:val="0"/>
              </w:rPr>
              <w:t>HST Rebate &amp; Social Programs</w:t>
            </w:r>
          </w:p>
        </w:tc>
        <w:tc>
          <w:tcPr>
            <w:tcW w:w="2040" w:type="dxa"/>
            <w:shd w:val="clear" w:color="auto" w:fill="auto"/>
          </w:tcPr>
          <w:p w:rsidR="00AB11FD" w:rsidRPr="00F86361" w:rsidRDefault="00AB11FD" w:rsidP="0002496A">
            <w:pPr>
              <w:jc w:val="center"/>
              <w:cnfStyle w:val="000000100000"/>
              <w:rPr>
                <w:color w:val="FF0000"/>
              </w:rPr>
            </w:pPr>
            <w:r w:rsidRPr="00F86361">
              <w:rPr>
                <w:color w:val="FF0000"/>
              </w:rPr>
              <w:t>($45 billion)</w:t>
            </w:r>
          </w:p>
        </w:tc>
        <w:tc>
          <w:tcPr>
            <w:tcW w:w="2040" w:type="dxa"/>
            <w:shd w:val="clear" w:color="auto" w:fill="auto"/>
          </w:tcPr>
          <w:p w:rsidR="00AB11FD" w:rsidRDefault="00AB11FD" w:rsidP="0002496A">
            <w:pPr>
              <w:jc w:val="center"/>
              <w:cnfStyle w:val="000000100000"/>
            </w:pPr>
            <w:r>
              <w:t>$45 billion</w:t>
            </w:r>
          </w:p>
        </w:tc>
        <w:tc>
          <w:tcPr>
            <w:tcW w:w="2040" w:type="dxa"/>
            <w:shd w:val="clear" w:color="auto" w:fill="auto"/>
          </w:tcPr>
          <w:p w:rsidR="00AB11FD" w:rsidRDefault="00AB11FD" w:rsidP="0002496A">
            <w:pPr>
              <w:jc w:val="center"/>
              <w:cnfStyle w:val="000000100000"/>
            </w:pPr>
          </w:p>
        </w:tc>
      </w:tr>
      <w:tr w:rsidR="00AB11FD" w:rsidTr="00AC1FDC">
        <w:trPr>
          <w:cnfStyle w:val="000000010000"/>
        </w:trPr>
        <w:tc>
          <w:tcPr>
            <w:cnfStyle w:val="001000000000"/>
            <w:tcW w:w="3798" w:type="dxa"/>
            <w:shd w:val="clear" w:color="auto" w:fill="auto"/>
          </w:tcPr>
          <w:p w:rsidR="00AB11FD" w:rsidRPr="00F86361" w:rsidRDefault="00AB11FD" w:rsidP="0002496A">
            <w:pPr>
              <w:rPr>
                <w:b w:val="0"/>
              </w:rPr>
            </w:pPr>
            <w:r w:rsidRPr="00F86361">
              <w:rPr>
                <w:b w:val="0"/>
              </w:rPr>
              <w:t>Deferred Electricity Costs</w:t>
            </w:r>
          </w:p>
        </w:tc>
        <w:tc>
          <w:tcPr>
            <w:tcW w:w="2040" w:type="dxa"/>
            <w:shd w:val="clear" w:color="auto" w:fill="auto"/>
          </w:tcPr>
          <w:p w:rsidR="00AB11FD" w:rsidRDefault="00AB11FD" w:rsidP="0002496A">
            <w:pPr>
              <w:jc w:val="center"/>
              <w:cnfStyle w:val="000000010000"/>
            </w:pPr>
          </w:p>
        </w:tc>
        <w:tc>
          <w:tcPr>
            <w:tcW w:w="2040" w:type="dxa"/>
            <w:shd w:val="clear" w:color="auto" w:fill="auto"/>
          </w:tcPr>
          <w:p w:rsidR="00AB11FD" w:rsidRDefault="00AB11FD" w:rsidP="0002496A">
            <w:pPr>
              <w:jc w:val="center"/>
              <w:cnfStyle w:val="000000010000"/>
            </w:pPr>
            <w:r>
              <w:t>$18.4 billion</w:t>
            </w:r>
          </w:p>
        </w:tc>
        <w:tc>
          <w:tcPr>
            <w:tcW w:w="2040" w:type="dxa"/>
            <w:shd w:val="clear" w:color="auto" w:fill="auto"/>
          </w:tcPr>
          <w:p w:rsidR="00AB11FD" w:rsidRDefault="00AB11FD" w:rsidP="0002496A">
            <w:pPr>
              <w:jc w:val="center"/>
              <w:cnfStyle w:val="000000010000"/>
            </w:pPr>
          </w:p>
        </w:tc>
      </w:tr>
      <w:tr w:rsidR="00AB11FD" w:rsidTr="00AC1FDC">
        <w:trPr>
          <w:cnfStyle w:val="000000100000"/>
        </w:trPr>
        <w:tc>
          <w:tcPr>
            <w:cnfStyle w:val="001000000000"/>
            <w:tcW w:w="3798" w:type="dxa"/>
            <w:shd w:val="clear" w:color="auto" w:fill="auto"/>
          </w:tcPr>
          <w:p w:rsidR="00AB11FD" w:rsidRPr="00F86361" w:rsidRDefault="00AB11FD" w:rsidP="0002496A">
            <w:pPr>
              <w:rPr>
                <w:b w:val="0"/>
              </w:rPr>
            </w:pPr>
            <w:r w:rsidRPr="00F86361">
              <w:rPr>
                <w:b w:val="0"/>
              </w:rPr>
              <w:t>Repayment of Deferred Electricity Costs</w:t>
            </w:r>
          </w:p>
        </w:tc>
        <w:tc>
          <w:tcPr>
            <w:tcW w:w="2040" w:type="dxa"/>
            <w:shd w:val="clear" w:color="auto" w:fill="auto"/>
          </w:tcPr>
          <w:p w:rsidR="00AB11FD" w:rsidRDefault="00AB11FD" w:rsidP="0002496A">
            <w:pPr>
              <w:jc w:val="center"/>
              <w:cnfStyle w:val="000000100000"/>
            </w:pPr>
          </w:p>
        </w:tc>
        <w:tc>
          <w:tcPr>
            <w:tcW w:w="2040" w:type="dxa"/>
            <w:shd w:val="clear" w:color="auto" w:fill="auto"/>
          </w:tcPr>
          <w:p w:rsidR="00AB11FD" w:rsidRDefault="00AB11FD" w:rsidP="0002496A">
            <w:pPr>
              <w:jc w:val="center"/>
              <w:cnfStyle w:val="000000100000"/>
            </w:pPr>
          </w:p>
        </w:tc>
        <w:tc>
          <w:tcPr>
            <w:tcW w:w="2040" w:type="dxa"/>
            <w:shd w:val="clear" w:color="auto" w:fill="auto"/>
          </w:tcPr>
          <w:p w:rsidR="00AB11FD" w:rsidRPr="00F86361" w:rsidRDefault="00AB11FD" w:rsidP="0002496A">
            <w:pPr>
              <w:jc w:val="center"/>
              <w:cnfStyle w:val="000000100000"/>
              <w:rPr>
                <w:color w:val="FF0000"/>
              </w:rPr>
            </w:pPr>
            <w:r w:rsidRPr="00F86361">
              <w:rPr>
                <w:color w:val="FF0000"/>
              </w:rPr>
              <w:t>($</w:t>
            </w:r>
            <w:r>
              <w:rPr>
                <w:color w:val="FF0000"/>
              </w:rPr>
              <w:t>18.4</w:t>
            </w:r>
            <w:r w:rsidRPr="00F86361">
              <w:rPr>
                <w:color w:val="FF0000"/>
              </w:rPr>
              <w:t xml:space="preserve"> billion)</w:t>
            </w:r>
          </w:p>
        </w:tc>
      </w:tr>
      <w:tr w:rsidR="00AB11FD" w:rsidTr="00AC1FDC">
        <w:trPr>
          <w:cnfStyle w:val="000000010000"/>
        </w:trPr>
        <w:tc>
          <w:tcPr>
            <w:cnfStyle w:val="001000000000"/>
            <w:tcW w:w="3798" w:type="dxa"/>
            <w:shd w:val="clear" w:color="auto" w:fill="auto"/>
          </w:tcPr>
          <w:p w:rsidR="00AB11FD" w:rsidRPr="00F86361" w:rsidRDefault="00AB11FD" w:rsidP="00AC1FDC">
            <w:pPr>
              <w:rPr>
                <w:b w:val="0"/>
              </w:rPr>
            </w:pPr>
            <w:r w:rsidRPr="00F86361">
              <w:rPr>
                <w:b w:val="0"/>
              </w:rPr>
              <w:t>Interest on Deferred Electricity Costs</w:t>
            </w:r>
          </w:p>
        </w:tc>
        <w:tc>
          <w:tcPr>
            <w:tcW w:w="2040" w:type="dxa"/>
            <w:shd w:val="clear" w:color="auto" w:fill="auto"/>
          </w:tcPr>
          <w:p w:rsidR="00AB11FD" w:rsidRDefault="00AB11FD" w:rsidP="0002496A">
            <w:pPr>
              <w:jc w:val="center"/>
              <w:cnfStyle w:val="000000010000"/>
            </w:pPr>
          </w:p>
        </w:tc>
        <w:tc>
          <w:tcPr>
            <w:tcW w:w="2040" w:type="dxa"/>
            <w:shd w:val="clear" w:color="auto" w:fill="auto"/>
          </w:tcPr>
          <w:p w:rsidR="00AB11FD" w:rsidRDefault="00AB11FD" w:rsidP="0002496A">
            <w:pPr>
              <w:jc w:val="center"/>
              <w:cnfStyle w:val="000000010000"/>
            </w:pPr>
          </w:p>
        </w:tc>
        <w:tc>
          <w:tcPr>
            <w:tcW w:w="2040" w:type="dxa"/>
            <w:shd w:val="clear" w:color="auto" w:fill="auto"/>
          </w:tcPr>
          <w:p w:rsidR="00AB11FD" w:rsidRPr="00F86361" w:rsidRDefault="00AB11FD" w:rsidP="0002496A">
            <w:pPr>
              <w:jc w:val="center"/>
              <w:cnfStyle w:val="000000010000"/>
              <w:rPr>
                <w:color w:val="FF0000"/>
              </w:rPr>
            </w:pPr>
            <w:r w:rsidRPr="00F86361">
              <w:rPr>
                <w:color w:val="FF0000"/>
              </w:rPr>
              <w:t>($</w:t>
            </w:r>
            <w:r>
              <w:rPr>
                <w:color w:val="FF0000"/>
              </w:rPr>
              <w:t>21</w:t>
            </w:r>
            <w:r w:rsidRPr="00F86361">
              <w:rPr>
                <w:color w:val="FF0000"/>
              </w:rPr>
              <w:t xml:space="preserve"> billion)</w:t>
            </w:r>
          </w:p>
        </w:tc>
      </w:tr>
      <w:tr w:rsidR="00AC1FDC" w:rsidTr="00AC1FDC">
        <w:trPr>
          <w:cnfStyle w:val="000000100000"/>
        </w:trPr>
        <w:tc>
          <w:tcPr>
            <w:cnfStyle w:val="001000000000"/>
            <w:tcW w:w="3798" w:type="dxa"/>
          </w:tcPr>
          <w:p w:rsidR="00AB11FD" w:rsidRDefault="00AB11FD" w:rsidP="0002496A">
            <w:r>
              <w:t>Total</w:t>
            </w:r>
          </w:p>
        </w:tc>
        <w:tc>
          <w:tcPr>
            <w:tcW w:w="2040" w:type="dxa"/>
          </w:tcPr>
          <w:p w:rsidR="00AB11FD" w:rsidRPr="00F86361" w:rsidRDefault="00AB11FD" w:rsidP="0002496A">
            <w:pPr>
              <w:jc w:val="center"/>
              <w:cnfStyle w:val="000000100000"/>
              <w:rPr>
                <w:b/>
              </w:rPr>
            </w:pPr>
            <w:r w:rsidRPr="00F86361">
              <w:rPr>
                <w:b/>
                <w:color w:val="FF0000"/>
              </w:rPr>
              <w:t>($45 billion)</w:t>
            </w:r>
          </w:p>
        </w:tc>
        <w:tc>
          <w:tcPr>
            <w:tcW w:w="2040" w:type="dxa"/>
          </w:tcPr>
          <w:p w:rsidR="00AB11FD" w:rsidRPr="00F86361" w:rsidRDefault="00AB11FD" w:rsidP="0002496A">
            <w:pPr>
              <w:jc w:val="center"/>
              <w:cnfStyle w:val="000000100000"/>
              <w:rPr>
                <w:b/>
              </w:rPr>
            </w:pPr>
            <w:r w:rsidRPr="00F86361">
              <w:rPr>
                <w:b/>
              </w:rPr>
              <w:t>$63.4 billion</w:t>
            </w:r>
          </w:p>
        </w:tc>
        <w:tc>
          <w:tcPr>
            <w:tcW w:w="2040" w:type="dxa"/>
          </w:tcPr>
          <w:p w:rsidR="00AB11FD" w:rsidRPr="00F86361" w:rsidRDefault="00AB11FD" w:rsidP="0002496A">
            <w:pPr>
              <w:jc w:val="center"/>
              <w:cnfStyle w:val="000000100000"/>
              <w:rPr>
                <w:b/>
              </w:rPr>
            </w:pPr>
            <w:r w:rsidRPr="00F86361">
              <w:rPr>
                <w:b/>
                <w:color w:val="FF0000"/>
              </w:rPr>
              <w:t>($39.4 billion)</w:t>
            </w:r>
          </w:p>
        </w:tc>
      </w:tr>
      <w:tr w:rsidR="00AB11FD" w:rsidTr="00AC1FDC">
        <w:trPr>
          <w:cnfStyle w:val="010000000000"/>
        </w:trPr>
        <w:tc>
          <w:tcPr>
            <w:cnfStyle w:val="001000000000"/>
            <w:tcW w:w="3798" w:type="dxa"/>
          </w:tcPr>
          <w:p w:rsidR="00AB11FD" w:rsidRDefault="00AB11FD" w:rsidP="0002496A">
            <w:r>
              <w:t>Total FAO Net FHP Cost</w:t>
            </w:r>
          </w:p>
        </w:tc>
        <w:tc>
          <w:tcPr>
            <w:tcW w:w="6120" w:type="dxa"/>
            <w:gridSpan w:val="3"/>
          </w:tcPr>
          <w:p w:rsidR="00AB11FD" w:rsidRPr="00F86361" w:rsidRDefault="00AB11FD" w:rsidP="0002496A">
            <w:pPr>
              <w:jc w:val="center"/>
              <w:cnfStyle w:val="010000000000"/>
              <w:rPr>
                <w:color w:val="FF0000"/>
              </w:rPr>
            </w:pPr>
            <w:r w:rsidRPr="00F86361">
              <w:rPr>
                <w:color w:val="FF0000"/>
              </w:rPr>
              <w:t>($</w:t>
            </w:r>
            <w:r>
              <w:rPr>
                <w:color w:val="FF0000"/>
              </w:rPr>
              <w:t>21</w:t>
            </w:r>
            <w:r w:rsidRPr="00F86361">
              <w:rPr>
                <w:color w:val="FF0000"/>
              </w:rPr>
              <w:t xml:space="preserve"> billion)</w:t>
            </w:r>
          </w:p>
        </w:tc>
      </w:tr>
    </w:tbl>
    <w:p w:rsidR="00E12226" w:rsidRDefault="00E12226" w:rsidP="00E12226">
      <w:pPr>
        <w:pStyle w:val="NoSpacing"/>
      </w:pPr>
    </w:p>
    <w:p w:rsidR="00B6215D" w:rsidRPr="00AC1FDC" w:rsidRDefault="00AC1FDC">
      <w:pPr>
        <w:rPr>
          <w:b/>
        </w:rPr>
      </w:pPr>
      <w:r w:rsidRPr="00AC1FDC">
        <w:rPr>
          <w:b/>
        </w:rPr>
        <w:t>Comments on the FAO Analysis</w:t>
      </w:r>
    </w:p>
    <w:p w:rsidR="00B6215D" w:rsidRPr="00AC1FDC" w:rsidRDefault="00AC1FDC">
      <w:pPr>
        <w:rPr>
          <w:u w:val="single"/>
        </w:rPr>
      </w:pPr>
      <w:r w:rsidRPr="00AC1FDC">
        <w:rPr>
          <w:u w:val="single"/>
        </w:rPr>
        <w:t xml:space="preserve">Interest Rate and Overall </w:t>
      </w:r>
      <w:r>
        <w:rPr>
          <w:u w:val="single"/>
        </w:rPr>
        <w:t xml:space="preserve">GA Refinancing </w:t>
      </w:r>
      <w:r w:rsidRPr="00AC1FDC">
        <w:rPr>
          <w:u w:val="single"/>
        </w:rPr>
        <w:t>Analysis</w:t>
      </w:r>
    </w:p>
    <w:p w:rsidR="007C0C2B" w:rsidRDefault="007C0C2B">
      <w:r>
        <w:t xml:space="preserve">The FAO assumes a weighted average interest rate of 5% which is aligned with the Ministry of Energy and OPG’s assumption. As a result, the FAO’s financial analysis of the </w:t>
      </w:r>
      <w:r w:rsidR="00AC1FDC">
        <w:t xml:space="preserve">cost of the </w:t>
      </w:r>
      <w:r>
        <w:t xml:space="preserve">GA refinancing </w:t>
      </w:r>
      <w:r w:rsidR="00AC1FDC">
        <w:t>appears to</w:t>
      </w:r>
      <w:r>
        <w:t xml:space="preserve"> be generally accurate. </w:t>
      </w:r>
    </w:p>
    <w:p w:rsidR="00AC1FDC" w:rsidRPr="00AC1FDC" w:rsidRDefault="00AC1FDC">
      <w:pPr>
        <w:rPr>
          <w:u w:val="single"/>
        </w:rPr>
      </w:pPr>
      <w:r w:rsidRPr="00AC1FDC">
        <w:rPr>
          <w:u w:val="single"/>
        </w:rPr>
        <w:t>GA Refinancing Structure</w:t>
      </w:r>
    </w:p>
    <w:p w:rsidR="00E04D77" w:rsidRDefault="007C0C2B">
      <w:r>
        <w:t xml:space="preserve">The main body of the </w:t>
      </w:r>
      <w:r w:rsidR="00EF04A7">
        <w:t xml:space="preserve">FAO </w:t>
      </w:r>
      <w:r>
        <w:t xml:space="preserve">report </w:t>
      </w:r>
      <w:r w:rsidR="00EF04A7">
        <w:t>assumes</w:t>
      </w:r>
      <w:r>
        <w:t xml:space="preserve"> the</w:t>
      </w:r>
      <w:r w:rsidR="00EF04A7">
        <w:t xml:space="preserve"> </w:t>
      </w:r>
      <w:r>
        <w:t>Province will finance 45% of debt and the Trust the other remaining 55%. This is likely an overly simplification of the actual structure which will see the Trust financed using 51% debt from capital markets, 44% debt from OPG via an equity injection from the Province and 5% debt from OPG via corporate debt from capital markets. The appendix of the FAO report contain</w:t>
      </w:r>
      <w:r w:rsidR="005532B8">
        <w:t>s the following illustration which is a generally accurate portrayal of the financing structure:</w:t>
      </w:r>
    </w:p>
    <w:p w:rsidR="005532B8" w:rsidRDefault="005532B8" w:rsidP="00AC1FDC">
      <w:pPr>
        <w:jc w:val="center"/>
      </w:pPr>
      <w:r>
        <w:rPr>
          <w:noProof/>
          <w:lang w:eastAsia="en-CA"/>
        </w:rPr>
        <w:drawing>
          <wp:inline distT="0" distB="0" distL="0" distR="0">
            <wp:extent cx="6085081" cy="3053751"/>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l="54280" t="13309" r="1682" b="30727"/>
                    <a:stretch>
                      <a:fillRect/>
                    </a:stretch>
                  </pic:blipFill>
                  <pic:spPr bwMode="auto">
                    <a:xfrm>
                      <a:off x="0" y="0"/>
                      <a:ext cx="6102509" cy="3062497"/>
                    </a:xfrm>
                    <a:prstGeom prst="rect">
                      <a:avLst/>
                    </a:prstGeom>
                    <a:noFill/>
                    <a:ln w="9525">
                      <a:noFill/>
                      <a:miter lim="800000"/>
                      <a:headEnd/>
                      <a:tailEnd/>
                    </a:ln>
                  </pic:spPr>
                </pic:pic>
              </a:graphicData>
            </a:graphic>
          </wp:inline>
        </w:drawing>
      </w:r>
    </w:p>
    <w:p w:rsidR="005532B8" w:rsidRPr="00AC1FDC" w:rsidRDefault="00AC1FDC">
      <w:pPr>
        <w:rPr>
          <w:u w:val="single"/>
        </w:rPr>
      </w:pPr>
      <w:r w:rsidRPr="00AC1FDC">
        <w:rPr>
          <w:u w:val="single"/>
        </w:rPr>
        <w:lastRenderedPageBreak/>
        <w:t>Overall Program Cost and Time Value of Money</w:t>
      </w:r>
    </w:p>
    <w:p w:rsidR="00AC1FDC" w:rsidRDefault="00E42965">
      <w:r>
        <w:t>The FAO does not consider the time-value of money when evaluating the net cost of the program. The FAO calculates the net cost of the FHP as the interest cost of the GA refinancing. However, this inte</w:t>
      </w:r>
      <w:r w:rsidR="00AC1FDC">
        <w:t xml:space="preserve">rest cost is used to pay for </w:t>
      </w:r>
      <w:r>
        <w:t xml:space="preserve">near-term savings for ratepayers </w:t>
      </w:r>
      <w:r w:rsidR="00E12226">
        <w:t>with repayment occurring over</w:t>
      </w:r>
      <w:r>
        <w:t xml:space="preserve"> the long-term.</w:t>
      </w:r>
      <w:r w:rsidR="00AC1FDC">
        <w:t xml:space="preserve"> </w:t>
      </w:r>
    </w:p>
    <w:p w:rsidR="00E42965" w:rsidRDefault="00AC1FDC">
      <w:r>
        <w:t>If ratepayers</w:t>
      </w:r>
      <w:r w:rsidR="00E12226">
        <w:t>’</w:t>
      </w:r>
      <w:r>
        <w:t xml:space="preserve"> discount rate is higher than the 5% interest rate assumed for GA refinancing debt, the FAO would have calculated a net benefit from the program. Many types of consumer debt have rates that are much higher than 5% such as credit card debt and payday loans. Other consumer debt may be lower such has mortgages for well qualified borrowers. The social discount rate is generally assumed to be in the range of 5% which would suggest the FHP has no net cost. </w:t>
      </w:r>
    </w:p>
    <w:p w:rsidR="005074BB" w:rsidRDefault="005074BB">
      <w:r w:rsidRPr="005074BB">
        <w:rPr>
          <w:u w:val="single"/>
        </w:rPr>
        <w:t>Savings if Province Financed 100% of the GA Refinancing</w:t>
      </w:r>
    </w:p>
    <w:p w:rsidR="005074BB" w:rsidRPr="005074BB" w:rsidRDefault="005074BB">
      <w:r>
        <w:t xml:space="preserve">The FAO suggests that $4 billion could be saved if the GA refinancing were financed using 100% debt from the province at a 4.5% rate rather than the weighted average 5% rate when the Trust accesses capital markets. It is difficult to analyze this number without having access to the FAO’s financial model, but OPG analysis indicates the savings are more likely to be in the range of $3 billion. </w:t>
      </w:r>
    </w:p>
    <w:sectPr w:rsidR="005074BB" w:rsidRPr="005074BB" w:rsidSect="000E51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Ebrima">
    <w:altName w:val="Ebrima"/>
    <w:panose1 w:val="02000000000000000000"/>
    <w:charset w:val="00"/>
    <w:family w:val="auto"/>
    <w:pitch w:val="variable"/>
    <w:sig w:usb0="A000005F" w:usb1="0200004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B6728"/>
    <w:rsid w:val="000439D1"/>
    <w:rsid w:val="000D2436"/>
    <w:rsid w:val="000E5178"/>
    <w:rsid w:val="00143EE3"/>
    <w:rsid w:val="001E46F2"/>
    <w:rsid w:val="004F04CA"/>
    <w:rsid w:val="005074BB"/>
    <w:rsid w:val="005532B8"/>
    <w:rsid w:val="005E2B7B"/>
    <w:rsid w:val="00625A7A"/>
    <w:rsid w:val="006C6196"/>
    <w:rsid w:val="007B15C0"/>
    <w:rsid w:val="007C0C2B"/>
    <w:rsid w:val="007D33BD"/>
    <w:rsid w:val="009E6BCF"/>
    <w:rsid w:val="00AA5879"/>
    <w:rsid w:val="00AB11FD"/>
    <w:rsid w:val="00AC1FDC"/>
    <w:rsid w:val="00B6215D"/>
    <w:rsid w:val="00D5466B"/>
    <w:rsid w:val="00DB526A"/>
    <w:rsid w:val="00DB6728"/>
    <w:rsid w:val="00DD4EC3"/>
    <w:rsid w:val="00E12226"/>
    <w:rsid w:val="00E136D4"/>
    <w:rsid w:val="00E42965"/>
    <w:rsid w:val="00EF04A7"/>
    <w:rsid w:val="00F75656"/>
    <w:rsid w:val="00F86361"/>
    <w:rsid w:val="00FD7F5B"/>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1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3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2B8"/>
    <w:rPr>
      <w:rFonts w:ascii="Tahoma" w:hAnsi="Tahoma" w:cs="Tahoma"/>
      <w:sz w:val="16"/>
      <w:szCs w:val="16"/>
    </w:rPr>
  </w:style>
  <w:style w:type="paragraph" w:customStyle="1" w:styleId="Default">
    <w:name w:val="Default"/>
    <w:rsid w:val="00FD7F5B"/>
    <w:pPr>
      <w:autoSpaceDE w:val="0"/>
      <w:autoSpaceDN w:val="0"/>
      <w:adjustRightInd w:val="0"/>
      <w:spacing w:after="0" w:line="240" w:lineRule="auto"/>
    </w:pPr>
    <w:rPr>
      <w:rFonts w:ascii="Ebrima" w:hAnsi="Ebrima" w:cs="Ebrima"/>
      <w:color w:val="000000"/>
      <w:sz w:val="24"/>
      <w:szCs w:val="24"/>
    </w:rPr>
  </w:style>
  <w:style w:type="table" w:styleId="TableGrid">
    <w:name w:val="Table Grid"/>
    <w:basedOn w:val="TableNormal"/>
    <w:uiPriority w:val="59"/>
    <w:rsid w:val="00FD7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1">
    <w:name w:val="Medium Shading 1 Accent 1"/>
    <w:basedOn w:val="TableNormal"/>
    <w:uiPriority w:val="63"/>
    <w:rsid w:val="00F8636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Spacing">
    <w:name w:val="No Spacing"/>
    <w:uiPriority w:val="1"/>
    <w:qFormat/>
    <w:rsid w:val="00E1222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Keegan Tully</dc:creator>
  <cp:lastModifiedBy>Keegan Tully</cp:lastModifiedBy>
  <cp:revision>2</cp:revision>
  <dcterms:created xsi:type="dcterms:W3CDTF">2017-05-24T19:45:00Z</dcterms:created>
  <dcterms:modified xsi:type="dcterms:W3CDTF">2017-05-24T21:45:00Z</dcterms:modified>
</cp:coreProperties>
</file>