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00B" w:rsidRDefault="00856652" w:rsidP="00856652">
      <w:pPr>
        <w:jc w:val="center"/>
      </w:pPr>
      <w:r>
        <w:t>Public Accounts of the Province</w:t>
      </w:r>
    </w:p>
    <w:p w:rsidR="00856652" w:rsidRDefault="00856652" w:rsidP="00856652">
      <w:pPr>
        <w:jc w:val="center"/>
      </w:pPr>
      <w:r>
        <w:t>Chapter 2</w:t>
      </w:r>
    </w:p>
    <w:p w:rsidR="00856652" w:rsidRDefault="00856652" w:rsidP="00856652">
      <w:r>
        <w:t>Electricity Sector</w:t>
      </w:r>
    </w:p>
    <w:p w:rsidR="00856652" w:rsidRDefault="00856652" w:rsidP="00856652">
      <w:pPr>
        <w:pStyle w:val="ListParagraph"/>
        <w:numPr>
          <w:ilvl w:val="0"/>
          <w:numId w:val="1"/>
        </w:numPr>
      </w:pPr>
      <w:r>
        <w:t xml:space="preserve">Principal </w:t>
      </w:r>
      <w:r w:rsidR="00B504B2">
        <w:t xml:space="preserve">electricity sector </w:t>
      </w:r>
      <w:r>
        <w:t xml:space="preserve">issue raised by the Auditor General (OAG) is </w:t>
      </w:r>
      <w:r w:rsidR="00B504B2">
        <w:t xml:space="preserve">to </w:t>
      </w:r>
      <w:r>
        <w:t>disagree with changes in the accounting policy of the Independent Electricity Sector Operator (IESO) and the Government’s decision to consolidate the IESO results on this basis.</w:t>
      </w:r>
    </w:p>
    <w:p w:rsidR="00856652" w:rsidRDefault="00856652" w:rsidP="00856652">
      <w:pPr>
        <w:pStyle w:val="ListParagraph"/>
        <w:numPr>
          <w:ilvl w:val="0"/>
          <w:numId w:val="1"/>
        </w:numPr>
      </w:pPr>
      <w:r>
        <w:t xml:space="preserve">In 2017, the IESO began to recognize market accounts and </w:t>
      </w:r>
      <w:r w:rsidR="00B504B2">
        <w:t xml:space="preserve">use </w:t>
      </w:r>
      <w:r>
        <w:t>rate regulated a</w:t>
      </w:r>
      <w:r w:rsidR="00B504B2">
        <w:t>ccounting</w:t>
      </w:r>
      <w:r>
        <w:t>.  Market accounts track buy and sell transactions between electricity power generators and distributors. The OAG disagrees with this approach as neither the Government nor the IESO has access to these funds nor an obligation to settle the accounts.</w:t>
      </w:r>
    </w:p>
    <w:p w:rsidR="00AA1A6B" w:rsidRDefault="00856652" w:rsidP="00856652">
      <w:pPr>
        <w:pStyle w:val="ListParagraph"/>
        <w:numPr>
          <w:ilvl w:val="0"/>
          <w:numId w:val="1"/>
        </w:numPr>
      </w:pPr>
      <w:r>
        <w:t xml:space="preserve">With respect to rate regulated accounting the OAG argues that while this is appropriate for </w:t>
      </w:r>
      <w:r w:rsidR="00AA1A6B">
        <w:t xml:space="preserve">a Government Business Enterprise such as Ontario Power Generation, it is not appropriate for the IESO </w:t>
      </w:r>
      <w:r w:rsidR="00B504B2">
        <w:t xml:space="preserve">as it is </w:t>
      </w:r>
      <w:r w:rsidR="00AA1A6B">
        <w:t>not.</w:t>
      </w:r>
    </w:p>
    <w:p w:rsidR="00AA1A6B" w:rsidRDefault="00AA1A6B" w:rsidP="00AA1A6B">
      <w:r>
        <w:t>OPG</w:t>
      </w:r>
    </w:p>
    <w:p w:rsidR="00AA1A6B" w:rsidRDefault="00AA1A6B" w:rsidP="00AA1A6B">
      <w:pPr>
        <w:pStyle w:val="ListParagraph"/>
        <w:numPr>
          <w:ilvl w:val="0"/>
          <w:numId w:val="2"/>
        </w:numPr>
      </w:pPr>
      <w:r>
        <w:t>The OAG agrees that it is appropriate for OPG, a generator that is largely regulated by the Ontario Energy Board, to use rate regulated accounting.</w:t>
      </w:r>
    </w:p>
    <w:p w:rsidR="00AA1A6B" w:rsidRDefault="00AA1A6B" w:rsidP="00AA1A6B">
      <w:pPr>
        <w:pStyle w:val="ListParagraph"/>
        <w:numPr>
          <w:ilvl w:val="0"/>
          <w:numId w:val="2"/>
        </w:numPr>
      </w:pPr>
      <w:r>
        <w:t>The OAG does argue that OPG should use International Financial Reporting Standards (IFRS) rather than US Generally Accepted Accounting Principles (USGAAP).  US GAAP allows entities to use rate regulated accounting while to date the IFRS does not.</w:t>
      </w:r>
    </w:p>
    <w:p w:rsidR="00B504B2" w:rsidRDefault="00B504B2" w:rsidP="00AA1A6B">
      <w:pPr>
        <w:pStyle w:val="ListParagraph"/>
        <w:numPr>
          <w:ilvl w:val="0"/>
          <w:numId w:val="2"/>
        </w:numPr>
      </w:pPr>
      <w:r>
        <w:t xml:space="preserve">The OAG argues that OPG should shift to IFRS but could continue to use USGAAP rate regulated accounting for existing deferral and related accounts until IFRS develops rate regulated accounting standards. </w:t>
      </w:r>
      <w:bookmarkStart w:id="0" w:name="_GoBack"/>
      <w:bookmarkEnd w:id="0"/>
    </w:p>
    <w:p w:rsidR="00AA1A6B" w:rsidRDefault="00AA1A6B" w:rsidP="00AA1A6B">
      <w:pPr>
        <w:pStyle w:val="ListParagraph"/>
        <w:numPr>
          <w:ilvl w:val="0"/>
          <w:numId w:val="2"/>
        </w:numPr>
      </w:pPr>
      <w:r>
        <w:t xml:space="preserve">However, the OAG notes favourably that the Government consolidates OPG results on an IFRS basis. </w:t>
      </w:r>
    </w:p>
    <w:p w:rsidR="00AA1A6B" w:rsidRDefault="00AA1A6B" w:rsidP="00AA1A6B">
      <w:r>
        <w:t>Other</w:t>
      </w:r>
    </w:p>
    <w:p w:rsidR="00AA1A6B" w:rsidRDefault="00AA1A6B" w:rsidP="00AA1A6B">
      <w:pPr>
        <w:pStyle w:val="ListParagraph"/>
        <w:numPr>
          <w:ilvl w:val="0"/>
          <w:numId w:val="3"/>
        </w:numPr>
      </w:pPr>
      <w:r>
        <w:t>The OAG raises concerns that it, as the auditor for the consolidated Government accounts, is not being fully consulted on accounting policy decisions by private sector firms auditing the component entities such as the IESO.</w:t>
      </w:r>
    </w:p>
    <w:p w:rsidR="00AA1A6B" w:rsidRDefault="00AA1A6B" w:rsidP="00AA1A6B">
      <w:pPr>
        <w:pStyle w:val="ListParagraph"/>
        <w:numPr>
          <w:ilvl w:val="0"/>
          <w:numId w:val="3"/>
        </w:numPr>
      </w:pPr>
      <w:r>
        <w:t>The OAG raises its concerns about the rising level of the Province’s debt and debt servicing costs.</w:t>
      </w:r>
    </w:p>
    <w:p w:rsidR="00856652" w:rsidRDefault="00AA1A6B" w:rsidP="00AA1A6B">
      <w:pPr>
        <w:pStyle w:val="ListParagraph"/>
        <w:numPr>
          <w:ilvl w:val="0"/>
          <w:numId w:val="3"/>
        </w:numPr>
      </w:pPr>
      <w:r>
        <w:t>The OAG states that the cumulative debt arising from the Fair Hydro Plan Trust ($2.5 billion in 2017</w:t>
      </w:r>
      <w:r w:rsidR="00B504B2">
        <w:t>/18</w:t>
      </w:r>
      <w:r w:rsidR="00952151">
        <w:t>, $5.0 billion in 2018</w:t>
      </w:r>
      <w:r w:rsidR="00B504B2">
        <w:t>/19,</w:t>
      </w:r>
      <w:r w:rsidR="00952151">
        <w:t xml:space="preserve"> and</w:t>
      </w:r>
      <w:r w:rsidR="00B504B2">
        <w:t>,</w:t>
      </w:r>
      <w:r w:rsidR="00952151">
        <w:t xml:space="preserve"> $7.5 billion in 2019</w:t>
      </w:r>
      <w:r w:rsidR="00B504B2">
        <w:t>/20</w:t>
      </w:r>
      <w:r w:rsidR="00952151">
        <w:t>) should be consolidated into the net debt of the Province.</w:t>
      </w:r>
      <w:r>
        <w:t xml:space="preserve">    </w:t>
      </w:r>
      <w:r w:rsidR="00856652">
        <w:t xml:space="preserve">  </w:t>
      </w:r>
    </w:p>
    <w:sectPr w:rsidR="00856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3460B"/>
    <w:multiLevelType w:val="hybridMultilevel"/>
    <w:tmpl w:val="C360F162"/>
    <w:lvl w:ilvl="0" w:tplc="10090001">
      <w:start w:val="1"/>
      <w:numFmt w:val="bullet"/>
      <w:lvlText w:val=""/>
      <w:lvlJc w:val="left"/>
      <w:pPr>
        <w:ind w:left="975" w:hanging="360"/>
      </w:pPr>
      <w:rPr>
        <w:rFonts w:ascii="Symbol" w:hAnsi="Symbol" w:hint="default"/>
      </w:rPr>
    </w:lvl>
    <w:lvl w:ilvl="1" w:tplc="10090003" w:tentative="1">
      <w:start w:val="1"/>
      <w:numFmt w:val="bullet"/>
      <w:lvlText w:val="o"/>
      <w:lvlJc w:val="left"/>
      <w:pPr>
        <w:ind w:left="1695" w:hanging="360"/>
      </w:pPr>
      <w:rPr>
        <w:rFonts w:ascii="Courier New" w:hAnsi="Courier New" w:cs="Courier New" w:hint="default"/>
      </w:rPr>
    </w:lvl>
    <w:lvl w:ilvl="2" w:tplc="10090005" w:tentative="1">
      <w:start w:val="1"/>
      <w:numFmt w:val="bullet"/>
      <w:lvlText w:val=""/>
      <w:lvlJc w:val="left"/>
      <w:pPr>
        <w:ind w:left="2415" w:hanging="360"/>
      </w:pPr>
      <w:rPr>
        <w:rFonts w:ascii="Wingdings" w:hAnsi="Wingdings" w:hint="default"/>
      </w:rPr>
    </w:lvl>
    <w:lvl w:ilvl="3" w:tplc="10090001" w:tentative="1">
      <w:start w:val="1"/>
      <w:numFmt w:val="bullet"/>
      <w:lvlText w:val=""/>
      <w:lvlJc w:val="left"/>
      <w:pPr>
        <w:ind w:left="3135" w:hanging="360"/>
      </w:pPr>
      <w:rPr>
        <w:rFonts w:ascii="Symbol" w:hAnsi="Symbol" w:hint="default"/>
      </w:rPr>
    </w:lvl>
    <w:lvl w:ilvl="4" w:tplc="10090003" w:tentative="1">
      <w:start w:val="1"/>
      <w:numFmt w:val="bullet"/>
      <w:lvlText w:val="o"/>
      <w:lvlJc w:val="left"/>
      <w:pPr>
        <w:ind w:left="3855" w:hanging="360"/>
      </w:pPr>
      <w:rPr>
        <w:rFonts w:ascii="Courier New" w:hAnsi="Courier New" w:cs="Courier New" w:hint="default"/>
      </w:rPr>
    </w:lvl>
    <w:lvl w:ilvl="5" w:tplc="10090005" w:tentative="1">
      <w:start w:val="1"/>
      <w:numFmt w:val="bullet"/>
      <w:lvlText w:val=""/>
      <w:lvlJc w:val="left"/>
      <w:pPr>
        <w:ind w:left="4575" w:hanging="360"/>
      </w:pPr>
      <w:rPr>
        <w:rFonts w:ascii="Wingdings" w:hAnsi="Wingdings" w:hint="default"/>
      </w:rPr>
    </w:lvl>
    <w:lvl w:ilvl="6" w:tplc="10090001" w:tentative="1">
      <w:start w:val="1"/>
      <w:numFmt w:val="bullet"/>
      <w:lvlText w:val=""/>
      <w:lvlJc w:val="left"/>
      <w:pPr>
        <w:ind w:left="5295" w:hanging="360"/>
      </w:pPr>
      <w:rPr>
        <w:rFonts w:ascii="Symbol" w:hAnsi="Symbol" w:hint="default"/>
      </w:rPr>
    </w:lvl>
    <w:lvl w:ilvl="7" w:tplc="10090003" w:tentative="1">
      <w:start w:val="1"/>
      <w:numFmt w:val="bullet"/>
      <w:lvlText w:val="o"/>
      <w:lvlJc w:val="left"/>
      <w:pPr>
        <w:ind w:left="6015" w:hanging="360"/>
      </w:pPr>
      <w:rPr>
        <w:rFonts w:ascii="Courier New" w:hAnsi="Courier New" w:cs="Courier New" w:hint="default"/>
      </w:rPr>
    </w:lvl>
    <w:lvl w:ilvl="8" w:tplc="10090005" w:tentative="1">
      <w:start w:val="1"/>
      <w:numFmt w:val="bullet"/>
      <w:lvlText w:val=""/>
      <w:lvlJc w:val="left"/>
      <w:pPr>
        <w:ind w:left="6735" w:hanging="360"/>
      </w:pPr>
      <w:rPr>
        <w:rFonts w:ascii="Wingdings" w:hAnsi="Wingdings" w:hint="default"/>
      </w:rPr>
    </w:lvl>
  </w:abstractNum>
  <w:abstractNum w:abstractNumId="1" w15:restartNumberingAfterBreak="0">
    <w:nsid w:val="46B8435E"/>
    <w:multiLevelType w:val="hybridMultilevel"/>
    <w:tmpl w:val="690EB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8B62ED3"/>
    <w:multiLevelType w:val="hybridMultilevel"/>
    <w:tmpl w:val="FC54B7EC"/>
    <w:lvl w:ilvl="0" w:tplc="10090001">
      <w:start w:val="1"/>
      <w:numFmt w:val="bullet"/>
      <w:lvlText w:val=""/>
      <w:lvlJc w:val="left"/>
      <w:pPr>
        <w:ind w:left="915" w:hanging="360"/>
      </w:pPr>
      <w:rPr>
        <w:rFonts w:ascii="Symbol" w:hAnsi="Symbol" w:hint="default"/>
      </w:rPr>
    </w:lvl>
    <w:lvl w:ilvl="1" w:tplc="10090003" w:tentative="1">
      <w:start w:val="1"/>
      <w:numFmt w:val="bullet"/>
      <w:lvlText w:val="o"/>
      <w:lvlJc w:val="left"/>
      <w:pPr>
        <w:ind w:left="1635" w:hanging="360"/>
      </w:pPr>
      <w:rPr>
        <w:rFonts w:ascii="Courier New" w:hAnsi="Courier New" w:cs="Courier New" w:hint="default"/>
      </w:rPr>
    </w:lvl>
    <w:lvl w:ilvl="2" w:tplc="10090005" w:tentative="1">
      <w:start w:val="1"/>
      <w:numFmt w:val="bullet"/>
      <w:lvlText w:val=""/>
      <w:lvlJc w:val="left"/>
      <w:pPr>
        <w:ind w:left="2355" w:hanging="360"/>
      </w:pPr>
      <w:rPr>
        <w:rFonts w:ascii="Wingdings" w:hAnsi="Wingdings" w:hint="default"/>
      </w:rPr>
    </w:lvl>
    <w:lvl w:ilvl="3" w:tplc="10090001" w:tentative="1">
      <w:start w:val="1"/>
      <w:numFmt w:val="bullet"/>
      <w:lvlText w:val=""/>
      <w:lvlJc w:val="left"/>
      <w:pPr>
        <w:ind w:left="3075" w:hanging="360"/>
      </w:pPr>
      <w:rPr>
        <w:rFonts w:ascii="Symbol" w:hAnsi="Symbol" w:hint="default"/>
      </w:rPr>
    </w:lvl>
    <w:lvl w:ilvl="4" w:tplc="10090003" w:tentative="1">
      <w:start w:val="1"/>
      <w:numFmt w:val="bullet"/>
      <w:lvlText w:val="o"/>
      <w:lvlJc w:val="left"/>
      <w:pPr>
        <w:ind w:left="3795" w:hanging="360"/>
      </w:pPr>
      <w:rPr>
        <w:rFonts w:ascii="Courier New" w:hAnsi="Courier New" w:cs="Courier New" w:hint="default"/>
      </w:rPr>
    </w:lvl>
    <w:lvl w:ilvl="5" w:tplc="10090005" w:tentative="1">
      <w:start w:val="1"/>
      <w:numFmt w:val="bullet"/>
      <w:lvlText w:val=""/>
      <w:lvlJc w:val="left"/>
      <w:pPr>
        <w:ind w:left="4515" w:hanging="360"/>
      </w:pPr>
      <w:rPr>
        <w:rFonts w:ascii="Wingdings" w:hAnsi="Wingdings" w:hint="default"/>
      </w:rPr>
    </w:lvl>
    <w:lvl w:ilvl="6" w:tplc="10090001" w:tentative="1">
      <w:start w:val="1"/>
      <w:numFmt w:val="bullet"/>
      <w:lvlText w:val=""/>
      <w:lvlJc w:val="left"/>
      <w:pPr>
        <w:ind w:left="5235" w:hanging="360"/>
      </w:pPr>
      <w:rPr>
        <w:rFonts w:ascii="Symbol" w:hAnsi="Symbol" w:hint="default"/>
      </w:rPr>
    </w:lvl>
    <w:lvl w:ilvl="7" w:tplc="10090003" w:tentative="1">
      <w:start w:val="1"/>
      <w:numFmt w:val="bullet"/>
      <w:lvlText w:val="o"/>
      <w:lvlJc w:val="left"/>
      <w:pPr>
        <w:ind w:left="5955" w:hanging="360"/>
      </w:pPr>
      <w:rPr>
        <w:rFonts w:ascii="Courier New" w:hAnsi="Courier New" w:cs="Courier New" w:hint="default"/>
      </w:rPr>
    </w:lvl>
    <w:lvl w:ilvl="8" w:tplc="10090005" w:tentative="1">
      <w:start w:val="1"/>
      <w:numFmt w:val="bullet"/>
      <w:lvlText w:val=""/>
      <w:lvlJc w:val="left"/>
      <w:pPr>
        <w:ind w:left="667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52"/>
    <w:rsid w:val="00507F6E"/>
    <w:rsid w:val="00856652"/>
    <w:rsid w:val="00952151"/>
    <w:rsid w:val="00AA1A6B"/>
    <w:rsid w:val="00B504B2"/>
    <w:rsid w:val="00CE7ED2"/>
    <w:rsid w:val="00DD47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C73C"/>
  <w15:chartTrackingRefBased/>
  <w15:docId w15:val="{43EAF992-0C36-44F3-8CBA-446503CC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Rick -STAKEREL</dc:creator>
  <cp:keywords/>
  <dc:description/>
  <cp:lastModifiedBy>JENNINGS Rick -STAKEREL</cp:lastModifiedBy>
  <cp:revision>3</cp:revision>
  <dcterms:created xsi:type="dcterms:W3CDTF">2018-02-14T19:49:00Z</dcterms:created>
  <dcterms:modified xsi:type="dcterms:W3CDTF">2018-02-14T20:20:00Z</dcterms:modified>
</cp:coreProperties>
</file>