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9BF" w:rsidRDefault="00682D6E">
      <w:pPr>
        <w:tabs>
          <w:tab w:val="left" w:pos="720"/>
          <w:tab w:val="center" w:pos="4680"/>
        </w:tabs>
        <w:suppressAutoHyphens/>
        <w:jc w:val="center"/>
        <w:rPr>
          <w:b/>
          <w:sz w:val="22"/>
          <w:u w:val="single"/>
        </w:rPr>
      </w:pPr>
      <w:r>
        <w:rPr>
          <w:b/>
          <w:sz w:val="22"/>
          <w:u w:val="single"/>
        </w:rPr>
        <w:t>Ontario Power Generation</w:t>
      </w:r>
    </w:p>
    <w:p w:rsidR="003709BF" w:rsidRDefault="003709BF">
      <w:pPr>
        <w:tabs>
          <w:tab w:val="left" w:pos="720"/>
          <w:tab w:val="center" w:pos="4680"/>
        </w:tabs>
        <w:suppressAutoHyphens/>
        <w:jc w:val="center"/>
        <w:rPr>
          <w:b/>
          <w:sz w:val="16"/>
          <w:szCs w:val="16"/>
          <w:u w:val="single"/>
        </w:rPr>
      </w:pPr>
    </w:p>
    <w:tbl>
      <w:tblPr>
        <w:tblW w:w="0" w:type="auto"/>
        <w:tblBorders>
          <w:insideH w:val="single" w:sz="4" w:space="0" w:color="auto"/>
        </w:tblBorders>
        <w:tblLayout w:type="fixed"/>
        <w:tblCellMar>
          <w:left w:w="72" w:type="dxa"/>
          <w:right w:w="72" w:type="dxa"/>
        </w:tblCellMar>
        <w:tblLook w:val="0000"/>
      </w:tblPr>
      <w:tblGrid>
        <w:gridCol w:w="1512"/>
        <w:gridCol w:w="5400"/>
        <w:gridCol w:w="3330"/>
      </w:tblGrid>
      <w:tr w:rsidR="003709BF">
        <w:trPr>
          <w:trHeight w:val="297"/>
        </w:trPr>
        <w:tc>
          <w:tcPr>
            <w:tcW w:w="1512" w:type="dxa"/>
          </w:tcPr>
          <w:p w:rsidR="003709BF" w:rsidRDefault="003709BF">
            <w:pPr>
              <w:tabs>
                <w:tab w:val="left" w:pos="720"/>
                <w:tab w:val="center" w:pos="4680"/>
              </w:tabs>
              <w:suppressAutoHyphens/>
              <w:jc w:val="both"/>
              <w:rPr>
                <w:sz w:val="22"/>
              </w:rPr>
            </w:pPr>
          </w:p>
        </w:tc>
        <w:tc>
          <w:tcPr>
            <w:tcW w:w="5400" w:type="dxa"/>
          </w:tcPr>
          <w:p w:rsidR="003709BF" w:rsidRDefault="00682D6E">
            <w:pPr>
              <w:tabs>
                <w:tab w:val="left" w:pos="720"/>
                <w:tab w:val="center" w:pos="4680"/>
              </w:tabs>
              <w:suppressAutoHyphens/>
              <w:jc w:val="center"/>
              <w:rPr>
                <w:sz w:val="22"/>
              </w:rPr>
            </w:pPr>
            <w:r>
              <w:rPr>
                <w:sz w:val="22"/>
              </w:rPr>
              <w:t>SPECIAL COMMITTEE OF THE BOARD</w:t>
            </w:r>
          </w:p>
        </w:tc>
        <w:tc>
          <w:tcPr>
            <w:tcW w:w="3330" w:type="dxa"/>
          </w:tcPr>
          <w:p w:rsidR="003709BF" w:rsidRDefault="00682D6E">
            <w:pPr>
              <w:tabs>
                <w:tab w:val="left" w:pos="720"/>
                <w:tab w:val="center" w:pos="4680"/>
              </w:tabs>
              <w:suppressAutoHyphens/>
              <w:jc w:val="right"/>
              <w:rPr>
                <w:sz w:val="22"/>
              </w:rPr>
            </w:pPr>
            <w:r>
              <w:rPr>
                <w:rFonts w:cs="Arial"/>
                <w:b/>
                <w:i/>
                <w:sz w:val="22"/>
                <w:szCs w:val="22"/>
              </w:rPr>
              <w:t>OPG Confidential Exclusive</w:t>
            </w:r>
          </w:p>
        </w:tc>
      </w:tr>
    </w:tbl>
    <w:p w:rsidR="003709BF" w:rsidRDefault="003709BF">
      <w:pPr>
        <w:tabs>
          <w:tab w:val="left" w:pos="5920"/>
          <w:tab w:val="left" w:pos="10260"/>
        </w:tabs>
        <w:suppressAutoHyphens/>
        <w:jc w:val="both"/>
        <w:rPr>
          <w:rFonts w:cs="Arial"/>
          <w:sz w:val="16"/>
          <w:szCs w:val="16"/>
        </w:rPr>
      </w:pPr>
    </w:p>
    <w:p w:rsidR="003709BF" w:rsidRDefault="00682D6E">
      <w:pPr>
        <w:tabs>
          <w:tab w:val="left" w:pos="5920"/>
          <w:tab w:val="left" w:pos="10260"/>
        </w:tabs>
        <w:suppressAutoHyphens/>
        <w:jc w:val="both"/>
        <w:rPr>
          <w:rFonts w:cs="Arial"/>
          <w:sz w:val="22"/>
          <w:szCs w:val="22"/>
        </w:rPr>
      </w:pPr>
      <w:proofErr w:type="gramStart"/>
      <w:r>
        <w:rPr>
          <w:rFonts w:cs="Arial"/>
          <w:sz w:val="22"/>
          <w:szCs w:val="22"/>
        </w:rPr>
        <w:t xml:space="preserve">Minutes of a meeting of the Special Committee of the Board of Directors of Ontario Power Generation, </w:t>
      </w:r>
      <w:r>
        <w:rPr>
          <w:rFonts w:cs="Arial"/>
          <w:sz w:val="22"/>
          <w:szCs w:val="22"/>
        </w:rPr>
        <w:t>held by teleconference call, on June 26, 2017, at 7:00 a.m.</w:t>
      </w:r>
      <w:proofErr w:type="gramEnd"/>
    </w:p>
    <w:p w:rsidR="003709BF" w:rsidRDefault="00682D6E">
      <w:pPr>
        <w:tabs>
          <w:tab w:val="left" w:pos="-720"/>
          <w:tab w:val="left" w:pos="2160"/>
        </w:tabs>
        <w:suppressAutoHyphens/>
        <w:jc w:val="both"/>
        <w:rPr>
          <w:rFonts w:cs="Arial"/>
          <w:sz w:val="16"/>
          <w:szCs w:val="16"/>
        </w:rPr>
      </w:pPr>
      <w:r>
        <w:rPr>
          <w:rFonts w:cs="Arial"/>
          <w:sz w:val="22"/>
          <w:szCs w:val="22"/>
        </w:rPr>
        <w:tab/>
      </w:r>
    </w:p>
    <w:p w:rsidR="003709BF" w:rsidRDefault="00682D6E">
      <w:pPr>
        <w:tabs>
          <w:tab w:val="left" w:pos="-720"/>
          <w:tab w:val="left" w:pos="2160"/>
        </w:tabs>
        <w:suppressAutoHyphens/>
        <w:ind w:left="2160"/>
        <w:jc w:val="both"/>
        <w:rPr>
          <w:rFonts w:cs="Arial"/>
          <w:sz w:val="22"/>
          <w:szCs w:val="22"/>
        </w:rPr>
      </w:pPr>
      <w:r>
        <w:rPr>
          <w:rFonts w:cs="Arial"/>
          <w:sz w:val="22"/>
          <w:szCs w:val="22"/>
          <w:u w:val="single"/>
        </w:rPr>
        <w:t>Present</w:t>
      </w:r>
    </w:p>
    <w:p w:rsidR="003709BF" w:rsidRDefault="00682D6E">
      <w:pPr>
        <w:tabs>
          <w:tab w:val="left" w:pos="-720"/>
          <w:tab w:val="left" w:pos="2160"/>
          <w:tab w:val="left" w:pos="4320"/>
          <w:tab w:val="left" w:pos="6120"/>
        </w:tabs>
        <w:suppressAutoHyphens/>
        <w:ind w:left="2160"/>
        <w:jc w:val="both"/>
        <w:rPr>
          <w:rFonts w:cs="Arial"/>
          <w:sz w:val="22"/>
          <w:szCs w:val="22"/>
        </w:rPr>
      </w:pPr>
      <w:r>
        <w:rPr>
          <w:rFonts w:cs="Arial"/>
          <w:sz w:val="22"/>
          <w:szCs w:val="22"/>
        </w:rPr>
        <w:t>George Lewis</w:t>
      </w:r>
      <w:r>
        <w:rPr>
          <w:rFonts w:cs="Arial"/>
          <w:sz w:val="22"/>
          <w:szCs w:val="22"/>
        </w:rPr>
        <w:tab/>
        <w:t>Committee Chair</w:t>
      </w:r>
    </w:p>
    <w:p w:rsidR="003709BF" w:rsidRDefault="00682D6E">
      <w:pPr>
        <w:tabs>
          <w:tab w:val="left" w:pos="-720"/>
          <w:tab w:val="left" w:pos="0"/>
          <w:tab w:val="left" w:pos="810"/>
          <w:tab w:val="left" w:pos="1440"/>
        </w:tabs>
        <w:suppressAutoHyphens/>
        <w:ind w:left="2160"/>
        <w:jc w:val="both"/>
        <w:rPr>
          <w:rFonts w:cs="Arial"/>
          <w:spacing w:val="-3"/>
          <w:sz w:val="22"/>
          <w:szCs w:val="22"/>
        </w:rPr>
      </w:pPr>
      <w:r>
        <w:rPr>
          <w:rFonts w:cs="Arial"/>
          <w:spacing w:val="-3"/>
          <w:sz w:val="22"/>
          <w:szCs w:val="22"/>
        </w:rPr>
        <w:t>Bill Coley</w:t>
      </w:r>
      <w:r>
        <w:rPr>
          <w:rFonts w:cs="Arial"/>
          <w:spacing w:val="-3"/>
          <w:sz w:val="22"/>
          <w:szCs w:val="22"/>
        </w:rPr>
        <w:tab/>
      </w:r>
      <w:r>
        <w:rPr>
          <w:rFonts w:cs="Arial"/>
          <w:spacing w:val="-3"/>
          <w:sz w:val="22"/>
          <w:szCs w:val="22"/>
        </w:rPr>
        <w:tab/>
        <w:t>Member</w:t>
      </w:r>
    </w:p>
    <w:p w:rsidR="003709BF" w:rsidRDefault="00682D6E">
      <w:pPr>
        <w:tabs>
          <w:tab w:val="left" w:pos="-720"/>
          <w:tab w:val="left" w:pos="2160"/>
          <w:tab w:val="left" w:pos="4320"/>
        </w:tabs>
        <w:suppressAutoHyphens/>
        <w:ind w:left="2160"/>
        <w:jc w:val="both"/>
        <w:rPr>
          <w:rFonts w:cs="Arial"/>
          <w:spacing w:val="-3"/>
          <w:sz w:val="22"/>
          <w:szCs w:val="22"/>
        </w:rPr>
      </w:pPr>
      <w:r>
        <w:rPr>
          <w:rFonts w:cs="Arial"/>
          <w:spacing w:val="-3"/>
          <w:sz w:val="22"/>
          <w:szCs w:val="22"/>
        </w:rPr>
        <w:t>Lisa DeMarco</w:t>
      </w:r>
      <w:r>
        <w:rPr>
          <w:rFonts w:cs="Arial"/>
          <w:spacing w:val="-3"/>
          <w:sz w:val="22"/>
          <w:szCs w:val="22"/>
        </w:rPr>
        <w:tab/>
        <w:t>Member</w:t>
      </w:r>
    </w:p>
    <w:p w:rsidR="003709BF" w:rsidRDefault="00682D6E">
      <w:pPr>
        <w:tabs>
          <w:tab w:val="left" w:pos="-720"/>
          <w:tab w:val="left" w:pos="2160"/>
          <w:tab w:val="left" w:pos="4320"/>
        </w:tabs>
        <w:suppressAutoHyphens/>
        <w:ind w:left="2160"/>
        <w:jc w:val="both"/>
        <w:rPr>
          <w:rFonts w:cs="Arial"/>
          <w:spacing w:val="-3"/>
          <w:sz w:val="22"/>
          <w:szCs w:val="22"/>
        </w:rPr>
      </w:pPr>
      <w:r>
        <w:rPr>
          <w:rFonts w:cs="Arial"/>
          <w:spacing w:val="-3"/>
          <w:sz w:val="22"/>
          <w:szCs w:val="22"/>
        </w:rPr>
        <w:t>Peggy Mulligan</w:t>
      </w:r>
      <w:r>
        <w:rPr>
          <w:rFonts w:cs="Arial"/>
          <w:spacing w:val="-3"/>
          <w:sz w:val="22"/>
          <w:szCs w:val="22"/>
        </w:rPr>
        <w:tab/>
        <w:t xml:space="preserve">Member </w:t>
      </w:r>
    </w:p>
    <w:p w:rsidR="003709BF" w:rsidRDefault="00682D6E">
      <w:pPr>
        <w:tabs>
          <w:tab w:val="left" w:pos="-720"/>
          <w:tab w:val="left" w:pos="2160"/>
          <w:tab w:val="left" w:pos="4320"/>
        </w:tabs>
        <w:suppressAutoHyphens/>
        <w:ind w:left="2160"/>
        <w:jc w:val="both"/>
        <w:rPr>
          <w:rFonts w:cs="Arial"/>
          <w:spacing w:val="-3"/>
          <w:sz w:val="22"/>
          <w:szCs w:val="22"/>
        </w:rPr>
      </w:pPr>
      <w:r>
        <w:rPr>
          <w:rFonts w:cs="Arial"/>
          <w:spacing w:val="-3"/>
          <w:sz w:val="22"/>
          <w:szCs w:val="22"/>
        </w:rPr>
        <w:t>Yezdi Pavri</w:t>
      </w:r>
      <w:r>
        <w:rPr>
          <w:rFonts w:cs="Arial"/>
          <w:spacing w:val="-3"/>
          <w:sz w:val="22"/>
          <w:szCs w:val="22"/>
        </w:rPr>
        <w:tab/>
        <w:t>Member</w:t>
      </w:r>
    </w:p>
    <w:p w:rsidR="003709BF" w:rsidRDefault="003709BF">
      <w:pPr>
        <w:tabs>
          <w:tab w:val="left" w:pos="-720"/>
          <w:tab w:val="left" w:pos="2160"/>
          <w:tab w:val="left" w:pos="4320"/>
        </w:tabs>
        <w:suppressAutoHyphens/>
        <w:ind w:left="2160"/>
        <w:jc w:val="both"/>
        <w:rPr>
          <w:rFonts w:cs="Arial"/>
          <w:spacing w:val="-3"/>
          <w:sz w:val="22"/>
          <w:szCs w:val="22"/>
        </w:rPr>
      </w:pPr>
    </w:p>
    <w:p w:rsidR="003709BF" w:rsidRDefault="00682D6E">
      <w:pPr>
        <w:tabs>
          <w:tab w:val="left" w:pos="-720"/>
          <w:tab w:val="left" w:pos="2160"/>
        </w:tabs>
        <w:suppressAutoHyphens/>
        <w:ind w:left="2160"/>
        <w:jc w:val="both"/>
        <w:rPr>
          <w:rFonts w:cs="Arial"/>
          <w:spacing w:val="-3"/>
          <w:sz w:val="22"/>
          <w:szCs w:val="22"/>
        </w:rPr>
      </w:pPr>
      <w:proofErr w:type="gramStart"/>
      <w:r>
        <w:rPr>
          <w:rFonts w:cs="Arial"/>
          <w:spacing w:val="-3"/>
          <w:sz w:val="22"/>
          <w:szCs w:val="22"/>
        </w:rPr>
        <w:t>being</w:t>
      </w:r>
      <w:proofErr w:type="gramEnd"/>
      <w:r>
        <w:rPr>
          <w:rFonts w:cs="Arial"/>
          <w:spacing w:val="-3"/>
          <w:sz w:val="22"/>
          <w:szCs w:val="22"/>
        </w:rPr>
        <w:t xml:space="preserve"> a quorum of the Directors of the Committee, and</w:t>
      </w:r>
    </w:p>
    <w:p w:rsidR="003709BF" w:rsidRDefault="003709BF">
      <w:pPr>
        <w:tabs>
          <w:tab w:val="left" w:pos="-720"/>
          <w:tab w:val="left" w:pos="2160"/>
          <w:tab w:val="left" w:pos="4320"/>
        </w:tabs>
        <w:suppressAutoHyphens/>
        <w:jc w:val="both"/>
        <w:rPr>
          <w:rFonts w:cs="Arial"/>
          <w:spacing w:val="-3"/>
          <w:sz w:val="16"/>
          <w:szCs w:val="16"/>
        </w:rPr>
      </w:pPr>
    </w:p>
    <w:p w:rsidR="003709BF" w:rsidRDefault="00682D6E">
      <w:pPr>
        <w:tabs>
          <w:tab w:val="left" w:pos="-720"/>
          <w:tab w:val="left" w:pos="2160"/>
          <w:tab w:val="left" w:pos="4320"/>
        </w:tabs>
        <w:suppressAutoHyphens/>
        <w:ind w:left="2160"/>
        <w:jc w:val="both"/>
        <w:rPr>
          <w:rFonts w:cs="Arial"/>
          <w:sz w:val="22"/>
          <w:szCs w:val="22"/>
        </w:rPr>
      </w:pPr>
      <w:r>
        <w:rPr>
          <w:rFonts w:cs="Arial"/>
          <w:sz w:val="22"/>
          <w:szCs w:val="22"/>
        </w:rPr>
        <w:t xml:space="preserve">Jeffrey Lyash </w:t>
      </w:r>
      <w:r>
        <w:rPr>
          <w:rFonts w:cs="Arial"/>
          <w:sz w:val="22"/>
          <w:szCs w:val="22"/>
        </w:rPr>
        <w:tab/>
        <w:t>Presi</w:t>
      </w:r>
      <w:r>
        <w:rPr>
          <w:rFonts w:cs="Arial"/>
          <w:sz w:val="22"/>
          <w:szCs w:val="22"/>
        </w:rPr>
        <w:t>dent and Chief Executive Officer</w:t>
      </w:r>
    </w:p>
    <w:p w:rsidR="003709BF" w:rsidRDefault="00682D6E">
      <w:pPr>
        <w:tabs>
          <w:tab w:val="left" w:pos="-720"/>
          <w:tab w:val="left" w:pos="2160"/>
          <w:tab w:val="left" w:pos="4320"/>
        </w:tabs>
        <w:suppressAutoHyphens/>
        <w:ind w:left="4320" w:hanging="2160"/>
        <w:jc w:val="both"/>
        <w:rPr>
          <w:rFonts w:cs="Arial"/>
          <w:sz w:val="22"/>
          <w:szCs w:val="22"/>
        </w:rPr>
      </w:pPr>
      <w:r>
        <w:rPr>
          <w:rFonts w:cs="Arial"/>
          <w:sz w:val="22"/>
          <w:szCs w:val="22"/>
        </w:rPr>
        <w:t>Catriona King</w:t>
      </w:r>
      <w:r>
        <w:rPr>
          <w:rFonts w:cs="Arial"/>
          <w:sz w:val="22"/>
          <w:szCs w:val="22"/>
        </w:rPr>
        <w:tab/>
        <w:t>Vice President, Corporate Secretary</w:t>
      </w:r>
    </w:p>
    <w:p w:rsidR="003709BF" w:rsidRDefault="00682D6E">
      <w:pPr>
        <w:tabs>
          <w:tab w:val="left" w:pos="-720"/>
          <w:tab w:val="left" w:pos="2160"/>
          <w:tab w:val="left" w:pos="4320"/>
        </w:tabs>
        <w:suppressAutoHyphens/>
        <w:ind w:left="4320" w:hanging="2160"/>
        <w:jc w:val="both"/>
        <w:rPr>
          <w:rFonts w:cs="Arial"/>
          <w:sz w:val="22"/>
          <w:szCs w:val="22"/>
        </w:rPr>
      </w:pPr>
      <w:r>
        <w:rPr>
          <w:rFonts w:cs="Arial"/>
          <w:sz w:val="22"/>
          <w:szCs w:val="22"/>
        </w:rPr>
        <w:t>Carlton Mathias</w:t>
      </w:r>
      <w:r>
        <w:rPr>
          <w:rFonts w:cs="Arial"/>
          <w:sz w:val="22"/>
          <w:szCs w:val="22"/>
        </w:rPr>
        <w:tab/>
        <w:t>Assistant Corporate Secretary</w:t>
      </w:r>
    </w:p>
    <w:p w:rsidR="003709BF" w:rsidRDefault="003709BF">
      <w:pPr>
        <w:tabs>
          <w:tab w:val="left" w:pos="-720"/>
          <w:tab w:val="left" w:pos="2160"/>
          <w:tab w:val="left" w:pos="4320"/>
        </w:tabs>
        <w:suppressAutoHyphens/>
        <w:ind w:left="4320" w:hanging="2160"/>
        <w:jc w:val="both"/>
        <w:rPr>
          <w:rFonts w:cs="Arial"/>
          <w:sz w:val="22"/>
          <w:szCs w:val="22"/>
        </w:rPr>
      </w:pPr>
    </w:p>
    <w:p w:rsidR="003709BF" w:rsidRDefault="00682D6E">
      <w:pPr>
        <w:tabs>
          <w:tab w:val="left" w:pos="-720"/>
          <w:tab w:val="left" w:pos="2160"/>
          <w:tab w:val="left" w:pos="4320"/>
        </w:tabs>
        <w:suppressAutoHyphens/>
        <w:ind w:left="2160"/>
        <w:jc w:val="both"/>
        <w:rPr>
          <w:rFonts w:cs="Arial"/>
          <w:spacing w:val="-3"/>
          <w:sz w:val="22"/>
          <w:szCs w:val="22"/>
          <w:u w:val="single"/>
        </w:rPr>
      </w:pPr>
      <w:r>
        <w:rPr>
          <w:rFonts w:cs="Arial"/>
          <w:spacing w:val="-3"/>
          <w:sz w:val="22"/>
          <w:szCs w:val="22"/>
          <w:u w:val="single"/>
        </w:rPr>
        <w:t>Regrets</w:t>
      </w:r>
    </w:p>
    <w:p w:rsidR="003709BF" w:rsidRDefault="00682D6E">
      <w:pPr>
        <w:tabs>
          <w:tab w:val="left" w:pos="-720"/>
          <w:tab w:val="left" w:pos="0"/>
          <w:tab w:val="left" w:pos="810"/>
          <w:tab w:val="left" w:pos="1440"/>
        </w:tabs>
        <w:suppressAutoHyphens/>
        <w:ind w:left="2160"/>
        <w:jc w:val="both"/>
        <w:rPr>
          <w:rFonts w:cs="Arial"/>
          <w:spacing w:val="-3"/>
          <w:sz w:val="22"/>
          <w:szCs w:val="22"/>
        </w:rPr>
      </w:pPr>
      <w:r>
        <w:rPr>
          <w:rFonts w:cs="Arial"/>
          <w:spacing w:val="-3"/>
          <w:sz w:val="22"/>
          <w:szCs w:val="22"/>
        </w:rPr>
        <w:t>Bernard Lord</w:t>
      </w:r>
      <w:r>
        <w:rPr>
          <w:rFonts w:cs="Arial"/>
          <w:spacing w:val="-3"/>
          <w:sz w:val="22"/>
          <w:szCs w:val="22"/>
        </w:rPr>
        <w:tab/>
      </w:r>
      <w:r>
        <w:rPr>
          <w:rFonts w:cs="Arial"/>
          <w:spacing w:val="-3"/>
          <w:sz w:val="22"/>
          <w:szCs w:val="22"/>
        </w:rPr>
        <w:tab/>
        <w:t>Member</w:t>
      </w:r>
    </w:p>
    <w:p w:rsidR="003709BF" w:rsidRDefault="003709BF">
      <w:pPr>
        <w:tabs>
          <w:tab w:val="left" w:pos="-720"/>
          <w:tab w:val="left" w:pos="0"/>
          <w:tab w:val="left" w:pos="810"/>
          <w:tab w:val="left" w:pos="1440"/>
        </w:tabs>
        <w:suppressAutoHyphens/>
        <w:jc w:val="both"/>
        <w:rPr>
          <w:rFonts w:cs="Arial"/>
          <w:spacing w:val="-3"/>
          <w:sz w:val="16"/>
          <w:szCs w:val="16"/>
        </w:rPr>
      </w:pPr>
    </w:p>
    <w:p w:rsidR="003709BF" w:rsidRDefault="00682D6E">
      <w:pPr>
        <w:tabs>
          <w:tab w:val="left" w:pos="-720"/>
          <w:tab w:val="left" w:pos="0"/>
          <w:tab w:val="left" w:pos="810"/>
          <w:tab w:val="left" w:pos="1440"/>
        </w:tabs>
        <w:suppressAutoHyphens/>
        <w:jc w:val="both"/>
        <w:rPr>
          <w:rFonts w:cs="Arial"/>
          <w:spacing w:val="-3"/>
          <w:sz w:val="16"/>
          <w:szCs w:val="16"/>
        </w:rPr>
      </w:pPr>
      <w:r>
        <w:rPr>
          <w:rFonts w:cs="Arial"/>
          <w:spacing w:val="-3"/>
          <w:sz w:val="22"/>
          <w:szCs w:val="22"/>
        </w:rPr>
        <w:tab/>
      </w:r>
      <w:r>
        <w:rPr>
          <w:rFonts w:cs="Arial"/>
          <w:spacing w:val="-3"/>
          <w:sz w:val="22"/>
          <w:szCs w:val="22"/>
        </w:rPr>
        <w:tab/>
      </w:r>
      <w:r>
        <w:rPr>
          <w:rFonts w:cs="Arial"/>
          <w:spacing w:val="-3"/>
          <w:sz w:val="22"/>
          <w:szCs w:val="22"/>
        </w:rPr>
        <w:tab/>
      </w:r>
    </w:p>
    <w:p w:rsidR="003709BF" w:rsidRDefault="00682D6E">
      <w:pPr>
        <w:tabs>
          <w:tab w:val="left" w:pos="-720"/>
          <w:tab w:val="left" w:pos="720"/>
          <w:tab w:val="left" w:pos="810"/>
          <w:tab w:val="left" w:pos="1440"/>
        </w:tabs>
        <w:suppressAutoHyphens/>
        <w:ind w:left="720"/>
        <w:jc w:val="both"/>
        <w:rPr>
          <w:rFonts w:cs="Arial"/>
          <w:spacing w:val="-3"/>
          <w:sz w:val="22"/>
          <w:szCs w:val="22"/>
        </w:rPr>
      </w:pPr>
      <w:r>
        <w:rPr>
          <w:rFonts w:cs="Arial"/>
          <w:spacing w:val="-3"/>
          <w:sz w:val="22"/>
          <w:szCs w:val="22"/>
        </w:rPr>
        <w:t>The following individuals were in attendance:</w:t>
      </w:r>
    </w:p>
    <w:p w:rsidR="003709BF" w:rsidRDefault="003709BF">
      <w:pPr>
        <w:tabs>
          <w:tab w:val="left" w:pos="-720"/>
          <w:tab w:val="left" w:pos="0"/>
          <w:tab w:val="left" w:pos="810"/>
          <w:tab w:val="left" w:pos="1440"/>
        </w:tabs>
        <w:suppressAutoHyphens/>
        <w:jc w:val="both"/>
        <w:rPr>
          <w:rFonts w:cs="Arial"/>
          <w:spacing w:val="-3"/>
          <w:sz w:val="16"/>
          <w:szCs w:val="16"/>
        </w:rPr>
      </w:pPr>
    </w:p>
    <w:p w:rsidR="003709BF" w:rsidRDefault="00682D6E">
      <w:pPr>
        <w:tabs>
          <w:tab w:val="left" w:pos="-720"/>
          <w:tab w:val="left" w:pos="2160"/>
        </w:tabs>
        <w:suppressAutoHyphens/>
        <w:ind w:left="720"/>
        <w:rPr>
          <w:spacing w:val="-3"/>
          <w:sz w:val="22"/>
          <w:szCs w:val="22"/>
        </w:rPr>
      </w:pPr>
      <w:r>
        <w:rPr>
          <w:rFonts w:cs="Arial"/>
          <w:sz w:val="22"/>
          <w:szCs w:val="22"/>
        </w:rPr>
        <w:tab/>
      </w:r>
      <w:r>
        <w:rPr>
          <w:spacing w:val="-3"/>
          <w:sz w:val="22"/>
          <w:szCs w:val="22"/>
        </w:rPr>
        <w:t>Ken Hartwick</w:t>
      </w:r>
      <w:r>
        <w:rPr>
          <w:spacing w:val="-3"/>
          <w:sz w:val="22"/>
          <w:szCs w:val="22"/>
        </w:rPr>
        <w:tab/>
      </w:r>
      <w:r>
        <w:rPr>
          <w:spacing w:val="-3"/>
          <w:sz w:val="22"/>
          <w:szCs w:val="22"/>
        </w:rPr>
        <w:tab/>
        <w:t xml:space="preserve">Chief Financial Officer and </w:t>
      </w:r>
      <w:r>
        <w:rPr>
          <w:spacing w:val="-3"/>
          <w:sz w:val="22"/>
          <w:szCs w:val="22"/>
        </w:rPr>
        <w:t>SVP - Finance</w:t>
      </w:r>
    </w:p>
    <w:p w:rsidR="003709BF" w:rsidRDefault="00682D6E">
      <w:pPr>
        <w:tabs>
          <w:tab w:val="left" w:pos="-720"/>
          <w:tab w:val="left" w:pos="2160"/>
        </w:tabs>
        <w:suppressAutoHyphens/>
        <w:ind w:left="1980"/>
        <w:rPr>
          <w:spacing w:val="-3"/>
          <w:sz w:val="22"/>
          <w:szCs w:val="22"/>
        </w:rPr>
      </w:pPr>
      <w:r>
        <w:rPr>
          <w:spacing w:val="-3"/>
          <w:sz w:val="22"/>
          <w:szCs w:val="22"/>
        </w:rPr>
        <w:tab/>
        <w:t>Chris Ginther</w:t>
      </w:r>
      <w:r>
        <w:rPr>
          <w:spacing w:val="-3"/>
          <w:sz w:val="22"/>
          <w:szCs w:val="22"/>
        </w:rPr>
        <w:tab/>
      </w:r>
      <w:r>
        <w:rPr>
          <w:spacing w:val="-3"/>
          <w:sz w:val="22"/>
          <w:szCs w:val="22"/>
        </w:rPr>
        <w:tab/>
        <w:t>Chief Administrative Officer</w:t>
      </w:r>
    </w:p>
    <w:p w:rsidR="003709BF" w:rsidRDefault="00682D6E">
      <w:pPr>
        <w:tabs>
          <w:tab w:val="left" w:pos="-720"/>
          <w:tab w:val="left" w:pos="2160"/>
        </w:tabs>
        <w:suppressAutoHyphens/>
        <w:ind w:left="1980"/>
        <w:rPr>
          <w:spacing w:val="-3"/>
          <w:sz w:val="22"/>
          <w:szCs w:val="22"/>
        </w:rPr>
      </w:pPr>
      <w:r>
        <w:rPr>
          <w:spacing w:val="-3"/>
          <w:sz w:val="22"/>
          <w:szCs w:val="22"/>
        </w:rPr>
        <w:tab/>
        <w:t>Carlo Crozzoli</w:t>
      </w:r>
      <w:r>
        <w:rPr>
          <w:spacing w:val="-3"/>
          <w:sz w:val="22"/>
          <w:szCs w:val="22"/>
        </w:rPr>
        <w:tab/>
      </w:r>
      <w:r>
        <w:rPr>
          <w:spacing w:val="-3"/>
          <w:sz w:val="22"/>
          <w:szCs w:val="22"/>
        </w:rPr>
        <w:tab/>
        <w:t>SVP Corporate Business Development &amp; Strategy</w:t>
      </w:r>
    </w:p>
    <w:p w:rsidR="003709BF" w:rsidRDefault="00682D6E">
      <w:pPr>
        <w:tabs>
          <w:tab w:val="left" w:pos="-720"/>
          <w:tab w:val="left" w:pos="2160"/>
        </w:tabs>
        <w:suppressAutoHyphens/>
        <w:ind w:left="1980"/>
        <w:rPr>
          <w:spacing w:val="-3"/>
          <w:sz w:val="22"/>
          <w:szCs w:val="22"/>
        </w:rPr>
      </w:pPr>
      <w:r>
        <w:rPr>
          <w:spacing w:val="-3"/>
          <w:sz w:val="22"/>
          <w:szCs w:val="22"/>
        </w:rPr>
        <w:tab/>
        <w:t>John Lee</w:t>
      </w:r>
      <w:r>
        <w:rPr>
          <w:spacing w:val="-3"/>
          <w:sz w:val="22"/>
          <w:szCs w:val="22"/>
        </w:rPr>
        <w:tab/>
      </w:r>
      <w:r>
        <w:rPr>
          <w:spacing w:val="-3"/>
          <w:sz w:val="22"/>
          <w:szCs w:val="22"/>
        </w:rPr>
        <w:tab/>
        <w:t>Vice President, Treasurer</w:t>
      </w:r>
    </w:p>
    <w:p w:rsidR="003709BF" w:rsidRDefault="00682D6E">
      <w:pPr>
        <w:tabs>
          <w:tab w:val="left" w:pos="-720"/>
          <w:tab w:val="left" w:pos="2160"/>
        </w:tabs>
        <w:suppressAutoHyphens/>
        <w:ind w:left="1980"/>
        <w:rPr>
          <w:spacing w:val="-3"/>
          <w:sz w:val="22"/>
          <w:szCs w:val="22"/>
        </w:rPr>
      </w:pPr>
      <w:r>
        <w:rPr>
          <w:spacing w:val="-3"/>
          <w:sz w:val="22"/>
          <w:szCs w:val="22"/>
        </w:rPr>
        <w:tab/>
        <w:t>Jennifer Rowe</w:t>
      </w:r>
      <w:r>
        <w:rPr>
          <w:spacing w:val="-3"/>
          <w:sz w:val="22"/>
          <w:szCs w:val="22"/>
        </w:rPr>
        <w:tab/>
      </w:r>
      <w:r>
        <w:rPr>
          <w:spacing w:val="-3"/>
          <w:sz w:val="22"/>
          <w:szCs w:val="22"/>
        </w:rPr>
        <w:tab/>
        <w:t>Senior Vice President, Corporate Affairs</w:t>
      </w:r>
    </w:p>
    <w:p w:rsidR="003709BF" w:rsidRDefault="00682D6E">
      <w:pPr>
        <w:pStyle w:val="Normal1"/>
        <w:tabs>
          <w:tab w:val="left" w:pos="-720"/>
          <w:tab w:val="left" w:pos="0"/>
          <w:tab w:val="left" w:pos="2160"/>
        </w:tabs>
        <w:ind w:left="720" w:right="-324"/>
        <w:jc w:val="both"/>
        <w:rPr>
          <w:sz w:val="22"/>
          <w:szCs w:val="22"/>
        </w:rPr>
      </w:pPr>
      <w:r>
        <w:rPr>
          <w:sz w:val="22"/>
          <w:szCs w:val="22"/>
        </w:rPr>
        <w:tab/>
        <w:t>Les Wong</w:t>
      </w:r>
      <w:r>
        <w:rPr>
          <w:sz w:val="22"/>
          <w:szCs w:val="22"/>
        </w:rPr>
        <w:tab/>
      </w:r>
      <w:r>
        <w:rPr>
          <w:sz w:val="22"/>
          <w:szCs w:val="22"/>
        </w:rPr>
        <w:tab/>
      </w:r>
      <w:r>
        <w:rPr>
          <w:spacing w:val="-3"/>
          <w:sz w:val="22"/>
          <w:szCs w:val="22"/>
        </w:rPr>
        <w:t>Senior Counsel, OPG</w:t>
      </w:r>
      <w:r>
        <w:rPr>
          <w:spacing w:val="-3"/>
          <w:sz w:val="22"/>
          <w:szCs w:val="22"/>
        </w:rPr>
        <w:t xml:space="preserve"> Law Division</w:t>
      </w:r>
    </w:p>
    <w:p w:rsidR="003709BF" w:rsidRDefault="00682D6E">
      <w:pPr>
        <w:tabs>
          <w:tab w:val="left" w:pos="-720"/>
          <w:tab w:val="left" w:pos="0"/>
          <w:tab w:val="left" w:pos="2160"/>
        </w:tabs>
        <w:suppressAutoHyphens/>
        <w:ind w:left="720" w:right="-324"/>
        <w:jc w:val="both"/>
        <w:rPr>
          <w:rFonts w:cs="Arial"/>
          <w:sz w:val="22"/>
          <w:szCs w:val="22"/>
        </w:rPr>
      </w:pPr>
      <w:r>
        <w:rPr>
          <w:rFonts w:cs="Arial"/>
          <w:sz w:val="22"/>
          <w:szCs w:val="22"/>
        </w:rPr>
        <w:tab/>
        <w:t>William Orr</w:t>
      </w:r>
      <w:r>
        <w:rPr>
          <w:rFonts w:cs="Arial"/>
          <w:sz w:val="22"/>
          <w:szCs w:val="22"/>
        </w:rPr>
        <w:tab/>
      </w:r>
      <w:r>
        <w:rPr>
          <w:rFonts w:cs="Arial"/>
          <w:sz w:val="22"/>
          <w:szCs w:val="22"/>
        </w:rPr>
        <w:tab/>
        <w:t>Fasken Martineau</w:t>
      </w:r>
    </w:p>
    <w:p w:rsidR="003709BF" w:rsidRDefault="00682D6E">
      <w:pPr>
        <w:tabs>
          <w:tab w:val="left" w:pos="-720"/>
          <w:tab w:val="left" w:pos="0"/>
          <w:tab w:val="left" w:pos="2160"/>
        </w:tabs>
        <w:suppressAutoHyphens/>
        <w:ind w:left="720" w:right="-324"/>
        <w:jc w:val="both"/>
        <w:rPr>
          <w:rFonts w:cs="Arial"/>
          <w:sz w:val="22"/>
          <w:szCs w:val="22"/>
        </w:rPr>
      </w:pPr>
      <w:r>
        <w:rPr>
          <w:rFonts w:cs="Arial"/>
          <w:sz w:val="22"/>
          <w:szCs w:val="22"/>
        </w:rPr>
        <w:tab/>
        <w:t>Aaron Atkinson</w:t>
      </w:r>
      <w:r>
        <w:rPr>
          <w:rFonts w:cs="Arial"/>
          <w:sz w:val="22"/>
          <w:szCs w:val="22"/>
        </w:rPr>
        <w:tab/>
        <w:t>Fasken Martineau</w:t>
      </w:r>
    </w:p>
    <w:p w:rsidR="003709BF" w:rsidRDefault="00682D6E">
      <w:pPr>
        <w:tabs>
          <w:tab w:val="left" w:pos="-720"/>
          <w:tab w:val="left" w:pos="0"/>
          <w:tab w:val="left" w:pos="2160"/>
        </w:tabs>
        <w:suppressAutoHyphens/>
        <w:ind w:left="720" w:right="-324"/>
        <w:jc w:val="both"/>
        <w:rPr>
          <w:rFonts w:cs="Arial"/>
          <w:spacing w:val="-3"/>
          <w:sz w:val="22"/>
          <w:szCs w:val="22"/>
        </w:rPr>
      </w:pPr>
      <w:r>
        <w:rPr>
          <w:rFonts w:cs="Arial"/>
          <w:sz w:val="22"/>
          <w:szCs w:val="22"/>
        </w:rPr>
        <w:tab/>
      </w:r>
    </w:p>
    <w:p w:rsidR="003709BF" w:rsidRDefault="00682D6E">
      <w:pPr>
        <w:numPr>
          <w:ilvl w:val="0"/>
          <w:numId w:val="1"/>
        </w:numPr>
        <w:tabs>
          <w:tab w:val="clear" w:pos="720"/>
          <w:tab w:val="left" w:pos="-720"/>
          <w:tab w:val="num" w:pos="360"/>
        </w:tabs>
        <w:suppressAutoHyphens/>
        <w:ind w:right="324" w:hanging="720"/>
        <w:jc w:val="both"/>
        <w:rPr>
          <w:rFonts w:cs="Arial"/>
          <w:sz w:val="22"/>
          <w:szCs w:val="22"/>
          <w:u w:val="single"/>
          <w:lang w:val="en-US"/>
        </w:rPr>
      </w:pPr>
      <w:r>
        <w:rPr>
          <w:rFonts w:cs="Arial"/>
          <w:sz w:val="22"/>
          <w:szCs w:val="22"/>
          <w:u w:val="single"/>
          <w:lang w:val="en-US"/>
        </w:rPr>
        <w:t>Constitution of Meeting/Approval of Agenda</w:t>
      </w:r>
    </w:p>
    <w:p w:rsidR="003709BF" w:rsidRDefault="003709BF">
      <w:pPr>
        <w:tabs>
          <w:tab w:val="left" w:pos="-720"/>
        </w:tabs>
        <w:suppressAutoHyphens/>
        <w:ind w:left="360" w:right="324"/>
        <w:jc w:val="both"/>
        <w:rPr>
          <w:rFonts w:cs="Arial"/>
          <w:sz w:val="22"/>
          <w:szCs w:val="22"/>
          <w:lang w:val="en-US"/>
        </w:rPr>
      </w:pPr>
    </w:p>
    <w:p w:rsidR="003709BF" w:rsidRDefault="00682D6E">
      <w:pPr>
        <w:tabs>
          <w:tab w:val="left" w:pos="-720"/>
        </w:tabs>
        <w:suppressAutoHyphens/>
        <w:ind w:left="360" w:right="36"/>
        <w:jc w:val="both"/>
        <w:rPr>
          <w:rFonts w:cs="Arial"/>
          <w:sz w:val="22"/>
          <w:szCs w:val="22"/>
        </w:rPr>
      </w:pPr>
      <w:r>
        <w:rPr>
          <w:rFonts w:cs="Arial"/>
          <w:sz w:val="22"/>
          <w:szCs w:val="22"/>
        </w:rPr>
        <w:t>Notice of the meeting having been given to all the members of the Special Committee and a quorum of the members being present, the C</w:t>
      </w:r>
      <w:r>
        <w:rPr>
          <w:rFonts w:cs="Arial"/>
          <w:sz w:val="22"/>
          <w:szCs w:val="22"/>
        </w:rPr>
        <w:t xml:space="preserve">ommittee Chair declared the meeting regularly constituted for the transaction of business on June 26, 2017 at 7:00 am. </w:t>
      </w:r>
    </w:p>
    <w:p w:rsidR="003709BF" w:rsidRDefault="003709BF">
      <w:pPr>
        <w:tabs>
          <w:tab w:val="left" w:pos="-720"/>
        </w:tabs>
        <w:suppressAutoHyphens/>
        <w:ind w:left="360" w:right="36"/>
        <w:jc w:val="both"/>
        <w:rPr>
          <w:rFonts w:cs="Arial"/>
          <w:sz w:val="22"/>
          <w:szCs w:val="22"/>
        </w:rPr>
      </w:pPr>
    </w:p>
    <w:p w:rsidR="003709BF" w:rsidRDefault="00682D6E">
      <w:pPr>
        <w:pStyle w:val="ListParagraph"/>
        <w:numPr>
          <w:ilvl w:val="0"/>
          <w:numId w:val="5"/>
        </w:numPr>
        <w:tabs>
          <w:tab w:val="left" w:pos="-720"/>
        </w:tabs>
        <w:suppressAutoHyphens/>
        <w:spacing w:after="0" w:line="240" w:lineRule="auto"/>
        <w:ind w:right="324"/>
        <w:jc w:val="both"/>
        <w:rPr>
          <w:rFonts w:ascii="Arial" w:hAnsi="Arial" w:cs="Arial"/>
        </w:rPr>
      </w:pPr>
      <w:r>
        <w:rPr>
          <w:rFonts w:ascii="Arial" w:hAnsi="Arial" w:cs="Arial"/>
        </w:rPr>
        <w:t>Approval of Agenda</w:t>
      </w:r>
    </w:p>
    <w:p w:rsidR="003709BF" w:rsidRDefault="003709BF">
      <w:pPr>
        <w:tabs>
          <w:tab w:val="left" w:pos="-720"/>
        </w:tabs>
        <w:suppressAutoHyphens/>
        <w:ind w:left="720" w:right="324"/>
        <w:jc w:val="both"/>
        <w:rPr>
          <w:rFonts w:cs="Arial"/>
          <w:sz w:val="22"/>
          <w:szCs w:val="22"/>
        </w:rPr>
      </w:pPr>
    </w:p>
    <w:p w:rsidR="003709BF" w:rsidRDefault="00682D6E">
      <w:pPr>
        <w:tabs>
          <w:tab w:val="left" w:pos="-720"/>
        </w:tabs>
        <w:suppressAutoHyphens/>
        <w:ind w:left="720" w:right="36"/>
        <w:jc w:val="both"/>
        <w:rPr>
          <w:rFonts w:cs="Arial"/>
          <w:sz w:val="22"/>
          <w:szCs w:val="22"/>
        </w:rPr>
      </w:pPr>
      <w:r>
        <w:rPr>
          <w:rFonts w:cs="Arial"/>
          <w:sz w:val="22"/>
          <w:szCs w:val="22"/>
        </w:rPr>
        <w:t>Upon a motion duly made, seconded and unanimously agreed to, it was RESOLVED THAT:</w:t>
      </w:r>
    </w:p>
    <w:p w:rsidR="003709BF" w:rsidRDefault="003709BF">
      <w:pPr>
        <w:tabs>
          <w:tab w:val="left" w:pos="-720"/>
        </w:tabs>
        <w:suppressAutoHyphens/>
        <w:ind w:left="720" w:right="36"/>
        <w:jc w:val="both"/>
        <w:rPr>
          <w:rFonts w:cs="Arial"/>
          <w:sz w:val="22"/>
          <w:szCs w:val="22"/>
        </w:rPr>
      </w:pPr>
    </w:p>
    <w:p w:rsidR="003709BF" w:rsidRDefault="00682D6E">
      <w:pPr>
        <w:pStyle w:val="ListParagraph"/>
        <w:numPr>
          <w:ilvl w:val="0"/>
          <w:numId w:val="4"/>
        </w:numPr>
        <w:tabs>
          <w:tab w:val="left" w:pos="-720"/>
        </w:tabs>
        <w:suppressAutoHyphens/>
        <w:spacing w:line="240" w:lineRule="auto"/>
        <w:ind w:left="1080" w:right="36"/>
        <w:jc w:val="both"/>
        <w:rPr>
          <w:rFonts w:ascii="Arial" w:hAnsi="Arial" w:cs="Arial"/>
        </w:rPr>
      </w:pPr>
      <w:r>
        <w:rPr>
          <w:rFonts w:ascii="Arial" w:hAnsi="Arial" w:cs="Arial"/>
        </w:rPr>
        <w:t xml:space="preserve">The agenda for the June 26, </w:t>
      </w:r>
      <w:r>
        <w:rPr>
          <w:rFonts w:ascii="Arial" w:hAnsi="Arial" w:cs="Arial"/>
        </w:rPr>
        <w:t>2017 meeting of the Special Committee was approved.</w:t>
      </w:r>
    </w:p>
    <w:p w:rsidR="003709BF" w:rsidRDefault="003709BF">
      <w:pPr>
        <w:pStyle w:val="ListParagraph"/>
        <w:tabs>
          <w:tab w:val="left" w:pos="-720"/>
          <w:tab w:val="left" w:pos="2160"/>
        </w:tabs>
        <w:suppressAutoHyphens/>
        <w:spacing w:after="0" w:line="240" w:lineRule="auto"/>
        <w:jc w:val="both"/>
        <w:rPr>
          <w:rFonts w:ascii="Arial" w:hAnsi="Arial" w:cs="Arial"/>
        </w:rPr>
      </w:pPr>
    </w:p>
    <w:p w:rsidR="003709BF" w:rsidRDefault="00682D6E">
      <w:pPr>
        <w:pStyle w:val="ListParagraph"/>
        <w:numPr>
          <w:ilvl w:val="0"/>
          <w:numId w:val="5"/>
        </w:numPr>
        <w:tabs>
          <w:tab w:val="left" w:pos="-720"/>
          <w:tab w:val="left" w:pos="2160"/>
        </w:tabs>
        <w:suppressAutoHyphens/>
        <w:spacing w:after="0" w:line="240" w:lineRule="auto"/>
        <w:jc w:val="both"/>
        <w:rPr>
          <w:rFonts w:ascii="Arial" w:hAnsi="Arial" w:cs="Arial"/>
        </w:rPr>
      </w:pPr>
      <w:r>
        <w:rPr>
          <w:rFonts w:ascii="Arial" w:hAnsi="Arial" w:cs="Arial"/>
        </w:rPr>
        <w:t>Declaration of Conflicts of Interest</w:t>
      </w:r>
    </w:p>
    <w:p w:rsidR="003709BF" w:rsidRDefault="003709BF">
      <w:pPr>
        <w:tabs>
          <w:tab w:val="left" w:pos="-720"/>
          <w:tab w:val="left" w:pos="2160"/>
        </w:tabs>
        <w:suppressAutoHyphens/>
        <w:jc w:val="both"/>
        <w:rPr>
          <w:rFonts w:cs="Arial"/>
          <w:sz w:val="22"/>
          <w:szCs w:val="22"/>
        </w:rPr>
      </w:pPr>
    </w:p>
    <w:p w:rsidR="003709BF" w:rsidRDefault="00682D6E">
      <w:pPr>
        <w:tabs>
          <w:tab w:val="left" w:pos="-720"/>
          <w:tab w:val="left" w:pos="2160"/>
        </w:tabs>
        <w:suppressAutoHyphens/>
        <w:ind w:left="720"/>
        <w:jc w:val="both"/>
        <w:rPr>
          <w:rFonts w:cs="Arial"/>
          <w:sz w:val="22"/>
          <w:szCs w:val="22"/>
        </w:rPr>
      </w:pPr>
      <w:r>
        <w:rPr>
          <w:rFonts w:cs="Arial"/>
          <w:sz w:val="22"/>
          <w:szCs w:val="22"/>
        </w:rPr>
        <w:t>The Committee Chair asked if there were any real, potential, or perceived conflicts of interest to disclose and none were declared.</w:t>
      </w:r>
    </w:p>
    <w:p w:rsidR="003709BF" w:rsidRDefault="003709BF">
      <w:pPr>
        <w:tabs>
          <w:tab w:val="left" w:pos="-720"/>
          <w:tab w:val="left" w:pos="360"/>
        </w:tabs>
        <w:suppressAutoHyphens/>
        <w:ind w:right="324"/>
        <w:jc w:val="both"/>
        <w:rPr>
          <w:rFonts w:cs="Arial"/>
          <w:sz w:val="22"/>
          <w:szCs w:val="22"/>
        </w:rPr>
      </w:pPr>
    </w:p>
    <w:p w:rsidR="003709BF" w:rsidRDefault="003709BF">
      <w:pPr>
        <w:tabs>
          <w:tab w:val="left" w:pos="-720"/>
          <w:tab w:val="left" w:pos="360"/>
        </w:tabs>
        <w:suppressAutoHyphens/>
        <w:ind w:right="324"/>
        <w:jc w:val="both"/>
        <w:rPr>
          <w:rFonts w:cs="Arial"/>
          <w:sz w:val="22"/>
          <w:szCs w:val="22"/>
        </w:rPr>
      </w:pPr>
    </w:p>
    <w:p w:rsidR="003709BF" w:rsidRDefault="00682D6E">
      <w:pPr>
        <w:tabs>
          <w:tab w:val="left" w:pos="-720"/>
          <w:tab w:val="left" w:pos="360"/>
        </w:tabs>
        <w:suppressAutoHyphens/>
        <w:ind w:right="324"/>
        <w:jc w:val="both"/>
        <w:rPr>
          <w:rFonts w:cs="Arial"/>
          <w:sz w:val="22"/>
          <w:szCs w:val="22"/>
        </w:rPr>
      </w:pPr>
      <w:r>
        <w:rPr>
          <w:rFonts w:cs="Arial"/>
          <w:sz w:val="22"/>
          <w:szCs w:val="22"/>
        </w:rPr>
        <w:t>2.</w:t>
      </w:r>
      <w:r>
        <w:rPr>
          <w:rFonts w:cs="Arial"/>
          <w:sz w:val="22"/>
          <w:szCs w:val="22"/>
        </w:rPr>
        <w:tab/>
      </w:r>
      <w:r>
        <w:rPr>
          <w:rFonts w:cs="Arial"/>
          <w:sz w:val="22"/>
          <w:szCs w:val="22"/>
          <w:u w:val="single"/>
        </w:rPr>
        <w:t>Minutes of Meeting/Actions A</w:t>
      </w:r>
      <w:r>
        <w:rPr>
          <w:rFonts w:cs="Arial"/>
          <w:sz w:val="22"/>
          <w:szCs w:val="22"/>
          <w:u w:val="single"/>
        </w:rPr>
        <w:t>rising from the Minutes</w:t>
      </w:r>
    </w:p>
    <w:p w:rsidR="003709BF" w:rsidRDefault="003709BF">
      <w:pPr>
        <w:tabs>
          <w:tab w:val="left" w:pos="-720"/>
        </w:tabs>
        <w:suppressAutoHyphens/>
        <w:ind w:right="324"/>
        <w:jc w:val="both"/>
        <w:rPr>
          <w:rFonts w:cs="Arial"/>
          <w:sz w:val="22"/>
          <w:szCs w:val="22"/>
        </w:rPr>
      </w:pPr>
    </w:p>
    <w:p w:rsidR="003709BF" w:rsidRDefault="00682D6E">
      <w:pPr>
        <w:tabs>
          <w:tab w:val="left" w:pos="-720"/>
        </w:tabs>
        <w:suppressAutoHyphens/>
        <w:ind w:left="360" w:right="324"/>
        <w:jc w:val="both"/>
        <w:rPr>
          <w:rFonts w:cs="Arial"/>
          <w:sz w:val="22"/>
          <w:szCs w:val="22"/>
        </w:rPr>
      </w:pPr>
      <w:r>
        <w:rPr>
          <w:rFonts w:cs="Arial"/>
          <w:sz w:val="22"/>
          <w:szCs w:val="22"/>
        </w:rPr>
        <w:t>Upon a motion duly made, seconded and unanimously agreed to, it was RESOLVED THAT:</w:t>
      </w:r>
    </w:p>
    <w:p w:rsidR="003709BF" w:rsidRDefault="003709BF">
      <w:pPr>
        <w:tabs>
          <w:tab w:val="left" w:pos="-720"/>
        </w:tabs>
        <w:suppressAutoHyphens/>
        <w:ind w:left="720" w:right="324"/>
        <w:jc w:val="both"/>
        <w:rPr>
          <w:rFonts w:cs="Arial"/>
          <w:sz w:val="22"/>
          <w:szCs w:val="22"/>
        </w:rPr>
      </w:pPr>
    </w:p>
    <w:p w:rsidR="003709BF" w:rsidRDefault="00682D6E">
      <w:pPr>
        <w:pStyle w:val="ListParagraph"/>
        <w:numPr>
          <w:ilvl w:val="0"/>
          <w:numId w:val="4"/>
        </w:numPr>
        <w:tabs>
          <w:tab w:val="left" w:pos="-720"/>
        </w:tabs>
        <w:suppressAutoHyphens/>
        <w:spacing w:after="0" w:line="240" w:lineRule="auto"/>
        <w:ind w:right="36"/>
        <w:jc w:val="both"/>
        <w:rPr>
          <w:rFonts w:ascii="Arial" w:hAnsi="Arial" w:cs="Arial"/>
        </w:rPr>
      </w:pPr>
      <w:r>
        <w:rPr>
          <w:rFonts w:ascii="Arial" w:hAnsi="Arial" w:cs="Arial"/>
        </w:rPr>
        <w:lastRenderedPageBreak/>
        <w:t>The minutes of the June 2, 2017 meeting of the Special Committee were approved.</w:t>
      </w:r>
    </w:p>
    <w:p w:rsidR="003709BF" w:rsidRDefault="003709BF">
      <w:pPr>
        <w:rPr>
          <w:rFonts w:cs="Arial"/>
          <w:sz w:val="16"/>
          <w:szCs w:val="16"/>
        </w:rPr>
      </w:pPr>
    </w:p>
    <w:p w:rsidR="003709BF" w:rsidRDefault="00682D6E">
      <w:pPr>
        <w:ind w:left="360"/>
        <w:rPr>
          <w:rFonts w:cs="Arial"/>
          <w:sz w:val="22"/>
          <w:szCs w:val="22"/>
        </w:rPr>
      </w:pPr>
      <w:r>
        <w:rPr>
          <w:rFonts w:cs="Arial"/>
          <w:sz w:val="22"/>
          <w:szCs w:val="22"/>
        </w:rPr>
        <w:t>There were no outstanding actions.</w:t>
      </w:r>
    </w:p>
    <w:p w:rsidR="003709BF" w:rsidRDefault="003709BF">
      <w:pPr>
        <w:ind w:left="360"/>
        <w:rPr>
          <w:rFonts w:cs="Arial"/>
          <w:sz w:val="22"/>
          <w:szCs w:val="22"/>
        </w:rPr>
      </w:pPr>
    </w:p>
    <w:p w:rsidR="003709BF" w:rsidRDefault="00682D6E">
      <w:pPr>
        <w:numPr>
          <w:ilvl w:val="0"/>
          <w:numId w:val="2"/>
        </w:numPr>
        <w:tabs>
          <w:tab w:val="left" w:pos="-720"/>
        </w:tabs>
        <w:suppressAutoHyphens/>
        <w:ind w:right="324"/>
        <w:jc w:val="both"/>
        <w:rPr>
          <w:rFonts w:cs="Arial"/>
          <w:sz w:val="22"/>
          <w:szCs w:val="22"/>
          <w:u w:val="single"/>
        </w:rPr>
      </w:pPr>
      <w:r>
        <w:rPr>
          <w:rFonts w:cs="Arial"/>
          <w:sz w:val="22"/>
          <w:szCs w:val="22"/>
          <w:u w:val="single"/>
        </w:rPr>
        <w:t xml:space="preserve">Update from Ministry Rate </w:t>
      </w:r>
      <w:r>
        <w:rPr>
          <w:rFonts w:cs="Arial"/>
          <w:sz w:val="22"/>
          <w:szCs w:val="22"/>
          <w:u w:val="single"/>
        </w:rPr>
        <w:t>Mitigation Working Group Meeting</w:t>
      </w:r>
    </w:p>
    <w:p w:rsidR="003709BF" w:rsidRDefault="003709BF">
      <w:pPr>
        <w:tabs>
          <w:tab w:val="left" w:pos="-720"/>
        </w:tabs>
        <w:suppressAutoHyphens/>
        <w:ind w:right="324"/>
        <w:jc w:val="both"/>
        <w:rPr>
          <w:rFonts w:cs="Arial"/>
          <w:sz w:val="22"/>
          <w:szCs w:val="22"/>
          <w:u w:val="single"/>
        </w:rPr>
      </w:pPr>
    </w:p>
    <w:p w:rsidR="003709BF" w:rsidRDefault="00682D6E">
      <w:pPr>
        <w:tabs>
          <w:tab w:val="left" w:pos="-720"/>
        </w:tabs>
        <w:suppressAutoHyphens/>
        <w:ind w:right="324"/>
        <w:jc w:val="both"/>
        <w:rPr>
          <w:rFonts w:cs="Arial"/>
          <w:sz w:val="22"/>
          <w:szCs w:val="22"/>
        </w:rPr>
      </w:pPr>
      <w:r>
        <w:rPr>
          <w:rFonts w:cs="Arial"/>
          <w:sz w:val="22"/>
          <w:szCs w:val="22"/>
        </w:rPr>
        <w:tab/>
        <w:t>Mr. Hartwick gave a verbal update on the meetings of this Working Group. He noted that of importance to OPG, the primary focus was on four topic areas:</w:t>
      </w:r>
    </w:p>
    <w:p w:rsidR="003709BF" w:rsidRDefault="003709BF">
      <w:pPr>
        <w:tabs>
          <w:tab w:val="left" w:pos="-720"/>
        </w:tabs>
        <w:suppressAutoHyphens/>
        <w:ind w:right="324"/>
        <w:jc w:val="both"/>
        <w:rPr>
          <w:rFonts w:cs="Arial"/>
          <w:sz w:val="22"/>
          <w:szCs w:val="22"/>
        </w:rPr>
      </w:pPr>
    </w:p>
    <w:p w:rsidR="003709BF" w:rsidRDefault="00682D6E">
      <w:pPr>
        <w:pStyle w:val="ListParagraph"/>
        <w:numPr>
          <w:ilvl w:val="0"/>
          <w:numId w:val="17"/>
        </w:numPr>
        <w:tabs>
          <w:tab w:val="left" w:pos="-720"/>
        </w:tabs>
        <w:suppressAutoHyphens/>
        <w:ind w:right="324"/>
        <w:jc w:val="both"/>
        <w:rPr>
          <w:rFonts w:ascii="Arial" w:hAnsi="Arial" w:cs="Arial"/>
        </w:rPr>
      </w:pPr>
      <w:r>
        <w:rPr>
          <w:rFonts w:ascii="Arial" w:hAnsi="Arial" w:cs="Arial"/>
        </w:rPr>
        <w:t xml:space="preserve">Timing for issuing the Regulations: </w:t>
      </w:r>
    </w:p>
    <w:p w:rsidR="003709BF" w:rsidRDefault="00682D6E">
      <w:pPr>
        <w:pStyle w:val="ListParagraph"/>
        <w:numPr>
          <w:ilvl w:val="0"/>
          <w:numId w:val="18"/>
        </w:numPr>
        <w:tabs>
          <w:tab w:val="left" w:pos="-720"/>
        </w:tabs>
        <w:suppressAutoHyphens/>
        <w:ind w:right="324"/>
        <w:jc w:val="both"/>
        <w:rPr>
          <w:rFonts w:ascii="Arial" w:hAnsi="Arial" w:cs="Arial"/>
        </w:rPr>
      </w:pPr>
      <w:proofErr w:type="gramStart"/>
      <w:r>
        <w:rPr>
          <w:rFonts w:ascii="Arial" w:hAnsi="Arial" w:cs="Arial"/>
        </w:rPr>
        <w:t>the</w:t>
      </w:r>
      <w:proofErr w:type="gramEnd"/>
      <w:r>
        <w:rPr>
          <w:rFonts w:ascii="Arial" w:hAnsi="Arial" w:cs="Arial"/>
        </w:rPr>
        <w:t xml:space="preserve"> majority of the Regulations</w:t>
      </w:r>
      <w:r>
        <w:rPr>
          <w:rFonts w:ascii="Arial" w:hAnsi="Arial" w:cs="Arial"/>
        </w:rPr>
        <w:t xml:space="preserve"> under the Fair Hydro Plan Act (the “Legislation”) are expected to be completed by June 30</w:t>
      </w:r>
      <w:r>
        <w:rPr>
          <w:rFonts w:ascii="Arial" w:hAnsi="Arial" w:cs="Arial"/>
          <w:vertAlign w:val="superscript"/>
        </w:rPr>
        <w:t>th</w:t>
      </w:r>
      <w:r>
        <w:rPr>
          <w:rFonts w:ascii="Arial" w:hAnsi="Arial" w:cs="Arial"/>
        </w:rPr>
        <w:t>. Based on what OPG has seen of these Regulations, they are consistent with OPG’s expectations and provide expected detail/clarification of provisions of the Legisl</w:t>
      </w:r>
      <w:r>
        <w:rPr>
          <w:rFonts w:ascii="Arial" w:hAnsi="Arial" w:cs="Arial"/>
        </w:rPr>
        <w:t xml:space="preserve">ation </w:t>
      </w:r>
    </w:p>
    <w:p w:rsidR="003709BF" w:rsidRDefault="00682D6E">
      <w:pPr>
        <w:pStyle w:val="ListParagraph"/>
        <w:numPr>
          <w:ilvl w:val="0"/>
          <w:numId w:val="18"/>
        </w:numPr>
        <w:tabs>
          <w:tab w:val="left" w:pos="-720"/>
        </w:tabs>
        <w:suppressAutoHyphens/>
        <w:ind w:right="324"/>
        <w:jc w:val="both"/>
        <w:rPr>
          <w:rFonts w:ascii="Arial" w:hAnsi="Arial" w:cs="Arial"/>
        </w:rPr>
      </w:pPr>
      <w:proofErr w:type="gramStart"/>
      <w:r>
        <w:rPr>
          <w:rFonts w:ascii="Arial" w:hAnsi="Arial" w:cs="Arial"/>
        </w:rPr>
        <w:t>the</w:t>
      </w:r>
      <w:proofErr w:type="gramEnd"/>
      <w:r>
        <w:rPr>
          <w:rFonts w:ascii="Arial" w:hAnsi="Arial" w:cs="Arial"/>
        </w:rPr>
        <w:t xml:space="preserve"> remaining Regulations are expected to be completed in about the third week of July. In this second set of Regulations, OPG is carefully reviewing how the role of the Ontario Energy Board is defined in relation to its oversight of the activities </w:t>
      </w:r>
      <w:r>
        <w:rPr>
          <w:rFonts w:ascii="Arial" w:hAnsi="Arial" w:cs="Arial"/>
        </w:rPr>
        <w:t>of OPG to ensure that OPG is afforded the appropriate amount of independence</w:t>
      </w:r>
    </w:p>
    <w:p w:rsidR="003709BF" w:rsidRDefault="00682D6E">
      <w:pPr>
        <w:pStyle w:val="ListParagraph"/>
        <w:numPr>
          <w:ilvl w:val="0"/>
          <w:numId w:val="17"/>
        </w:numPr>
        <w:tabs>
          <w:tab w:val="left" w:pos="-720"/>
        </w:tabs>
        <w:suppressAutoHyphens/>
        <w:ind w:right="324"/>
        <w:jc w:val="both"/>
        <w:rPr>
          <w:rFonts w:ascii="Arial" w:hAnsi="Arial" w:cs="Arial"/>
        </w:rPr>
      </w:pPr>
      <w:r>
        <w:rPr>
          <w:rFonts w:ascii="Arial" w:hAnsi="Arial" w:cs="Arial"/>
        </w:rPr>
        <w:t>The management fee arrangements between OPG and the Financing Entity/Trust:</w:t>
      </w:r>
    </w:p>
    <w:p w:rsidR="003709BF" w:rsidRDefault="00682D6E">
      <w:pPr>
        <w:pStyle w:val="ListParagraph"/>
        <w:numPr>
          <w:ilvl w:val="0"/>
          <w:numId w:val="20"/>
        </w:numPr>
        <w:tabs>
          <w:tab w:val="left" w:pos="-720"/>
        </w:tabs>
        <w:suppressAutoHyphens/>
        <w:ind w:right="324"/>
        <w:jc w:val="both"/>
        <w:rPr>
          <w:rFonts w:ascii="Arial" w:hAnsi="Arial" w:cs="Arial"/>
        </w:rPr>
      </w:pPr>
      <w:r>
        <w:rPr>
          <w:rFonts w:ascii="Arial" w:hAnsi="Arial" w:cs="Arial"/>
        </w:rPr>
        <w:t>The Province is looking to reduce the fee rate as much as possible. OPG</w:t>
      </w:r>
      <w:r>
        <w:rPr>
          <w:rFonts w:ascii="Arial" w:hAnsi="Arial" w:cs="Arial"/>
        </w:rPr>
        <w:t xml:space="preserve"> has emphasized that the management fee rate relates to the accounting criteria necessary for the debt to be consolidated to OPG’s financial statements. The rate needs to be at market rate. This negotiation on the management fee rate is not unexpected</w:t>
      </w:r>
    </w:p>
    <w:p w:rsidR="003709BF" w:rsidRDefault="00682D6E">
      <w:pPr>
        <w:pStyle w:val="ListParagraph"/>
        <w:numPr>
          <w:ilvl w:val="0"/>
          <w:numId w:val="17"/>
        </w:numPr>
        <w:tabs>
          <w:tab w:val="left" w:pos="-720"/>
        </w:tabs>
        <w:suppressAutoHyphens/>
        <w:ind w:right="324"/>
        <w:jc w:val="both"/>
        <w:rPr>
          <w:rFonts w:ascii="Arial" w:hAnsi="Arial" w:cs="Arial"/>
        </w:rPr>
      </w:pPr>
      <w:r>
        <w:rPr>
          <w:rFonts w:ascii="Arial" w:hAnsi="Arial" w:cs="Arial"/>
        </w:rPr>
        <w:t xml:space="preserve">The </w:t>
      </w:r>
      <w:r>
        <w:rPr>
          <w:rFonts w:ascii="Arial" w:hAnsi="Arial" w:cs="Arial"/>
        </w:rPr>
        <w:t xml:space="preserve">dual role of the OEB: (a) opining on the IESO commitment in relation to the GA financing; and (b) oversight role relating to OPG’s management fees. </w:t>
      </w:r>
    </w:p>
    <w:p w:rsidR="003709BF" w:rsidRDefault="00682D6E">
      <w:pPr>
        <w:pStyle w:val="ListParagraph"/>
        <w:numPr>
          <w:ilvl w:val="0"/>
          <w:numId w:val="20"/>
        </w:numPr>
        <w:tabs>
          <w:tab w:val="left" w:pos="-720"/>
        </w:tabs>
        <w:suppressAutoHyphens/>
        <w:ind w:right="324"/>
        <w:jc w:val="both"/>
        <w:rPr>
          <w:rFonts w:ascii="Arial" w:hAnsi="Arial" w:cs="Arial"/>
        </w:rPr>
      </w:pPr>
      <w:r>
        <w:rPr>
          <w:rFonts w:ascii="Arial" w:hAnsi="Arial" w:cs="Arial"/>
        </w:rPr>
        <w:t xml:space="preserve">In relation to (a), the OEB’s role has been largely defined and is consistent with OPG expectations. </w:t>
      </w:r>
    </w:p>
    <w:p w:rsidR="003709BF" w:rsidRDefault="00682D6E">
      <w:pPr>
        <w:pStyle w:val="ListParagraph"/>
        <w:numPr>
          <w:ilvl w:val="0"/>
          <w:numId w:val="20"/>
        </w:numPr>
        <w:tabs>
          <w:tab w:val="left" w:pos="-720"/>
        </w:tabs>
        <w:suppressAutoHyphens/>
        <w:ind w:right="324"/>
        <w:jc w:val="both"/>
        <w:rPr>
          <w:rFonts w:ascii="Arial" w:hAnsi="Arial" w:cs="Arial"/>
        </w:rPr>
      </w:pPr>
      <w:r>
        <w:rPr>
          <w:rFonts w:ascii="Arial" w:hAnsi="Arial" w:cs="Arial"/>
        </w:rPr>
        <w:t>In re</w:t>
      </w:r>
      <w:r>
        <w:rPr>
          <w:rFonts w:ascii="Arial" w:hAnsi="Arial" w:cs="Arial"/>
        </w:rPr>
        <w:t>lation to (b), the OEB appears to be pushing for more than just an accountant-type role, and towards having a prudence review role. However, OPG is asserting the need for the fees to be at market and that OEB oversight has to be limited to that which OPG s</w:t>
      </w:r>
      <w:r>
        <w:rPr>
          <w:rFonts w:ascii="Arial" w:hAnsi="Arial" w:cs="Arial"/>
        </w:rPr>
        <w:t xml:space="preserve">et out at the beginning of this process. OPG has stated that this limited level of oversight is critical to the credit rating of the Financing Entity/Trust and the desired accounting. </w:t>
      </w:r>
    </w:p>
    <w:p w:rsidR="003709BF" w:rsidRDefault="00682D6E">
      <w:pPr>
        <w:pStyle w:val="ListParagraph"/>
        <w:numPr>
          <w:ilvl w:val="0"/>
          <w:numId w:val="17"/>
        </w:numPr>
        <w:tabs>
          <w:tab w:val="left" w:pos="-720"/>
        </w:tabs>
        <w:suppressAutoHyphens/>
        <w:ind w:right="324"/>
        <w:jc w:val="both"/>
        <w:rPr>
          <w:rFonts w:ascii="Arial" w:hAnsi="Arial" w:cs="Arial"/>
        </w:rPr>
      </w:pPr>
      <w:r>
        <w:rPr>
          <w:rFonts w:ascii="Arial" w:hAnsi="Arial" w:cs="Arial"/>
        </w:rPr>
        <w:t xml:space="preserve">The role of the Provincial Auditor: </w:t>
      </w:r>
    </w:p>
    <w:p w:rsidR="003709BF" w:rsidRDefault="00682D6E">
      <w:pPr>
        <w:pStyle w:val="ListParagraph"/>
        <w:numPr>
          <w:ilvl w:val="0"/>
          <w:numId w:val="21"/>
        </w:numPr>
        <w:tabs>
          <w:tab w:val="left" w:pos="-720"/>
        </w:tabs>
        <w:suppressAutoHyphens/>
        <w:ind w:right="324"/>
        <w:jc w:val="both"/>
        <w:rPr>
          <w:rFonts w:ascii="Arial" w:hAnsi="Arial" w:cs="Arial"/>
        </w:rPr>
      </w:pPr>
      <w:r>
        <w:rPr>
          <w:rFonts w:ascii="Arial" w:hAnsi="Arial" w:cs="Arial"/>
        </w:rPr>
        <w:t>OPG has met with the Provincial Au</w:t>
      </w:r>
      <w:r>
        <w:rPr>
          <w:rFonts w:ascii="Arial" w:hAnsi="Arial" w:cs="Arial"/>
        </w:rPr>
        <w:t xml:space="preserve">ditor on two occasions: once with Ernst &amp; Young, and once with just Mr. Hartwick and Mr. </w:t>
      </w:r>
      <w:proofErr w:type="spellStart"/>
      <w:r>
        <w:rPr>
          <w:rFonts w:ascii="Arial" w:hAnsi="Arial" w:cs="Arial"/>
        </w:rPr>
        <w:t>Mauti</w:t>
      </w:r>
      <w:proofErr w:type="spellEnd"/>
      <w:r>
        <w:rPr>
          <w:rFonts w:ascii="Arial" w:hAnsi="Arial" w:cs="Arial"/>
        </w:rPr>
        <w:t>. The Provincial Auditor does not object to OPG’s proposed accounting for the GA financing</w:t>
      </w:r>
    </w:p>
    <w:p w:rsidR="003709BF" w:rsidRDefault="00682D6E">
      <w:pPr>
        <w:pStyle w:val="ListParagraph"/>
        <w:numPr>
          <w:ilvl w:val="0"/>
          <w:numId w:val="21"/>
        </w:numPr>
        <w:tabs>
          <w:tab w:val="left" w:pos="-720"/>
        </w:tabs>
        <w:suppressAutoHyphens/>
        <w:ind w:right="324"/>
        <w:jc w:val="both"/>
        <w:rPr>
          <w:rFonts w:ascii="Arial" w:hAnsi="Arial" w:cs="Arial"/>
        </w:rPr>
      </w:pPr>
      <w:r>
        <w:rPr>
          <w:rFonts w:ascii="Arial" w:hAnsi="Arial" w:cs="Arial"/>
        </w:rPr>
        <w:t>The Provincial Auditor is concerned with the proposed accounting treatm</w:t>
      </w:r>
      <w:r>
        <w:rPr>
          <w:rFonts w:ascii="Arial" w:hAnsi="Arial" w:cs="Arial"/>
        </w:rPr>
        <w:t xml:space="preserve">ent by the IESO and whether it has the ability to set up a regulatory </w:t>
      </w:r>
      <w:proofErr w:type="spellStart"/>
      <w:r>
        <w:rPr>
          <w:rFonts w:ascii="Arial" w:hAnsi="Arial" w:cs="Arial"/>
        </w:rPr>
        <w:t>assest</w:t>
      </w:r>
      <w:proofErr w:type="spellEnd"/>
      <w:r>
        <w:rPr>
          <w:rFonts w:ascii="Arial" w:hAnsi="Arial" w:cs="Arial"/>
        </w:rPr>
        <w:t xml:space="preserve"> in respect of the GA financing. This may lead the Provincial Auditor to qualify her opinion on the Province’s accounts when she gives her opinion</w:t>
      </w:r>
    </w:p>
    <w:p w:rsidR="003709BF" w:rsidRDefault="00682D6E">
      <w:pPr>
        <w:pStyle w:val="ListParagraph"/>
        <w:numPr>
          <w:ilvl w:val="0"/>
          <w:numId w:val="21"/>
        </w:numPr>
        <w:tabs>
          <w:tab w:val="left" w:pos="-720"/>
        </w:tabs>
        <w:suppressAutoHyphens/>
        <w:ind w:right="324"/>
        <w:jc w:val="both"/>
        <w:rPr>
          <w:rFonts w:ascii="Arial" w:hAnsi="Arial" w:cs="Arial"/>
        </w:rPr>
      </w:pPr>
      <w:r>
        <w:rPr>
          <w:rFonts w:ascii="Arial" w:hAnsi="Arial" w:cs="Arial"/>
        </w:rPr>
        <w:t>The Provincial Auditor recognizes</w:t>
      </w:r>
      <w:r>
        <w:rPr>
          <w:rFonts w:ascii="Arial" w:hAnsi="Arial" w:cs="Arial"/>
        </w:rPr>
        <w:t xml:space="preserve"> the Government’s jurisdiction in being able to set policy</w:t>
      </w:r>
    </w:p>
    <w:p w:rsidR="003709BF" w:rsidRDefault="00682D6E">
      <w:pPr>
        <w:pStyle w:val="ListParagraph"/>
        <w:numPr>
          <w:ilvl w:val="0"/>
          <w:numId w:val="21"/>
        </w:numPr>
        <w:tabs>
          <w:tab w:val="left" w:pos="-720"/>
        </w:tabs>
        <w:suppressAutoHyphens/>
        <w:ind w:right="324"/>
        <w:jc w:val="both"/>
        <w:rPr>
          <w:rFonts w:ascii="Arial" w:hAnsi="Arial" w:cs="Arial"/>
        </w:rPr>
      </w:pPr>
      <w:r>
        <w:rPr>
          <w:rFonts w:ascii="Arial" w:hAnsi="Arial" w:cs="Arial"/>
        </w:rPr>
        <w:t>Mr. Hartwick and Mr. Lyash are scheduled to meet with the Provincial Auditor on June 27</w:t>
      </w:r>
      <w:r>
        <w:rPr>
          <w:rFonts w:ascii="Arial" w:hAnsi="Arial" w:cs="Arial"/>
          <w:vertAlign w:val="superscript"/>
        </w:rPr>
        <w:t>th</w:t>
      </w:r>
      <w:r>
        <w:rPr>
          <w:rFonts w:ascii="Arial" w:hAnsi="Arial" w:cs="Arial"/>
        </w:rPr>
        <w:t xml:space="preserve"> </w:t>
      </w:r>
    </w:p>
    <w:p w:rsidR="003709BF" w:rsidRDefault="00682D6E">
      <w:pPr>
        <w:tabs>
          <w:tab w:val="left" w:pos="-720"/>
        </w:tabs>
        <w:suppressAutoHyphens/>
        <w:ind w:left="360" w:right="324"/>
        <w:jc w:val="both"/>
        <w:rPr>
          <w:rFonts w:cs="Arial"/>
          <w:sz w:val="22"/>
          <w:szCs w:val="22"/>
        </w:rPr>
      </w:pPr>
      <w:r>
        <w:rPr>
          <w:rFonts w:cs="Arial"/>
          <w:sz w:val="22"/>
          <w:szCs w:val="22"/>
        </w:rPr>
        <w:t>The Committee asked a number of questions and sought several clarifications to which Mr. Hartwick responde</w:t>
      </w:r>
      <w:r>
        <w:rPr>
          <w:rFonts w:cs="Arial"/>
          <w:sz w:val="22"/>
          <w:szCs w:val="22"/>
        </w:rPr>
        <w:t>d.  Responses given by Mr. Hartwick to questions asked included that:</w:t>
      </w:r>
    </w:p>
    <w:p w:rsidR="003709BF" w:rsidRDefault="00682D6E">
      <w:pPr>
        <w:pStyle w:val="ListParagraph"/>
        <w:numPr>
          <w:ilvl w:val="0"/>
          <w:numId w:val="4"/>
        </w:numPr>
        <w:tabs>
          <w:tab w:val="left" w:pos="-720"/>
        </w:tabs>
        <w:suppressAutoHyphens/>
        <w:ind w:right="324"/>
        <w:jc w:val="both"/>
        <w:rPr>
          <w:rFonts w:ascii="Arial" w:hAnsi="Arial" w:cs="Arial"/>
        </w:rPr>
      </w:pPr>
      <w:r>
        <w:rPr>
          <w:rFonts w:ascii="Arial" w:hAnsi="Arial" w:cs="Arial"/>
        </w:rPr>
        <w:lastRenderedPageBreak/>
        <w:t xml:space="preserve">While it appears that the OEB doesn’t want to be put in a position of role that is only “regulatory light”, and OPG is sensitive to this, the accounting criteria are clear in respect of </w:t>
      </w:r>
      <w:r>
        <w:rPr>
          <w:rFonts w:ascii="Arial" w:hAnsi="Arial" w:cs="Arial"/>
        </w:rPr>
        <w:t xml:space="preserve">the need for market rates for OPG’s fees </w:t>
      </w:r>
    </w:p>
    <w:p w:rsidR="003709BF" w:rsidRDefault="00682D6E">
      <w:pPr>
        <w:pStyle w:val="ListParagraph"/>
        <w:numPr>
          <w:ilvl w:val="0"/>
          <w:numId w:val="4"/>
        </w:numPr>
        <w:tabs>
          <w:tab w:val="left" w:pos="-720"/>
        </w:tabs>
        <w:suppressAutoHyphens/>
        <w:ind w:right="324"/>
        <w:jc w:val="both"/>
        <w:rPr>
          <w:rFonts w:ascii="Arial" w:hAnsi="Arial" w:cs="Arial"/>
        </w:rPr>
      </w:pPr>
      <w:r>
        <w:rPr>
          <w:rFonts w:ascii="Arial" w:hAnsi="Arial" w:cs="Arial"/>
        </w:rPr>
        <w:t xml:space="preserve">The financial advisors, RBC, CIBC and Goldman Sachs are OPG’s financial advisors and are conducting themselves as such in relation to their </w:t>
      </w:r>
      <w:proofErr w:type="spellStart"/>
      <w:r>
        <w:rPr>
          <w:rFonts w:ascii="Arial" w:hAnsi="Arial" w:cs="Arial"/>
        </w:rPr>
        <w:t>partipaction</w:t>
      </w:r>
      <w:proofErr w:type="spellEnd"/>
      <w:r>
        <w:rPr>
          <w:rFonts w:ascii="Arial" w:hAnsi="Arial" w:cs="Arial"/>
        </w:rPr>
        <w:t xml:space="preserve"> in discussions with the Province about management fees and th</w:t>
      </w:r>
      <w:r>
        <w:rPr>
          <w:rFonts w:ascii="Arial" w:hAnsi="Arial" w:cs="Arial"/>
        </w:rPr>
        <w:t>e subordinated debt. They are also being helpful in connection with providing data sets needed</w:t>
      </w:r>
    </w:p>
    <w:p w:rsidR="003709BF" w:rsidRDefault="00682D6E">
      <w:pPr>
        <w:numPr>
          <w:ilvl w:val="0"/>
          <w:numId w:val="17"/>
        </w:numPr>
        <w:tabs>
          <w:tab w:val="left" w:pos="-720"/>
        </w:tabs>
        <w:suppressAutoHyphens/>
        <w:ind w:right="324"/>
        <w:jc w:val="both"/>
        <w:rPr>
          <w:rFonts w:cs="Arial"/>
          <w:sz w:val="22"/>
          <w:szCs w:val="22"/>
          <w:u w:val="single"/>
        </w:rPr>
      </w:pPr>
      <w:r>
        <w:rPr>
          <w:rFonts w:cs="Arial"/>
          <w:sz w:val="22"/>
          <w:szCs w:val="22"/>
          <w:u w:val="single"/>
        </w:rPr>
        <w:t>Update on the Fair Allocation Amount</w:t>
      </w:r>
    </w:p>
    <w:p w:rsidR="003709BF" w:rsidRDefault="003709BF">
      <w:pPr>
        <w:tabs>
          <w:tab w:val="left" w:pos="-720"/>
        </w:tabs>
        <w:suppressAutoHyphens/>
        <w:ind w:left="720" w:right="324"/>
        <w:jc w:val="both"/>
        <w:rPr>
          <w:rFonts w:cs="Arial"/>
          <w:sz w:val="22"/>
          <w:szCs w:val="22"/>
          <w:u w:val="single"/>
        </w:rPr>
      </w:pPr>
    </w:p>
    <w:p w:rsidR="003709BF" w:rsidRDefault="00682D6E">
      <w:pPr>
        <w:tabs>
          <w:tab w:val="left" w:pos="-720"/>
        </w:tabs>
        <w:suppressAutoHyphens/>
        <w:ind w:left="720" w:right="324"/>
        <w:jc w:val="both"/>
        <w:rPr>
          <w:rFonts w:cs="Arial"/>
          <w:sz w:val="22"/>
          <w:szCs w:val="22"/>
        </w:rPr>
      </w:pPr>
      <w:r>
        <w:rPr>
          <w:rFonts w:cs="Arial"/>
          <w:sz w:val="22"/>
          <w:szCs w:val="22"/>
        </w:rPr>
        <w:t>Mr. Crozzoli gave a verbal update on the Province’s requirement to calculate the Fair Allocation Amount (FAA). Mr. Crozzoli</w:t>
      </w:r>
      <w:r>
        <w:rPr>
          <w:rFonts w:cs="Arial"/>
          <w:sz w:val="22"/>
          <w:szCs w:val="22"/>
        </w:rPr>
        <w:t xml:space="preserve"> began by re-capping the Province’s obligations under the Legislation. In addition, Mr. Crozzoli noted that OPG has all along understood that supporting the calculation of the FAA would be an independent study conducted on behalf of the Province, commissio</w:t>
      </w:r>
      <w:r>
        <w:rPr>
          <w:rFonts w:cs="Arial"/>
          <w:sz w:val="22"/>
          <w:szCs w:val="22"/>
        </w:rPr>
        <w:t>ned by the Province’s legal counsel.</w:t>
      </w:r>
    </w:p>
    <w:p w:rsidR="003709BF" w:rsidRDefault="003709BF">
      <w:pPr>
        <w:tabs>
          <w:tab w:val="left" w:pos="-720"/>
        </w:tabs>
        <w:suppressAutoHyphens/>
        <w:ind w:left="720" w:right="324"/>
        <w:jc w:val="both"/>
        <w:rPr>
          <w:rFonts w:cs="Arial"/>
          <w:sz w:val="22"/>
          <w:szCs w:val="22"/>
        </w:rPr>
      </w:pPr>
    </w:p>
    <w:p w:rsidR="003709BF" w:rsidRDefault="00682D6E">
      <w:pPr>
        <w:tabs>
          <w:tab w:val="left" w:pos="-720"/>
        </w:tabs>
        <w:suppressAutoHyphens/>
        <w:ind w:left="720" w:right="324"/>
        <w:jc w:val="both"/>
        <w:rPr>
          <w:rFonts w:cs="Arial"/>
          <w:sz w:val="22"/>
          <w:szCs w:val="22"/>
        </w:rPr>
      </w:pPr>
      <w:r>
        <w:rPr>
          <w:rFonts w:cs="Arial"/>
          <w:sz w:val="22"/>
          <w:szCs w:val="22"/>
        </w:rPr>
        <w:t>Mr. Crozzoli advised that in respect of calculating the FAA, OPG has been told by the Province that it is considering three options:</w:t>
      </w:r>
    </w:p>
    <w:p w:rsidR="003709BF" w:rsidRDefault="00682D6E">
      <w:pPr>
        <w:pStyle w:val="ListParagraph"/>
        <w:numPr>
          <w:ilvl w:val="0"/>
          <w:numId w:val="22"/>
        </w:numPr>
        <w:tabs>
          <w:tab w:val="left" w:pos="-720"/>
        </w:tabs>
        <w:suppressAutoHyphens/>
        <w:ind w:right="324"/>
        <w:jc w:val="both"/>
        <w:rPr>
          <w:rFonts w:ascii="Arial" w:hAnsi="Arial" w:cs="Arial"/>
        </w:rPr>
      </w:pPr>
      <w:r>
        <w:rPr>
          <w:rFonts w:ascii="Arial" w:hAnsi="Arial" w:cs="Arial"/>
          <w:i/>
        </w:rPr>
        <w:t>Complete and provide an independent report by Navigant Consulting.</w:t>
      </w:r>
      <w:r>
        <w:rPr>
          <w:rFonts w:ascii="Arial" w:hAnsi="Arial" w:cs="Arial"/>
        </w:rPr>
        <w:t xml:space="preserve"> This is OPG’s firs</w:t>
      </w:r>
      <w:r>
        <w:rPr>
          <w:rFonts w:ascii="Arial" w:hAnsi="Arial" w:cs="Arial"/>
        </w:rPr>
        <w:t>t preference. However, the Province has indicated that it has concerns in relation to losing solicitor-client privileges in respect of this option</w:t>
      </w:r>
    </w:p>
    <w:p w:rsidR="003709BF" w:rsidRDefault="00682D6E">
      <w:pPr>
        <w:pStyle w:val="ListParagraph"/>
        <w:numPr>
          <w:ilvl w:val="0"/>
          <w:numId w:val="22"/>
        </w:numPr>
        <w:tabs>
          <w:tab w:val="left" w:pos="-720"/>
        </w:tabs>
        <w:suppressAutoHyphens/>
        <w:ind w:right="324"/>
        <w:jc w:val="both"/>
        <w:rPr>
          <w:rFonts w:ascii="Arial" w:hAnsi="Arial" w:cs="Arial"/>
        </w:rPr>
      </w:pPr>
      <w:r>
        <w:rPr>
          <w:rFonts w:ascii="Arial" w:hAnsi="Arial" w:cs="Arial"/>
          <w:i/>
        </w:rPr>
        <w:t>The Province will rely on its own internal resource to do the calculations.</w:t>
      </w:r>
      <w:r>
        <w:rPr>
          <w:rFonts w:ascii="Arial" w:hAnsi="Arial" w:cs="Arial"/>
        </w:rPr>
        <w:t xml:space="preserve"> OPG’s view is that this is feasib</w:t>
      </w:r>
      <w:r>
        <w:rPr>
          <w:rFonts w:ascii="Arial" w:hAnsi="Arial" w:cs="Arial"/>
        </w:rPr>
        <w:t>le but it will not carry the same persuasive weight as a report by Navigant Consulting. The calculation may also require an attestation or certification from the Minister.</w:t>
      </w:r>
    </w:p>
    <w:p w:rsidR="003709BF" w:rsidRDefault="00682D6E">
      <w:pPr>
        <w:pStyle w:val="ListParagraph"/>
        <w:numPr>
          <w:ilvl w:val="0"/>
          <w:numId w:val="22"/>
        </w:numPr>
        <w:tabs>
          <w:tab w:val="left" w:pos="-720"/>
        </w:tabs>
        <w:suppressAutoHyphens/>
        <w:ind w:right="324"/>
        <w:jc w:val="both"/>
        <w:rPr>
          <w:rFonts w:cs="Arial"/>
        </w:rPr>
      </w:pPr>
      <w:r>
        <w:rPr>
          <w:rFonts w:ascii="Arial" w:hAnsi="Arial" w:cs="Arial"/>
          <w:i/>
        </w:rPr>
        <w:t>Taking a shorter view of the FAA in that the FAA be established for only two-year ti</w:t>
      </w:r>
      <w:r>
        <w:rPr>
          <w:rFonts w:ascii="Arial" w:hAnsi="Arial" w:cs="Arial"/>
          <w:i/>
        </w:rPr>
        <w:t>me periods.</w:t>
      </w:r>
      <w:r>
        <w:rPr>
          <w:rFonts w:ascii="Arial" w:hAnsi="Arial" w:cs="Arial"/>
        </w:rPr>
        <w:t xml:space="preserve"> OPG does not believe that this will </w:t>
      </w:r>
      <w:bookmarkStart w:id="0" w:name="_GoBack"/>
      <w:bookmarkEnd w:id="0"/>
      <w:r>
        <w:rPr>
          <w:rFonts w:ascii="Arial" w:hAnsi="Arial" w:cs="Arial"/>
        </w:rPr>
        <w:t xml:space="preserve">be effective for the GA refinancing objectives of the Province. Rating agencies will focus on the Provincial Guarantee and much less on the remainder of the structure. Additionally, this will negatively </w:t>
      </w:r>
      <w:r>
        <w:rPr>
          <w:rFonts w:ascii="Arial" w:hAnsi="Arial" w:cs="Arial"/>
        </w:rPr>
        <w:t>impact the overall rating, market interest, the cost of debt and the desired accounting treatment.</w:t>
      </w:r>
    </w:p>
    <w:p w:rsidR="003709BF" w:rsidRDefault="00682D6E">
      <w:pPr>
        <w:tabs>
          <w:tab w:val="left" w:pos="-720"/>
        </w:tabs>
        <w:suppressAutoHyphens/>
        <w:ind w:right="324"/>
        <w:jc w:val="both"/>
        <w:rPr>
          <w:rFonts w:cs="Arial"/>
          <w:sz w:val="22"/>
          <w:szCs w:val="22"/>
        </w:rPr>
      </w:pPr>
      <w:r>
        <w:rPr>
          <w:rFonts w:cs="Arial"/>
          <w:sz w:val="22"/>
          <w:szCs w:val="22"/>
        </w:rPr>
        <w:t xml:space="preserve">Mr. Crozzoli stated that OPG has made its views as summarized above very clear to the Province. He said that the Province seems </w:t>
      </w:r>
      <w:proofErr w:type="spellStart"/>
      <w:r>
        <w:rPr>
          <w:rFonts w:cs="Arial"/>
          <w:sz w:val="22"/>
          <w:szCs w:val="22"/>
        </w:rPr>
        <w:t>inclinded</w:t>
      </w:r>
      <w:proofErr w:type="spellEnd"/>
      <w:r>
        <w:rPr>
          <w:rFonts w:cs="Arial"/>
          <w:sz w:val="22"/>
          <w:szCs w:val="22"/>
        </w:rPr>
        <w:t xml:space="preserve"> to proceeding with </w:t>
      </w:r>
      <w:r>
        <w:rPr>
          <w:rFonts w:cs="Arial"/>
          <w:sz w:val="22"/>
          <w:szCs w:val="22"/>
        </w:rPr>
        <w:t>option (ii).</w:t>
      </w:r>
    </w:p>
    <w:p w:rsidR="003709BF" w:rsidRDefault="003709BF">
      <w:pPr>
        <w:tabs>
          <w:tab w:val="left" w:pos="-720"/>
        </w:tabs>
        <w:suppressAutoHyphens/>
        <w:ind w:right="324"/>
        <w:jc w:val="both"/>
        <w:rPr>
          <w:rFonts w:cs="Arial"/>
        </w:rPr>
      </w:pPr>
    </w:p>
    <w:p w:rsidR="003709BF" w:rsidRDefault="00682D6E">
      <w:pPr>
        <w:tabs>
          <w:tab w:val="left" w:pos="-720"/>
        </w:tabs>
        <w:suppressAutoHyphens/>
        <w:ind w:right="324"/>
        <w:jc w:val="both"/>
        <w:rPr>
          <w:rFonts w:cs="Arial"/>
          <w:sz w:val="22"/>
          <w:szCs w:val="22"/>
        </w:rPr>
      </w:pPr>
      <w:r>
        <w:rPr>
          <w:rFonts w:cs="Arial"/>
          <w:sz w:val="22"/>
          <w:szCs w:val="22"/>
        </w:rPr>
        <w:t>The Committee asked a number of questions and sought several clarifications to which Mr. Crozzoli, Mr. Lyash, Mr. Hartwick and Mr. Ginther responded. Responses given by Messrs. Crozzoli, Lyash, Hartwick and Ginther to questions asked included</w:t>
      </w:r>
      <w:r>
        <w:rPr>
          <w:rFonts w:cs="Arial"/>
          <w:sz w:val="22"/>
          <w:szCs w:val="22"/>
        </w:rPr>
        <w:t xml:space="preserve"> that:</w:t>
      </w:r>
    </w:p>
    <w:p w:rsidR="003709BF" w:rsidRDefault="00682D6E">
      <w:pPr>
        <w:pStyle w:val="ListParagraph"/>
        <w:numPr>
          <w:ilvl w:val="0"/>
          <w:numId w:val="23"/>
        </w:numPr>
        <w:tabs>
          <w:tab w:val="left" w:pos="-720"/>
        </w:tabs>
        <w:suppressAutoHyphens/>
        <w:ind w:right="324"/>
        <w:jc w:val="both"/>
        <w:rPr>
          <w:rFonts w:ascii="Arial" w:hAnsi="Arial" w:cs="Arial"/>
        </w:rPr>
      </w:pPr>
      <w:r>
        <w:rPr>
          <w:rFonts w:ascii="Arial" w:hAnsi="Arial" w:cs="Arial"/>
        </w:rPr>
        <w:t>It is possible for OPG to speculate on the costs of options (ii) and (iii) but it is not something that OPG has done</w:t>
      </w:r>
    </w:p>
    <w:p w:rsidR="003709BF" w:rsidRDefault="00682D6E">
      <w:pPr>
        <w:pStyle w:val="ListParagraph"/>
        <w:numPr>
          <w:ilvl w:val="0"/>
          <w:numId w:val="23"/>
        </w:numPr>
        <w:tabs>
          <w:tab w:val="left" w:pos="-720"/>
        </w:tabs>
        <w:suppressAutoHyphens/>
        <w:ind w:right="324"/>
        <w:jc w:val="both"/>
        <w:rPr>
          <w:rFonts w:ascii="Arial" w:hAnsi="Arial" w:cs="Arial"/>
        </w:rPr>
      </w:pPr>
      <w:r>
        <w:rPr>
          <w:rFonts w:ascii="Arial" w:hAnsi="Arial" w:cs="Arial"/>
        </w:rPr>
        <w:t>OPG believes it is possible for the Province to proceed with option (ii) since the Province has all the necessary data, it has reaso</w:t>
      </w:r>
      <w:r>
        <w:rPr>
          <w:rFonts w:ascii="Arial" w:hAnsi="Arial" w:cs="Arial"/>
        </w:rPr>
        <w:t>nable modeling capabilities and it can lean on the work already done by Navigant Consulting</w:t>
      </w:r>
    </w:p>
    <w:p w:rsidR="003709BF" w:rsidRDefault="00682D6E">
      <w:pPr>
        <w:pStyle w:val="ListParagraph"/>
        <w:numPr>
          <w:ilvl w:val="0"/>
          <w:numId w:val="23"/>
        </w:numPr>
        <w:tabs>
          <w:tab w:val="left" w:pos="-720"/>
        </w:tabs>
        <w:suppressAutoHyphens/>
        <w:ind w:right="324"/>
        <w:jc w:val="both"/>
        <w:rPr>
          <w:rFonts w:ascii="Arial" w:hAnsi="Arial" w:cs="Arial"/>
        </w:rPr>
      </w:pPr>
      <w:r>
        <w:rPr>
          <w:rFonts w:ascii="Arial" w:hAnsi="Arial" w:cs="Arial"/>
        </w:rPr>
        <w:t xml:space="preserve">If the Province seriously considers proceeding with option (iii), OPG has advised that because of the major impacts to the program of this option, it would be less </w:t>
      </w:r>
      <w:r>
        <w:rPr>
          <w:rFonts w:ascii="Arial" w:hAnsi="Arial" w:cs="Arial"/>
        </w:rPr>
        <w:t>expensive for the Province to finance the program through the Ontario Financing Authority rather than OPG</w:t>
      </w:r>
    </w:p>
    <w:p w:rsidR="003709BF" w:rsidRDefault="00682D6E">
      <w:pPr>
        <w:pStyle w:val="ListParagraph"/>
        <w:numPr>
          <w:ilvl w:val="0"/>
          <w:numId w:val="23"/>
        </w:numPr>
        <w:tabs>
          <w:tab w:val="left" w:pos="-720"/>
        </w:tabs>
        <w:suppressAutoHyphens/>
        <w:ind w:right="324"/>
        <w:jc w:val="both"/>
        <w:rPr>
          <w:rFonts w:ascii="Arial" w:hAnsi="Arial" w:cs="Arial"/>
        </w:rPr>
      </w:pPr>
      <w:r>
        <w:rPr>
          <w:rFonts w:ascii="Arial" w:hAnsi="Arial" w:cs="Arial"/>
        </w:rPr>
        <w:t>In respect of the work that OPG management continues to do in respect of the GA refinancing, other than increased work load for those individuals work</w:t>
      </w:r>
      <w:r>
        <w:rPr>
          <w:rFonts w:ascii="Arial" w:hAnsi="Arial" w:cs="Arial"/>
        </w:rPr>
        <w:t>ing on the initiative, there are no impacts to OPG’s business</w:t>
      </w:r>
    </w:p>
    <w:p w:rsidR="003709BF" w:rsidRDefault="00682D6E">
      <w:pPr>
        <w:pStyle w:val="ListParagraph"/>
        <w:numPr>
          <w:ilvl w:val="0"/>
          <w:numId w:val="23"/>
        </w:numPr>
        <w:tabs>
          <w:tab w:val="left" w:pos="-720"/>
        </w:tabs>
        <w:suppressAutoHyphens/>
        <w:ind w:right="324"/>
        <w:jc w:val="both"/>
        <w:rPr>
          <w:rFonts w:ascii="Arial" w:hAnsi="Arial" w:cs="Arial"/>
        </w:rPr>
      </w:pPr>
      <w:r>
        <w:rPr>
          <w:rFonts w:ascii="Arial" w:hAnsi="Arial" w:cs="Arial"/>
        </w:rPr>
        <w:lastRenderedPageBreak/>
        <w:t>OPG continues its work on staffing for the operating structure for the Financing Entity/Trust. OPG management will provide an update on the operating structure to the Committee at the next meeti</w:t>
      </w:r>
      <w:r>
        <w:rPr>
          <w:rFonts w:ascii="Arial" w:hAnsi="Arial" w:cs="Arial"/>
        </w:rPr>
        <w:t>ng (*)</w:t>
      </w:r>
    </w:p>
    <w:p w:rsidR="003709BF" w:rsidRDefault="00682D6E">
      <w:pPr>
        <w:pStyle w:val="ListParagraph"/>
        <w:numPr>
          <w:ilvl w:val="0"/>
          <w:numId w:val="23"/>
        </w:numPr>
        <w:tabs>
          <w:tab w:val="left" w:pos="-720"/>
        </w:tabs>
        <w:suppressAutoHyphens/>
        <w:ind w:right="324"/>
        <w:jc w:val="both"/>
        <w:rPr>
          <w:rFonts w:ascii="Arial" w:hAnsi="Arial" w:cs="Arial"/>
        </w:rPr>
      </w:pPr>
      <w:r>
        <w:rPr>
          <w:rFonts w:ascii="Arial" w:hAnsi="Arial" w:cs="Arial"/>
        </w:rPr>
        <w:t>Very little of any meaningful substance in relation to the GA refinancing was raised in OEB Staff or in Intervenor legal arguments in OPG’s rate case currently before the OEB</w:t>
      </w:r>
    </w:p>
    <w:p w:rsidR="003709BF" w:rsidRDefault="00682D6E">
      <w:pPr>
        <w:tabs>
          <w:tab w:val="left" w:pos="-720"/>
        </w:tabs>
        <w:suppressAutoHyphens/>
        <w:ind w:left="360" w:right="324"/>
        <w:jc w:val="both"/>
        <w:rPr>
          <w:rFonts w:cs="Arial"/>
          <w:sz w:val="22"/>
          <w:szCs w:val="22"/>
        </w:rPr>
      </w:pPr>
      <w:r>
        <w:rPr>
          <w:rFonts w:cs="Arial"/>
          <w:sz w:val="22"/>
          <w:szCs w:val="22"/>
        </w:rPr>
        <w:t>The Committee was clear in indicating its view, from OPG’s perspective, ag</w:t>
      </w:r>
      <w:r>
        <w:rPr>
          <w:rFonts w:cs="Arial"/>
          <w:sz w:val="22"/>
          <w:szCs w:val="22"/>
        </w:rPr>
        <w:t xml:space="preserve">ainst the Province proceeding with option (iii), for all of the same reasons that OPG management has set out. The Committee Chair confirmed that Mr. Hartwick and the management team </w:t>
      </w:r>
      <w:proofErr w:type="gramStart"/>
      <w:r>
        <w:rPr>
          <w:rFonts w:cs="Arial"/>
          <w:sz w:val="22"/>
          <w:szCs w:val="22"/>
        </w:rPr>
        <w:t>has</w:t>
      </w:r>
      <w:proofErr w:type="gramEnd"/>
      <w:r>
        <w:rPr>
          <w:rFonts w:cs="Arial"/>
          <w:sz w:val="22"/>
          <w:szCs w:val="22"/>
        </w:rPr>
        <w:t xml:space="preserve"> kept him apprised of the FAA issue between Committee meetings. </w:t>
      </w:r>
    </w:p>
    <w:p w:rsidR="003709BF" w:rsidRDefault="003709BF">
      <w:pPr>
        <w:tabs>
          <w:tab w:val="left" w:pos="-720"/>
        </w:tabs>
        <w:suppressAutoHyphens/>
        <w:ind w:left="360" w:right="324"/>
        <w:jc w:val="both"/>
        <w:rPr>
          <w:rFonts w:cs="Arial"/>
          <w:sz w:val="22"/>
          <w:szCs w:val="22"/>
        </w:rPr>
      </w:pPr>
    </w:p>
    <w:p w:rsidR="003709BF" w:rsidRDefault="00682D6E">
      <w:pPr>
        <w:tabs>
          <w:tab w:val="left" w:pos="-720"/>
        </w:tabs>
        <w:suppressAutoHyphens/>
        <w:ind w:left="360" w:right="324"/>
        <w:jc w:val="both"/>
        <w:rPr>
          <w:rFonts w:cs="Arial"/>
          <w:sz w:val="22"/>
          <w:szCs w:val="22"/>
        </w:rPr>
      </w:pPr>
      <w:r>
        <w:rPr>
          <w:rFonts w:cs="Arial"/>
          <w:sz w:val="22"/>
          <w:szCs w:val="22"/>
        </w:rPr>
        <w:t>The C</w:t>
      </w:r>
      <w:r>
        <w:rPr>
          <w:rFonts w:cs="Arial"/>
          <w:sz w:val="22"/>
          <w:szCs w:val="22"/>
        </w:rPr>
        <w:t>ommittee is comforted that the Financial Advisors are indeed acting as OPG’s advisors. The Committee also expressed that it takes a lot of comfort from the fact that OPG is taking an active and proactive role as a principal in the discussions with the Prov</w:t>
      </w:r>
      <w:r>
        <w:rPr>
          <w:rFonts w:cs="Arial"/>
          <w:sz w:val="22"/>
          <w:szCs w:val="22"/>
        </w:rPr>
        <w:t xml:space="preserve">ince. </w:t>
      </w:r>
    </w:p>
    <w:p w:rsidR="003709BF" w:rsidRDefault="003709BF">
      <w:pPr>
        <w:tabs>
          <w:tab w:val="left" w:pos="-720"/>
        </w:tabs>
        <w:suppressAutoHyphens/>
        <w:ind w:left="360" w:right="324"/>
        <w:jc w:val="both"/>
        <w:rPr>
          <w:rFonts w:cs="Arial"/>
          <w:sz w:val="22"/>
          <w:szCs w:val="22"/>
        </w:rPr>
      </w:pPr>
    </w:p>
    <w:p w:rsidR="003709BF" w:rsidRDefault="00682D6E">
      <w:pPr>
        <w:pStyle w:val="ListParagraph"/>
        <w:numPr>
          <w:ilvl w:val="0"/>
          <w:numId w:val="17"/>
        </w:numPr>
        <w:tabs>
          <w:tab w:val="left" w:pos="-720"/>
          <w:tab w:val="left" w:pos="761"/>
        </w:tabs>
        <w:suppressAutoHyphens/>
        <w:spacing w:after="0" w:line="240" w:lineRule="auto"/>
        <w:ind w:right="324"/>
        <w:jc w:val="both"/>
        <w:rPr>
          <w:rFonts w:ascii="Arial" w:hAnsi="Arial" w:cs="Arial"/>
          <w:u w:val="single"/>
        </w:rPr>
      </w:pPr>
      <w:r>
        <w:rPr>
          <w:rFonts w:ascii="Arial" w:hAnsi="Arial" w:cs="Arial"/>
          <w:u w:val="single"/>
        </w:rPr>
        <w:t>Next Meeting – July 7</w:t>
      </w:r>
      <w:r>
        <w:rPr>
          <w:rFonts w:ascii="Arial" w:hAnsi="Arial" w:cs="Arial"/>
          <w:u w:val="single"/>
          <w:vertAlign w:val="superscript"/>
        </w:rPr>
        <w:t>th</w:t>
      </w:r>
      <w:r>
        <w:rPr>
          <w:rFonts w:ascii="Arial" w:hAnsi="Arial" w:cs="Arial"/>
          <w:u w:val="single"/>
        </w:rPr>
        <w:t>: 7:00 – 8:00 a.m.</w:t>
      </w:r>
    </w:p>
    <w:p w:rsidR="003709BF" w:rsidRDefault="003709BF">
      <w:pPr>
        <w:tabs>
          <w:tab w:val="left" w:pos="-720"/>
          <w:tab w:val="left" w:pos="761"/>
        </w:tabs>
        <w:suppressAutoHyphens/>
        <w:ind w:right="324"/>
        <w:jc w:val="both"/>
        <w:rPr>
          <w:rFonts w:cs="Arial"/>
          <w:sz w:val="22"/>
          <w:szCs w:val="22"/>
        </w:rPr>
      </w:pPr>
    </w:p>
    <w:p w:rsidR="003709BF" w:rsidRDefault="003709BF">
      <w:pPr>
        <w:pStyle w:val="ListParagraph"/>
        <w:ind w:left="0"/>
        <w:rPr>
          <w:rFonts w:ascii="Arial" w:hAnsi="Arial" w:cs="Arial"/>
          <w:u w:val="single"/>
        </w:rPr>
      </w:pPr>
    </w:p>
    <w:p w:rsidR="003709BF" w:rsidRDefault="00682D6E">
      <w:pPr>
        <w:pStyle w:val="ListParagraph"/>
        <w:numPr>
          <w:ilvl w:val="0"/>
          <w:numId w:val="17"/>
        </w:numPr>
        <w:tabs>
          <w:tab w:val="left" w:pos="-720"/>
          <w:tab w:val="left" w:pos="761"/>
        </w:tabs>
        <w:suppressAutoHyphens/>
        <w:spacing w:after="0"/>
        <w:ind w:right="324"/>
        <w:jc w:val="both"/>
        <w:rPr>
          <w:rFonts w:ascii="Arial" w:hAnsi="Arial" w:cs="Arial"/>
          <w:u w:val="single"/>
        </w:rPr>
      </w:pPr>
      <w:r>
        <w:rPr>
          <w:rFonts w:ascii="Arial" w:hAnsi="Arial" w:cs="Arial"/>
          <w:u w:val="single"/>
        </w:rPr>
        <w:t>Termination</w:t>
      </w:r>
    </w:p>
    <w:p w:rsidR="003709BF" w:rsidRDefault="003709BF">
      <w:pPr>
        <w:pStyle w:val="ListParagraph"/>
        <w:tabs>
          <w:tab w:val="left" w:pos="-720"/>
          <w:tab w:val="left" w:pos="360"/>
          <w:tab w:val="left" w:pos="761"/>
        </w:tabs>
        <w:suppressAutoHyphens/>
        <w:spacing w:after="0" w:line="240" w:lineRule="auto"/>
        <w:ind w:left="360" w:right="324"/>
        <w:jc w:val="both"/>
        <w:rPr>
          <w:rFonts w:ascii="Arial" w:hAnsi="Arial" w:cs="Arial"/>
        </w:rPr>
      </w:pPr>
    </w:p>
    <w:p w:rsidR="003709BF" w:rsidRDefault="00682D6E">
      <w:pPr>
        <w:pStyle w:val="ListParagraph"/>
        <w:tabs>
          <w:tab w:val="left" w:pos="-720"/>
          <w:tab w:val="left" w:pos="360"/>
          <w:tab w:val="left" w:pos="761"/>
        </w:tabs>
        <w:suppressAutoHyphens/>
        <w:spacing w:after="0" w:line="240" w:lineRule="auto"/>
        <w:ind w:left="360" w:right="324"/>
        <w:jc w:val="both"/>
        <w:rPr>
          <w:rFonts w:ascii="Arial" w:hAnsi="Arial" w:cs="Arial"/>
          <w:u w:val="single"/>
        </w:rPr>
      </w:pPr>
      <w:r>
        <w:rPr>
          <w:rFonts w:ascii="Arial" w:hAnsi="Arial" w:cs="Arial"/>
        </w:rPr>
        <w:tab/>
        <w:t>The meeting terminated at 7:30 a.m.</w:t>
      </w:r>
    </w:p>
    <w:p w:rsidR="003709BF" w:rsidRDefault="003709BF">
      <w:pPr>
        <w:ind w:left="360"/>
        <w:jc w:val="both"/>
        <w:rPr>
          <w:rFonts w:cs="Arial"/>
          <w:sz w:val="22"/>
          <w:szCs w:val="22"/>
          <w:lang w:val="en-US"/>
        </w:rPr>
      </w:pPr>
    </w:p>
    <w:p w:rsidR="003709BF" w:rsidRDefault="003709BF">
      <w:pPr>
        <w:ind w:left="360"/>
        <w:jc w:val="both"/>
        <w:rPr>
          <w:rFonts w:cs="Arial"/>
          <w:sz w:val="22"/>
          <w:szCs w:val="22"/>
        </w:rPr>
      </w:pPr>
    </w:p>
    <w:p w:rsidR="003709BF" w:rsidRDefault="003709BF">
      <w:pPr>
        <w:ind w:left="360"/>
        <w:jc w:val="both"/>
        <w:rPr>
          <w:rFonts w:cs="Arial"/>
          <w:sz w:val="22"/>
          <w:szCs w:val="22"/>
        </w:rPr>
      </w:pPr>
    </w:p>
    <w:p w:rsidR="003709BF" w:rsidRDefault="003709BF">
      <w:pPr>
        <w:ind w:left="360"/>
        <w:jc w:val="both"/>
        <w:rPr>
          <w:rFonts w:cs="Arial"/>
          <w:sz w:val="22"/>
          <w:szCs w:val="22"/>
        </w:rPr>
      </w:pPr>
    </w:p>
    <w:p w:rsidR="003709BF" w:rsidRDefault="003709BF">
      <w:pPr>
        <w:ind w:left="360"/>
        <w:jc w:val="both"/>
        <w:rPr>
          <w:rFonts w:cs="Arial"/>
          <w:sz w:val="22"/>
          <w:szCs w:val="22"/>
        </w:rPr>
      </w:pPr>
    </w:p>
    <w:p w:rsidR="003709BF" w:rsidRDefault="003709BF">
      <w:pPr>
        <w:ind w:left="360"/>
        <w:jc w:val="both"/>
        <w:rPr>
          <w:rFonts w:cs="Arial"/>
          <w:sz w:val="22"/>
          <w:szCs w:val="22"/>
        </w:rPr>
      </w:pPr>
    </w:p>
    <w:p w:rsidR="003709BF" w:rsidRDefault="00682D6E">
      <w:pPr>
        <w:jc w:val="both"/>
        <w:rPr>
          <w:rFonts w:cs="Arial"/>
          <w:sz w:val="22"/>
          <w:szCs w:val="22"/>
        </w:rPr>
      </w:pPr>
      <w:r>
        <w:rPr>
          <w:rFonts w:cs="Arial"/>
          <w:sz w:val="22"/>
          <w:szCs w:val="22"/>
        </w:rPr>
        <w:t>Special Committee Chair</w:t>
      </w:r>
      <w:r>
        <w:rPr>
          <w:rFonts w:cs="Arial"/>
          <w:sz w:val="22"/>
          <w:szCs w:val="22"/>
        </w:rPr>
        <w:tab/>
      </w:r>
      <w:r>
        <w:rPr>
          <w:rFonts w:cs="Arial"/>
          <w:sz w:val="22"/>
          <w:szCs w:val="22"/>
        </w:rPr>
        <w:tab/>
      </w:r>
      <w:r>
        <w:rPr>
          <w:rFonts w:cs="Arial"/>
          <w:sz w:val="22"/>
          <w:szCs w:val="22"/>
        </w:rPr>
        <w:tab/>
      </w:r>
      <w:r>
        <w:rPr>
          <w:rFonts w:cs="Arial"/>
          <w:sz w:val="22"/>
          <w:szCs w:val="22"/>
        </w:rPr>
        <w:tab/>
        <w:t xml:space="preserve">                     Vice President, Corporate Secretary</w:t>
      </w:r>
    </w:p>
    <w:p w:rsidR="003709BF" w:rsidRDefault="00682D6E">
      <w:pPr>
        <w:jc w:val="both"/>
        <w:rPr>
          <w:rFonts w:cs="Arial"/>
          <w:sz w:val="22"/>
          <w:szCs w:val="22"/>
        </w:rPr>
      </w:pPr>
      <w:r>
        <w:rPr>
          <w:rFonts w:cs="Arial"/>
          <w:sz w:val="22"/>
          <w:szCs w:val="22"/>
        </w:rPr>
        <w:t>_______________________________________________________________________________</w:t>
      </w:r>
    </w:p>
    <w:p w:rsidR="003709BF" w:rsidRDefault="00682D6E">
      <w:pPr>
        <w:jc w:val="both"/>
        <w:rPr>
          <w:rFonts w:cs="Arial"/>
          <w:sz w:val="22"/>
          <w:szCs w:val="22"/>
        </w:rPr>
      </w:pPr>
      <w:r>
        <w:rPr>
          <w:rFonts w:cs="Arial"/>
          <w:sz w:val="22"/>
          <w:szCs w:val="22"/>
        </w:rPr>
        <w:t>Asterisk (*) denotes action to be taken</w:t>
      </w:r>
    </w:p>
    <w:sectPr w:rsidR="003709BF" w:rsidSect="003709BF">
      <w:headerReference w:type="default" r:id="rId11"/>
      <w:footerReference w:type="first" r:id="rId12"/>
      <w:pgSz w:w="12240" w:h="15840" w:code="1"/>
      <w:pgMar w:top="431" w:right="1152" w:bottom="360" w:left="1152" w:header="576" w:footer="254" w:gutter="0"/>
      <w:pgNumType w:fmt="numberInDash"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09BF" w:rsidRDefault="00682D6E">
      <w:r>
        <w:separator/>
      </w:r>
    </w:p>
  </w:endnote>
  <w:endnote w:type="continuationSeparator" w:id="0">
    <w:p w:rsidR="003709BF" w:rsidRDefault="00682D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9BF" w:rsidRDefault="00682D6E">
    <w:pPr>
      <w:ind w:right="-234"/>
      <w:rPr>
        <w:rFonts w:cs="Arial"/>
        <w:i/>
        <w:sz w:val="16"/>
        <w:szCs w:val="16"/>
      </w:rPr>
    </w:pPr>
    <w:r>
      <w:rPr>
        <w:rFonts w:cs="Arial"/>
        <w:bCs/>
        <w:i/>
        <w:sz w:val="16"/>
        <w:szCs w:val="16"/>
      </w:rPr>
      <w:t xml:space="preserve">The </w:t>
    </w:r>
    <w:r>
      <w:rPr>
        <w:rStyle w:val="Emphasis"/>
        <w:rFonts w:cs="Arial"/>
        <w:sz w:val="16"/>
        <w:szCs w:val="16"/>
      </w:rPr>
      <w:t>information contained in this document contains sensitive information which could raise concerns related to privacy matters,  employee matters and /or security and may further impact on the financial or commercial interests of OPG, the Ontario Government o</w:t>
    </w:r>
    <w:r>
      <w:rPr>
        <w:rStyle w:val="Emphasis"/>
        <w:rFonts w:cs="Arial"/>
        <w:sz w:val="16"/>
        <w:szCs w:val="16"/>
      </w:rPr>
      <w:t>r other third parties. In some instances solicitor-client privileged information is also contained herein. This information must be treated in the strictest confidence and must not be reproduced in any fashion without the express prior written consent of O</w:t>
    </w:r>
    <w:r>
      <w:rPr>
        <w:rStyle w:val="Emphasis"/>
        <w:rFonts w:cs="Arial"/>
        <w:sz w:val="16"/>
        <w:szCs w:val="16"/>
      </w:rPr>
      <w:t>PG.</w:t>
    </w:r>
    <w:r>
      <w:rPr>
        <w:rFonts w:cs="Arial"/>
        <w:b/>
        <w:i/>
        <w:sz w:val="16"/>
        <w:szCs w:val="16"/>
      </w:rPr>
      <w:t xml:space="preserve"> </w:t>
    </w:r>
    <w:r>
      <w:rPr>
        <w:rFonts w:cs="Arial"/>
        <w:i/>
        <w:sz w:val="16"/>
        <w:szCs w:val="16"/>
      </w:rPr>
      <w:t>In keeping with OPG’s corporate standard for the protection of confidential information, this document should not be removed, or left unattended or accessible to unauthorized persons.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09BF" w:rsidRDefault="00682D6E">
      <w:r>
        <w:separator/>
      </w:r>
    </w:p>
  </w:footnote>
  <w:footnote w:type="continuationSeparator" w:id="0">
    <w:p w:rsidR="003709BF" w:rsidRDefault="00682D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42" w:type="dxa"/>
      <w:tblBorders>
        <w:insideH w:val="single" w:sz="4" w:space="0" w:color="auto"/>
      </w:tblBorders>
      <w:tblLayout w:type="fixed"/>
      <w:tblCellMar>
        <w:left w:w="72" w:type="dxa"/>
        <w:right w:w="72" w:type="dxa"/>
      </w:tblCellMar>
      <w:tblLook w:val="0000"/>
    </w:tblPr>
    <w:tblGrid>
      <w:gridCol w:w="4032"/>
      <w:gridCol w:w="1350"/>
      <w:gridCol w:w="4860"/>
    </w:tblGrid>
    <w:tr w:rsidR="003709BF">
      <w:trPr>
        <w:trHeight w:val="297"/>
      </w:trPr>
      <w:tc>
        <w:tcPr>
          <w:tcW w:w="4032" w:type="dxa"/>
        </w:tcPr>
        <w:p w:rsidR="003709BF" w:rsidRDefault="00682D6E">
          <w:pPr>
            <w:tabs>
              <w:tab w:val="left" w:pos="720"/>
              <w:tab w:val="center" w:pos="4680"/>
            </w:tabs>
            <w:suppressAutoHyphens/>
            <w:jc w:val="both"/>
            <w:rPr>
              <w:sz w:val="22"/>
              <w:u w:val="single"/>
            </w:rPr>
          </w:pPr>
          <w:r>
            <w:rPr>
              <w:sz w:val="22"/>
              <w:u w:val="single"/>
            </w:rPr>
            <w:t>Special Committee of the Board</w:t>
          </w:r>
        </w:p>
      </w:tc>
      <w:tc>
        <w:tcPr>
          <w:tcW w:w="1350" w:type="dxa"/>
        </w:tcPr>
        <w:p w:rsidR="003709BF" w:rsidRDefault="003709BF">
          <w:pPr>
            <w:tabs>
              <w:tab w:val="left" w:pos="720"/>
              <w:tab w:val="center" w:pos="4680"/>
            </w:tabs>
            <w:suppressAutoHyphens/>
            <w:jc w:val="center"/>
            <w:rPr>
              <w:sz w:val="22"/>
            </w:rPr>
          </w:pPr>
          <w:r>
            <w:rPr>
              <w:sz w:val="22"/>
            </w:rPr>
            <w:fldChar w:fldCharType="begin"/>
          </w:r>
          <w:r w:rsidR="00682D6E">
            <w:rPr>
              <w:sz w:val="22"/>
            </w:rPr>
            <w:instrText xml:space="preserve"> PAGE   \* MERGEFORMAT </w:instrText>
          </w:r>
          <w:r>
            <w:rPr>
              <w:sz w:val="22"/>
            </w:rPr>
            <w:fldChar w:fldCharType="separate"/>
          </w:r>
          <w:r w:rsidR="00682D6E">
            <w:rPr>
              <w:noProof/>
              <w:sz w:val="22"/>
            </w:rPr>
            <w:t>- 4 -</w:t>
          </w:r>
          <w:r>
            <w:rPr>
              <w:sz w:val="22"/>
            </w:rPr>
            <w:fldChar w:fldCharType="end"/>
          </w:r>
        </w:p>
      </w:tc>
      <w:tc>
        <w:tcPr>
          <w:tcW w:w="4860" w:type="dxa"/>
        </w:tcPr>
        <w:p w:rsidR="003709BF" w:rsidRDefault="00682D6E">
          <w:pPr>
            <w:tabs>
              <w:tab w:val="left" w:pos="720"/>
              <w:tab w:val="center" w:pos="4680"/>
            </w:tabs>
            <w:suppressAutoHyphens/>
            <w:jc w:val="right"/>
            <w:rPr>
              <w:sz w:val="22"/>
              <w:u w:val="single"/>
            </w:rPr>
          </w:pPr>
          <w:r>
            <w:rPr>
              <w:sz w:val="22"/>
              <w:u w:val="single"/>
            </w:rPr>
            <w:t>June 26, 2017</w:t>
          </w:r>
        </w:p>
      </w:tc>
    </w:tr>
  </w:tbl>
  <w:p w:rsidR="003709BF" w:rsidRDefault="003709BF">
    <w:pPr>
      <w:pStyle w:val="Header"/>
    </w:pPr>
  </w:p>
  <w:p w:rsidR="003709BF" w:rsidRDefault="003709B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1B7D"/>
    <w:multiLevelType w:val="hybridMultilevel"/>
    <w:tmpl w:val="744CF6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8AE2784"/>
    <w:multiLevelType w:val="hybridMultilevel"/>
    <w:tmpl w:val="3FFAC62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D855771"/>
    <w:multiLevelType w:val="hybridMultilevel"/>
    <w:tmpl w:val="C504C8B8"/>
    <w:lvl w:ilvl="0" w:tplc="D11471B6">
      <w:start w:val="3"/>
      <w:numFmt w:val="decimal"/>
      <w:lvlText w:val="%1."/>
      <w:lvlJc w:val="left"/>
      <w:pPr>
        <w:tabs>
          <w:tab w:val="num" w:pos="360"/>
        </w:tabs>
        <w:ind w:left="360" w:hanging="360"/>
      </w:pPr>
      <w:rPr>
        <w:rFonts w:hint="default"/>
      </w:rPr>
    </w:lvl>
    <w:lvl w:ilvl="1" w:tplc="E7924C1E">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7205D9E"/>
    <w:multiLevelType w:val="hybridMultilevel"/>
    <w:tmpl w:val="9A426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nsid w:val="1ED758FF"/>
    <w:multiLevelType w:val="hybridMultilevel"/>
    <w:tmpl w:val="F342E6CA"/>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nsid w:val="237A3391"/>
    <w:multiLevelType w:val="hybridMultilevel"/>
    <w:tmpl w:val="16D0838E"/>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nsid w:val="28661628"/>
    <w:multiLevelType w:val="hybridMultilevel"/>
    <w:tmpl w:val="455C62AC"/>
    <w:lvl w:ilvl="0" w:tplc="23D4D2F2">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nsid w:val="2EC620F8"/>
    <w:multiLevelType w:val="hybridMultilevel"/>
    <w:tmpl w:val="F56860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37E22782"/>
    <w:multiLevelType w:val="hybridMultilevel"/>
    <w:tmpl w:val="F06AB74C"/>
    <w:lvl w:ilvl="0" w:tplc="74A8B1D6">
      <w:start w:val="1"/>
      <w:numFmt w:val="bullet"/>
      <w:lvlText w:val=""/>
      <w:lvlJc w:val="left"/>
      <w:pPr>
        <w:tabs>
          <w:tab w:val="num" w:pos="0"/>
        </w:tabs>
        <w:ind w:left="1080" w:hanging="360"/>
      </w:pPr>
      <w:rPr>
        <w:rFonts w:ascii="Symbol" w:hAnsi="Symbol" w:hint="default"/>
      </w:rPr>
    </w:lvl>
    <w:lvl w:ilvl="1" w:tplc="F59AB00C">
      <w:start w:val="1"/>
      <w:numFmt w:val="bullet"/>
      <w:pStyle w:val="DWPVBulletlist1"/>
      <w:lvlText w:val=""/>
      <w:lvlJc w:val="left"/>
      <w:pPr>
        <w:tabs>
          <w:tab w:val="num" w:pos="2160"/>
        </w:tabs>
        <w:ind w:left="2160" w:hanging="360"/>
      </w:pPr>
      <w:rPr>
        <w:rFonts w:ascii="Symbol" w:hAnsi="Symbol" w:hint="default"/>
        <w:b w:val="0"/>
        <w:i w:val="0"/>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3E5A360D"/>
    <w:multiLevelType w:val="hybridMultilevel"/>
    <w:tmpl w:val="826AB2E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nsid w:val="41297921"/>
    <w:multiLevelType w:val="hybridMultilevel"/>
    <w:tmpl w:val="868E761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48540B16"/>
    <w:multiLevelType w:val="hybridMultilevel"/>
    <w:tmpl w:val="CEA6441A"/>
    <w:lvl w:ilvl="0" w:tplc="9F4A6892">
      <w:start w:val="1"/>
      <w:numFmt w:val="lowerLetter"/>
      <w:lvlText w:val="%1)"/>
      <w:lvlJc w:val="left"/>
      <w:pPr>
        <w:ind w:left="720" w:hanging="360"/>
      </w:pPr>
      <w:rPr>
        <w:rFonts w:ascii="Arial" w:hAnsi="Arial" w:hint="default"/>
        <w:b w:val="0"/>
        <w:i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48B33E74"/>
    <w:multiLevelType w:val="hybridMultilevel"/>
    <w:tmpl w:val="7DEA0F54"/>
    <w:lvl w:ilvl="0" w:tplc="10090001">
      <w:start w:val="1"/>
      <w:numFmt w:val="bullet"/>
      <w:lvlText w:val=""/>
      <w:lvlJc w:val="left"/>
      <w:pPr>
        <w:ind w:left="1800" w:hanging="720"/>
      </w:pPr>
      <w:rPr>
        <w:rFonts w:ascii="Symbol" w:hAnsi="Symbol"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3">
    <w:nsid w:val="49C97A9E"/>
    <w:multiLevelType w:val="hybridMultilevel"/>
    <w:tmpl w:val="9DA68D6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nsid w:val="59BC40B3"/>
    <w:multiLevelType w:val="hybridMultilevel"/>
    <w:tmpl w:val="199258B8"/>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5">
    <w:nsid w:val="70217FCB"/>
    <w:multiLevelType w:val="hybridMultilevel"/>
    <w:tmpl w:val="FCA4B22C"/>
    <w:lvl w:ilvl="0" w:tplc="1009000B">
      <w:start w:val="1"/>
      <w:numFmt w:val="bullet"/>
      <w:lvlText w:val=""/>
      <w:lvlJc w:val="left"/>
      <w:pPr>
        <w:ind w:left="720" w:hanging="360"/>
      </w:pPr>
      <w:rPr>
        <w:rFonts w:ascii="Wingdings" w:hAnsi="Wingdings" w:hint="default"/>
      </w:rPr>
    </w:lvl>
    <w:lvl w:ilvl="1" w:tplc="10090019">
      <w:start w:val="1"/>
      <w:numFmt w:val="lowerLetter"/>
      <w:lvlText w:val="%2."/>
      <w:lvlJc w:val="left"/>
      <w:pPr>
        <w:ind w:left="1440" w:hanging="360"/>
      </w:pPr>
      <w:rPr>
        <w:rFonts w:cs="Times New Roman"/>
      </w:r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6">
    <w:nsid w:val="70303A6C"/>
    <w:multiLevelType w:val="hybridMultilevel"/>
    <w:tmpl w:val="229076BA"/>
    <w:lvl w:ilvl="0" w:tplc="77404F4E">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721023EF"/>
    <w:multiLevelType w:val="hybridMultilevel"/>
    <w:tmpl w:val="7294FC66"/>
    <w:lvl w:ilvl="0" w:tplc="0409000F">
      <w:start w:val="1"/>
      <w:numFmt w:val="decimal"/>
      <w:lvlText w:val="%1."/>
      <w:lvlJc w:val="left"/>
      <w:pPr>
        <w:tabs>
          <w:tab w:val="num" w:pos="720"/>
        </w:tabs>
        <w:ind w:left="720" w:hanging="360"/>
      </w:pPr>
      <w:rPr>
        <w:rFonts w:hint="default"/>
        <w:u w:val="none"/>
      </w:rPr>
    </w:lvl>
    <w:lvl w:ilvl="1" w:tplc="04090001">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3252C9D"/>
    <w:multiLevelType w:val="hybridMultilevel"/>
    <w:tmpl w:val="92D2EC94"/>
    <w:lvl w:ilvl="0" w:tplc="1009000B">
      <w:start w:val="1"/>
      <w:numFmt w:val="bullet"/>
      <w:lvlText w:val=""/>
      <w:lvlJc w:val="left"/>
      <w:pPr>
        <w:ind w:left="2225" w:hanging="360"/>
      </w:pPr>
      <w:rPr>
        <w:rFonts w:ascii="Wingdings" w:hAnsi="Wingdings" w:hint="default"/>
      </w:rPr>
    </w:lvl>
    <w:lvl w:ilvl="1" w:tplc="10090003" w:tentative="1">
      <w:start w:val="1"/>
      <w:numFmt w:val="bullet"/>
      <w:lvlText w:val="o"/>
      <w:lvlJc w:val="left"/>
      <w:pPr>
        <w:ind w:left="2945" w:hanging="360"/>
      </w:pPr>
      <w:rPr>
        <w:rFonts w:ascii="Courier New" w:hAnsi="Courier New" w:cs="Courier New" w:hint="default"/>
      </w:rPr>
    </w:lvl>
    <w:lvl w:ilvl="2" w:tplc="10090005" w:tentative="1">
      <w:start w:val="1"/>
      <w:numFmt w:val="bullet"/>
      <w:lvlText w:val=""/>
      <w:lvlJc w:val="left"/>
      <w:pPr>
        <w:ind w:left="3665" w:hanging="360"/>
      </w:pPr>
      <w:rPr>
        <w:rFonts w:ascii="Wingdings" w:hAnsi="Wingdings" w:hint="default"/>
      </w:rPr>
    </w:lvl>
    <w:lvl w:ilvl="3" w:tplc="10090001" w:tentative="1">
      <w:start w:val="1"/>
      <w:numFmt w:val="bullet"/>
      <w:lvlText w:val=""/>
      <w:lvlJc w:val="left"/>
      <w:pPr>
        <w:ind w:left="4385" w:hanging="360"/>
      </w:pPr>
      <w:rPr>
        <w:rFonts w:ascii="Symbol" w:hAnsi="Symbol" w:hint="default"/>
      </w:rPr>
    </w:lvl>
    <w:lvl w:ilvl="4" w:tplc="10090003" w:tentative="1">
      <w:start w:val="1"/>
      <w:numFmt w:val="bullet"/>
      <w:lvlText w:val="o"/>
      <w:lvlJc w:val="left"/>
      <w:pPr>
        <w:ind w:left="5105" w:hanging="360"/>
      </w:pPr>
      <w:rPr>
        <w:rFonts w:ascii="Courier New" w:hAnsi="Courier New" w:cs="Courier New" w:hint="default"/>
      </w:rPr>
    </w:lvl>
    <w:lvl w:ilvl="5" w:tplc="10090005" w:tentative="1">
      <w:start w:val="1"/>
      <w:numFmt w:val="bullet"/>
      <w:lvlText w:val=""/>
      <w:lvlJc w:val="left"/>
      <w:pPr>
        <w:ind w:left="5825" w:hanging="360"/>
      </w:pPr>
      <w:rPr>
        <w:rFonts w:ascii="Wingdings" w:hAnsi="Wingdings" w:hint="default"/>
      </w:rPr>
    </w:lvl>
    <w:lvl w:ilvl="6" w:tplc="10090001" w:tentative="1">
      <w:start w:val="1"/>
      <w:numFmt w:val="bullet"/>
      <w:lvlText w:val=""/>
      <w:lvlJc w:val="left"/>
      <w:pPr>
        <w:ind w:left="6545" w:hanging="360"/>
      </w:pPr>
      <w:rPr>
        <w:rFonts w:ascii="Symbol" w:hAnsi="Symbol" w:hint="default"/>
      </w:rPr>
    </w:lvl>
    <w:lvl w:ilvl="7" w:tplc="10090003" w:tentative="1">
      <w:start w:val="1"/>
      <w:numFmt w:val="bullet"/>
      <w:lvlText w:val="o"/>
      <w:lvlJc w:val="left"/>
      <w:pPr>
        <w:ind w:left="7265" w:hanging="360"/>
      </w:pPr>
      <w:rPr>
        <w:rFonts w:ascii="Courier New" w:hAnsi="Courier New" w:cs="Courier New" w:hint="default"/>
      </w:rPr>
    </w:lvl>
    <w:lvl w:ilvl="8" w:tplc="10090005" w:tentative="1">
      <w:start w:val="1"/>
      <w:numFmt w:val="bullet"/>
      <w:lvlText w:val=""/>
      <w:lvlJc w:val="left"/>
      <w:pPr>
        <w:ind w:left="7985" w:hanging="360"/>
      </w:pPr>
      <w:rPr>
        <w:rFonts w:ascii="Wingdings" w:hAnsi="Wingdings" w:hint="default"/>
      </w:rPr>
    </w:lvl>
  </w:abstractNum>
  <w:abstractNum w:abstractNumId="19">
    <w:nsid w:val="740355BF"/>
    <w:multiLevelType w:val="hybridMultilevel"/>
    <w:tmpl w:val="9110B350"/>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0">
    <w:nsid w:val="7AE15D18"/>
    <w:multiLevelType w:val="hybridMultilevel"/>
    <w:tmpl w:val="2146E5F0"/>
    <w:lvl w:ilvl="0" w:tplc="10090001">
      <w:start w:val="1"/>
      <w:numFmt w:val="bullet"/>
      <w:lvlText w:val=""/>
      <w:lvlJc w:val="left"/>
      <w:pPr>
        <w:ind w:left="720" w:hanging="360"/>
      </w:pPr>
      <w:rPr>
        <w:rFonts w:ascii="Symbol" w:hAnsi="Symbol" w:hint="default"/>
        <w:b w:val="0"/>
        <w:i w:val="0"/>
        <w:sz w:val="22"/>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1">
    <w:nsid w:val="7D090B4E"/>
    <w:multiLevelType w:val="hybridMultilevel"/>
    <w:tmpl w:val="CE14940E"/>
    <w:lvl w:ilvl="0" w:tplc="10090001">
      <w:start w:val="1"/>
      <w:numFmt w:val="bullet"/>
      <w:lvlText w:val=""/>
      <w:lvlJc w:val="left"/>
      <w:pPr>
        <w:ind w:left="144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num w:numId="1">
    <w:abstractNumId w:val="17"/>
  </w:num>
  <w:num w:numId="2">
    <w:abstractNumId w:val="2"/>
  </w:num>
  <w:num w:numId="3">
    <w:abstractNumId w:val="8"/>
  </w:num>
  <w:num w:numId="4">
    <w:abstractNumId w:val="20"/>
  </w:num>
  <w:num w:numId="5">
    <w:abstractNumId w:val="11"/>
  </w:num>
  <w:num w:numId="6">
    <w:abstractNumId w:val="9"/>
  </w:num>
  <w:num w:numId="7">
    <w:abstractNumId w:val="15"/>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2"/>
  </w:num>
  <w:num w:numId="11">
    <w:abstractNumId w:val="16"/>
  </w:num>
  <w:num w:numId="12">
    <w:abstractNumId w:val="0"/>
  </w:num>
  <w:num w:numId="13">
    <w:abstractNumId w:val="13"/>
  </w:num>
  <w:num w:numId="14">
    <w:abstractNumId w:val="3"/>
  </w:num>
  <w:num w:numId="15">
    <w:abstractNumId w:val="19"/>
  </w:num>
  <w:num w:numId="16">
    <w:abstractNumId w:val="1"/>
  </w:num>
  <w:num w:numId="17">
    <w:abstractNumId w:val="10"/>
  </w:num>
  <w:num w:numId="18">
    <w:abstractNumId w:val="5"/>
  </w:num>
  <w:num w:numId="19">
    <w:abstractNumId w:val="18"/>
  </w:num>
  <w:num w:numId="20">
    <w:abstractNumId w:val="14"/>
  </w:num>
  <w:num w:numId="21">
    <w:abstractNumId w:val="4"/>
  </w:num>
  <w:num w:numId="22">
    <w:abstractNumId w:val="6"/>
  </w:num>
  <w:num w:numId="23">
    <w:abstractNumId w:val="7"/>
  </w:num>
  <w:numIdMacAtCleanup w:val="9"/>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hideSpellingErrors/>
  <w:hideGrammaticalErrors/>
  <w:proofState w:spelling="clean" w:grammar="clean"/>
  <w:attachedTemplate r:id="rId1"/>
  <w:stylePaneFormatFilter w:val="3804"/>
  <w:stylePaneSortMethod w:val="0000"/>
  <w:trackRevisions/>
  <w:defaultTabStop w:val="720"/>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rsids>
    <w:rsidRoot w:val="003709BF"/>
    <w:rsid w:val="003709BF"/>
    <w:rsid w:val="00682D6E"/>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9BF"/>
    <w:rPr>
      <w:rFonts w:ascii="Arial" w:hAnsi="Arial"/>
      <w:lang w:eastAsia="en-US"/>
    </w:rPr>
  </w:style>
  <w:style w:type="paragraph" w:styleId="Heading1">
    <w:name w:val="heading 1"/>
    <w:basedOn w:val="Normal"/>
    <w:next w:val="Normal"/>
    <w:qFormat/>
    <w:rsid w:val="003709BF"/>
    <w:pPr>
      <w:keepNext/>
      <w:tabs>
        <w:tab w:val="left" w:pos="720"/>
        <w:tab w:val="center" w:pos="4680"/>
      </w:tabs>
      <w:suppressAutoHyphens/>
      <w:jc w:val="right"/>
      <w:outlineLvl w:val="0"/>
    </w:pPr>
    <w:rPr>
      <w:sz w:val="24"/>
    </w:rPr>
  </w:style>
  <w:style w:type="paragraph" w:styleId="Heading2">
    <w:name w:val="heading 2"/>
    <w:basedOn w:val="Normal"/>
    <w:next w:val="Normal"/>
    <w:qFormat/>
    <w:rsid w:val="003709BF"/>
    <w:pPr>
      <w:keepNext/>
      <w:tabs>
        <w:tab w:val="left" w:pos="-720"/>
      </w:tabs>
      <w:suppressAutoHyphens/>
      <w:ind w:left="720"/>
      <w:jc w:val="both"/>
      <w:outlineLvl w:val="1"/>
    </w:pPr>
    <w:rPr>
      <w:sz w:val="24"/>
    </w:rPr>
  </w:style>
  <w:style w:type="paragraph" w:styleId="Heading4">
    <w:name w:val="heading 4"/>
    <w:basedOn w:val="Normal"/>
    <w:next w:val="Normal"/>
    <w:qFormat/>
    <w:rsid w:val="003709BF"/>
    <w:pPr>
      <w:keepNext/>
      <w:tabs>
        <w:tab w:val="left" w:pos="-720"/>
        <w:tab w:val="left" w:pos="2160"/>
        <w:tab w:val="left" w:pos="5040"/>
      </w:tabs>
      <w:suppressAutoHyphens/>
      <w:jc w:val="both"/>
      <w:outlineLvl w:val="3"/>
    </w:pPr>
    <w:rPr>
      <w:rFonts w:ascii="Times New Roman" w:hAnsi="Times New Roman"/>
      <w:spacing w:val="-3"/>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709BF"/>
    <w:pPr>
      <w:tabs>
        <w:tab w:val="left" w:pos="-720"/>
        <w:tab w:val="left" w:pos="2160"/>
      </w:tabs>
      <w:suppressAutoHyphens/>
      <w:ind w:left="720" w:hanging="720"/>
      <w:jc w:val="both"/>
    </w:pPr>
    <w:rPr>
      <w:rFonts w:ascii="Times New Roman" w:hAnsi="Times New Roman"/>
      <w:sz w:val="24"/>
      <w:lang w:val="en-GB"/>
    </w:rPr>
  </w:style>
  <w:style w:type="paragraph" w:styleId="Header">
    <w:name w:val="header"/>
    <w:basedOn w:val="Normal"/>
    <w:link w:val="HeaderChar"/>
    <w:uiPriority w:val="99"/>
    <w:rsid w:val="003709BF"/>
    <w:pPr>
      <w:tabs>
        <w:tab w:val="center" w:pos="4320"/>
        <w:tab w:val="right" w:pos="8640"/>
      </w:tabs>
      <w:jc w:val="center"/>
    </w:pPr>
    <w:rPr>
      <w:lang w:val="en-GB"/>
    </w:rPr>
  </w:style>
  <w:style w:type="character" w:styleId="PageNumber">
    <w:name w:val="page number"/>
    <w:basedOn w:val="DefaultParagraphFont"/>
    <w:rsid w:val="003709BF"/>
  </w:style>
  <w:style w:type="paragraph" w:styleId="Footer">
    <w:name w:val="footer"/>
    <w:basedOn w:val="Normal"/>
    <w:link w:val="FooterChar"/>
    <w:rsid w:val="003709BF"/>
    <w:pPr>
      <w:tabs>
        <w:tab w:val="center" w:pos="4320"/>
        <w:tab w:val="right" w:pos="8640"/>
      </w:tabs>
    </w:pPr>
  </w:style>
  <w:style w:type="paragraph" w:styleId="BodyText">
    <w:name w:val="Body Text"/>
    <w:basedOn w:val="Normal"/>
    <w:rsid w:val="003709BF"/>
    <w:pPr>
      <w:tabs>
        <w:tab w:val="left" w:pos="-720"/>
        <w:tab w:val="left" w:pos="2160"/>
        <w:tab w:val="left" w:pos="4320"/>
        <w:tab w:val="left" w:pos="5040"/>
      </w:tabs>
      <w:suppressAutoHyphens/>
      <w:jc w:val="both"/>
    </w:pPr>
    <w:rPr>
      <w:rFonts w:ascii="Times New Roman" w:hAnsi="Times New Roman"/>
      <w:sz w:val="24"/>
      <w:lang w:val="en-GB"/>
    </w:rPr>
  </w:style>
  <w:style w:type="paragraph" w:styleId="BodyTextIndent3">
    <w:name w:val="Body Text Indent 3"/>
    <w:basedOn w:val="Normal"/>
    <w:rsid w:val="003709BF"/>
    <w:pPr>
      <w:tabs>
        <w:tab w:val="left" w:pos="-720"/>
      </w:tabs>
      <w:suppressAutoHyphens/>
      <w:ind w:left="720"/>
      <w:jc w:val="both"/>
    </w:pPr>
    <w:rPr>
      <w:rFonts w:ascii="Times New Roman" w:hAnsi="Times New Roman"/>
      <w:sz w:val="24"/>
    </w:rPr>
  </w:style>
  <w:style w:type="paragraph" w:styleId="BodyTextIndent2">
    <w:name w:val="Body Text Indent 2"/>
    <w:basedOn w:val="Normal"/>
    <w:rsid w:val="003709BF"/>
    <w:pPr>
      <w:tabs>
        <w:tab w:val="left" w:pos="-720"/>
      </w:tabs>
      <w:suppressAutoHyphens/>
      <w:ind w:left="990"/>
      <w:jc w:val="both"/>
    </w:pPr>
    <w:rPr>
      <w:sz w:val="24"/>
    </w:rPr>
  </w:style>
  <w:style w:type="paragraph" w:styleId="Title">
    <w:name w:val="Title"/>
    <w:basedOn w:val="Normal"/>
    <w:qFormat/>
    <w:rsid w:val="003709BF"/>
    <w:pPr>
      <w:tabs>
        <w:tab w:val="left" w:pos="720"/>
        <w:tab w:val="center" w:pos="4680"/>
      </w:tabs>
      <w:suppressAutoHyphens/>
      <w:jc w:val="center"/>
    </w:pPr>
    <w:rPr>
      <w:b/>
      <w:sz w:val="22"/>
      <w:u w:val="single"/>
    </w:rPr>
  </w:style>
  <w:style w:type="paragraph" w:styleId="BlockText">
    <w:name w:val="Block Text"/>
    <w:basedOn w:val="Normal"/>
    <w:rsid w:val="003709BF"/>
    <w:pPr>
      <w:tabs>
        <w:tab w:val="left" w:pos="-720"/>
        <w:tab w:val="left" w:pos="360"/>
      </w:tabs>
      <w:suppressAutoHyphens/>
      <w:ind w:left="630" w:right="108"/>
      <w:jc w:val="both"/>
    </w:pPr>
    <w:rPr>
      <w:sz w:val="22"/>
    </w:rPr>
  </w:style>
  <w:style w:type="paragraph" w:styleId="BalloonText">
    <w:name w:val="Balloon Text"/>
    <w:basedOn w:val="Normal"/>
    <w:semiHidden/>
    <w:rsid w:val="003709BF"/>
    <w:rPr>
      <w:rFonts w:ascii="Tahoma" w:hAnsi="Tahoma" w:cs="Tahoma"/>
      <w:sz w:val="16"/>
      <w:szCs w:val="16"/>
    </w:rPr>
  </w:style>
  <w:style w:type="paragraph" w:customStyle="1" w:styleId="DWPVBulletlist1">
    <w:name w:val="DWPVBullet list1"/>
    <w:basedOn w:val="Normal"/>
    <w:rsid w:val="003709BF"/>
    <w:pPr>
      <w:numPr>
        <w:ilvl w:val="1"/>
        <w:numId w:val="3"/>
      </w:numPr>
    </w:pPr>
  </w:style>
  <w:style w:type="paragraph" w:styleId="ListParagraph">
    <w:name w:val="List Paragraph"/>
    <w:basedOn w:val="Normal"/>
    <w:link w:val="ListParagraphChar"/>
    <w:uiPriority w:val="34"/>
    <w:qFormat/>
    <w:rsid w:val="003709BF"/>
    <w:pPr>
      <w:spacing w:after="200" w:line="276" w:lineRule="auto"/>
      <w:ind w:left="720"/>
      <w:contextualSpacing/>
    </w:pPr>
    <w:rPr>
      <w:rFonts w:ascii="Calibri" w:eastAsia="Calibri" w:hAnsi="Calibri"/>
      <w:sz w:val="22"/>
      <w:szCs w:val="22"/>
      <w:lang w:val="en-US"/>
    </w:rPr>
  </w:style>
  <w:style w:type="character" w:customStyle="1" w:styleId="FooterChar">
    <w:name w:val="Footer Char"/>
    <w:basedOn w:val="DefaultParagraphFont"/>
    <w:link w:val="Footer"/>
    <w:uiPriority w:val="99"/>
    <w:rsid w:val="003709BF"/>
    <w:rPr>
      <w:rFonts w:ascii="Arial" w:hAnsi="Arial"/>
      <w:lang w:eastAsia="en-US"/>
    </w:rPr>
  </w:style>
  <w:style w:type="character" w:styleId="Emphasis">
    <w:name w:val="Emphasis"/>
    <w:basedOn w:val="DefaultParagraphFont"/>
    <w:uiPriority w:val="20"/>
    <w:qFormat/>
    <w:rsid w:val="003709BF"/>
    <w:rPr>
      <w:i/>
      <w:iCs/>
    </w:rPr>
  </w:style>
  <w:style w:type="character" w:customStyle="1" w:styleId="HeaderChar">
    <w:name w:val="Header Char"/>
    <w:basedOn w:val="DefaultParagraphFont"/>
    <w:link w:val="Header"/>
    <w:uiPriority w:val="99"/>
    <w:rsid w:val="003709BF"/>
    <w:rPr>
      <w:rFonts w:ascii="Arial" w:hAnsi="Arial"/>
      <w:lang w:val="en-GB" w:eastAsia="en-US"/>
    </w:rPr>
  </w:style>
  <w:style w:type="paragraph" w:customStyle="1" w:styleId="Default">
    <w:name w:val="Default"/>
    <w:rsid w:val="003709BF"/>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3709BF"/>
    <w:rPr>
      <w:sz w:val="16"/>
      <w:szCs w:val="16"/>
    </w:rPr>
  </w:style>
  <w:style w:type="paragraph" w:styleId="CommentText">
    <w:name w:val="annotation text"/>
    <w:basedOn w:val="Normal"/>
    <w:link w:val="CommentTextChar"/>
    <w:uiPriority w:val="99"/>
    <w:semiHidden/>
    <w:unhideWhenUsed/>
    <w:rsid w:val="003709BF"/>
  </w:style>
  <w:style w:type="character" w:customStyle="1" w:styleId="CommentTextChar">
    <w:name w:val="Comment Text Char"/>
    <w:basedOn w:val="DefaultParagraphFont"/>
    <w:link w:val="CommentText"/>
    <w:uiPriority w:val="99"/>
    <w:semiHidden/>
    <w:rsid w:val="003709B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709BF"/>
    <w:rPr>
      <w:b/>
      <w:bCs/>
    </w:rPr>
  </w:style>
  <w:style w:type="character" w:customStyle="1" w:styleId="CommentSubjectChar">
    <w:name w:val="Comment Subject Char"/>
    <w:basedOn w:val="CommentTextChar"/>
    <w:link w:val="CommentSubject"/>
    <w:uiPriority w:val="99"/>
    <w:semiHidden/>
    <w:rsid w:val="003709BF"/>
    <w:rPr>
      <w:rFonts w:ascii="Arial" w:hAnsi="Arial"/>
      <w:b/>
      <w:bCs/>
      <w:lang w:eastAsia="en-US"/>
    </w:rPr>
  </w:style>
  <w:style w:type="character" w:customStyle="1" w:styleId="ListParagraphChar">
    <w:name w:val="List Paragraph Char"/>
    <w:basedOn w:val="DefaultParagraphFont"/>
    <w:link w:val="ListParagraph"/>
    <w:uiPriority w:val="34"/>
    <w:rsid w:val="003709BF"/>
    <w:rPr>
      <w:rFonts w:ascii="Calibri" w:eastAsia="Calibri" w:hAnsi="Calibri"/>
      <w:sz w:val="22"/>
      <w:szCs w:val="22"/>
      <w:lang w:val="en-US" w:eastAsia="en-US"/>
    </w:rPr>
  </w:style>
  <w:style w:type="paragraph" w:styleId="NormalWeb">
    <w:name w:val="Normal (Web)"/>
    <w:basedOn w:val="Normal"/>
    <w:uiPriority w:val="99"/>
    <w:unhideWhenUsed/>
    <w:rsid w:val="003709BF"/>
    <w:pPr>
      <w:spacing w:before="100" w:beforeAutospacing="1" w:after="100" w:afterAutospacing="1"/>
    </w:pPr>
    <w:rPr>
      <w:rFonts w:ascii="Times New Roman" w:eastAsiaTheme="minorHAnsi" w:hAnsi="Times New Roman"/>
      <w:sz w:val="24"/>
      <w:szCs w:val="24"/>
      <w:lang w:eastAsia="en-CA"/>
    </w:rPr>
  </w:style>
  <w:style w:type="paragraph" w:customStyle="1" w:styleId="BulletStyle">
    <w:name w:val="Bullet Style"/>
    <w:basedOn w:val="Normal"/>
    <w:link w:val="BulletStyleChar"/>
    <w:rsid w:val="003709BF"/>
    <w:pPr>
      <w:tabs>
        <w:tab w:val="left" w:pos="1080"/>
        <w:tab w:val="left" w:pos="1620"/>
        <w:tab w:val="right" w:pos="10620"/>
      </w:tabs>
      <w:jc w:val="both"/>
    </w:pPr>
    <w:rPr>
      <w:lang w:val="en-GB"/>
    </w:rPr>
  </w:style>
  <w:style w:type="character" w:customStyle="1" w:styleId="BulletStyleChar">
    <w:name w:val="Bullet Style Char"/>
    <w:basedOn w:val="DefaultParagraphFont"/>
    <w:link w:val="BulletStyle"/>
    <w:locked/>
    <w:rsid w:val="003709BF"/>
    <w:rPr>
      <w:rFonts w:ascii="Arial" w:hAnsi="Arial"/>
      <w:lang w:val="en-GB" w:eastAsia="en-US"/>
    </w:rPr>
  </w:style>
  <w:style w:type="paragraph" w:customStyle="1" w:styleId="Normal1">
    <w:name w:val="Normal1"/>
    <w:rsid w:val="003709BF"/>
    <w:pPr>
      <w:widowControl w:val="0"/>
    </w:pPr>
    <w:rPr>
      <w:rFonts w:ascii="Arial" w:eastAsia="Arial" w:hAnsi="Arial" w:cs="Arial"/>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300115">
      <w:bodyDiv w:val="1"/>
      <w:marLeft w:val="0"/>
      <w:marRight w:val="0"/>
      <w:marTop w:val="0"/>
      <w:marBottom w:val="0"/>
      <w:divBdr>
        <w:top w:val="none" w:sz="0" w:space="0" w:color="auto"/>
        <w:left w:val="none" w:sz="0" w:space="0" w:color="auto"/>
        <w:bottom w:val="none" w:sz="0" w:space="0" w:color="auto"/>
        <w:right w:val="none" w:sz="0" w:space="0" w:color="auto"/>
      </w:divBdr>
      <w:divsChild>
        <w:div w:id="24977767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261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406">
      <w:bodyDiv w:val="1"/>
      <w:marLeft w:val="0"/>
      <w:marRight w:val="0"/>
      <w:marTop w:val="0"/>
      <w:marBottom w:val="0"/>
      <w:divBdr>
        <w:top w:val="none" w:sz="0" w:space="0" w:color="auto"/>
        <w:left w:val="none" w:sz="0" w:space="0" w:color="auto"/>
        <w:bottom w:val="none" w:sz="0" w:space="0" w:color="auto"/>
        <w:right w:val="none" w:sz="0" w:space="0" w:color="auto"/>
      </w:divBdr>
    </w:div>
    <w:div w:id="995571228">
      <w:bodyDiv w:val="1"/>
      <w:marLeft w:val="0"/>
      <w:marRight w:val="0"/>
      <w:marTop w:val="0"/>
      <w:marBottom w:val="0"/>
      <w:divBdr>
        <w:top w:val="none" w:sz="0" w:space="0" w:color="auto"/>
        <w:left w:val="none" w:sz="0" w:space="0" w:color="auto"/>
        <w:bottom w:val="none" w:sz="0" w:space="0" w:color="auto"/>
        <w:right w:val="none" w:sz="0" w:space="0" w:color="auto"/>
      </w:divBdr>
    </w:div>
    <w:div w:id="1239707620">
      <w:bodyDiv w:val="1"/>
      <w:marLeft w:val="0"/>
      <w:marRight w:val="0"/>
      <w:marTop w:val="0"/>
      <w:marBottom w:val="0"/>
      <w:divBdr>
        <w:top w:val="none" w:sz="0" w:space="0" w:color="auto"/>
        <w:left w:val="none" w:sz="0" w:space="0" w:color="auto"/>
        <w:bottom w:val="none" w:sz="0" w:space="0" w:color="auto"/>
        <w:right w:val="none" w:sz="0" w:space="0" w:color="auto"/>
      </w:divBdr>
    </w:div>
    <w:div w:id="1416395050">
      <w:bodyDiv w:val="1"/>
      <w:marLeft w:val="0"/>
      <w:marRight w:val="0"/>
      <w:marTop w:val="0"/>
      <w:marBottom w:val="0"/>
      <w:divBdr>
        <w:top w:val="none" w:sz="0" w:space="0" w:color="auto"/>
        <w:left w:val="none" w:sz="0" w:space="0" w:color="auto"/>
        <w:bottom w:val="none" w:sz="0" w:space="0" w:color="auto"/>
        <w:right w:val="none" w:sz="0" w:space="0" w:color="auto"/>
      </w:divBdr>
    </w:div>
    <w:div w:id="179741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07/relationships/stylesWithEffects" Target="stylesWithEffect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ordsys\prod\templates\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_Type xmlns="e5138b8e-f17c-4a13-a1a3-745b4492822c">Minutes</Doc_Type>
    <Retention xmlns="e5138b8e-f17c-4a13-a1a3-745b4492822c">P (Permanent)</Retention>
    <Target_x0020_Audiences xmlns="6ccaf886-e81e-45f7-b411-2eb90512eba2" xsi:nil="true"/>
    <OPGStatus xmlns="http://schemas.microsoft.com/sharepoint/v3/fields">Pending</OPGStatus>
    <Doc_Date xmlns="e5138b8e-f17c-4a13-a1a3-745b4492822c">2013-07-12T04:00:00+00:00</Doc_Date>
    <Facility xmlns="e5138b8e-f17c-4a13-a1a3-745b4492822c">CORP</Facility>
    <OPGAuthor xmlns="e5138b8e-f17c-4a13-a1a3-745b4492822c">
      <UserInfo>
        <DisplayName>KING Catriona -OFFCORPSEC</DisplayName>
        <AccountId>293</AccountId>
        <AccountType/>
      </UserInfo>
    </OPGAuthor>
    <OPGRevision xmlns="e5138b8e-f17c-4a13-a1a3-745b4492822c" xsi:nil="true"/>
    <OPGKeywords xmlns="e5138b8e-f17c-4a13-a1a3-745b4492822c" xsi:nil="true"/>
    <Doc_No xmlns="e5138b8e-f17c-4a13-a1a3-745b449282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OPG Base Document" ma:contentTypeID="0x010100E94B6237DEAFAF4D93CC9F7ECBE2E5F8" ma:contentTypeVersion="37" ma:contentTypeDescription="Parent content type for all OPG content types" ma:contentTypeScope="" ma:versionID="02628c0415cd95b0bde5cd0d9381366b">
  <xsd:schema xmlns:xsd="http://www.w3.org/2001/XMLSchema" xmlns:xs="http://www.w3.org/2001/XMLSchema" xmlns:p="http://schemas.microsoft.com/office/2006/metadata/properties" xmlns:ns2="e5138b8e-f17c-4a13-a1a3-745b4492822c" xmlns:ns3="http://schemas.microsoft.com/sharepoint/v3/fields" xmlns:ns4="e8081c9d-9235-464c-b907-16c811a3b08d" xmlns:ns5="6ccaf886-e81e-45f7-b411-2eb90512eba2" xmlns:ns6="7710d6d8-b21a-4786-8e16-fb65b080de10" xmlns:ns7="bcdaf827-04a0-4ab8-86c9-1f85b68b2a94" targetNamespace="http://schemas.microsoft.com/office/2006/metadata/properties" ma:root="true" ma:fieldsID="94406fa30c43a62412529fb1be8ebb6d" ns2:_="" ns3:_="" ns4:_="" ns5:_="" ns6:_="" ns7:_="">
    <xsd:import namespace="e5138b8e-f17c-4a13-a1a3-745b4492822c"/>
    <xsd:import namespace="http://schemas.microsoft.com/sharepoint/v3/fields"/>
    <xsd:import namespace="e8081c9d-9235-464c-b907-16c811a3b08d"/>
    <xsd:import namespace="6ccaf886-e81e-45f7-b411-2eb90512eba2"/>
    <xsd:import namespace="7710d6d8-b21a-4786-8e16-fb65b080de10"/>
    <xsd:import namespace="bcdaf827-04a0-4ab8-86c9-1f85b68b2a94"/>
    <xsd:element name="properties">
      <xsd:complexType>
        <xsd:sequence>
          <xsd:element name="documentManagement">
            <xsd:complexType>
              <xsd:all>
                <xsd:element ref="ns2:OPGAuthor" minOccurs="0"/>
                <xsd:element ref="ns2:Doc_Date" minOccurs="0"/>
                <xsd:element ref="ns3:OPGStatus"/>
                <xsd:element ref="ns4:SCI_GSI" minOccurs="0"/>
                <xsd:element ref="ns2:Doc_Type" minOccurs="0"/>
                <xsd:element ref="ns2:Retention" minOccurs="0"/>
                <xsd:element ref="ns2:OPGRevision" minOccurs="0"/>
                <xsd:element ref="ns2:Doc_No" minOccurs="0"/>
                <xsd:element ref="ns2:Facility" minOccurs="0"/>
                <xsd:element ref="ns2:OPGKeywords" minOccurs="0"/>
                <xsd:element ref="ns5:Target_x0020_Audiences" minOccurs="0"/>
                <xsd:element ref="ns6:MediaServiceMetadata" minOccurs="0"/>
                <xsd:element ref="ns6:MediaServiceFastMetadata" minOccurs="0"/>
                <xsd:element ref="ns7:SharedWithUsers" minOccurs="0"/>
                <xsd:element ref="ns7: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38b8e-f17c-4a13-a1a3-745b4492822c" elementFormDefault="qualified">
    <xsd:import namespace="http://schemas.microsoft.com/office/2006/documentManagement/types"/>
    <xsd:import namespace="http://schemas.microsoft.com/office/infopath/2007/PartnerControls"/>
    <xsd:element name="OPGAuthor" ma:index="7" nillable="true" ma:displayName="Author" ma:list="UserInfo" ma:internalName="OPG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Date" ma:index="9" nillable="true" ma:displayName="Document Date" ma:default="[today]" ma:format="DateOnly" ma:internalName="Doc_Date" ma:readOnly="false">
      <xsd:simpleType>
        <xsd:restriction base="dms:DateTime"/>
      </xsd:simpleType>
    </xsd:element>
    <xsd:element name="Doc_Type" ma:index="12" nillable="true" ma:displayName="Doc_Type" ma:default="Announcement" ma:format="Dropdown" ma:internalName="Doc_Type" ma:readOnly="false">
      <xsd:simpleType>
        <xsd:restriction base="dms:Choice">
          <xsd:enumeration value="Announcement"/>
          <xsd:enumeration value="Calculation"/>
          <xsd:enumeration value="Chart"/>
          <xsd:enumeration value="Charter"/>
          <xsd:enumeration value="Correspondence"/>
          <xsd:enumeration value="Data Bank"/>
          <xsd:enumeration value="Diagram"/>
          <xsd:enumeration value="Drawing"/>
          <xsd:enumeration value="Engineering Change Record"/>
          <xsd:enumeration value="Guideline"/>
          <xsd:enumeration value="History Docket"/>
          <xsd:enumeration value="Image"/>
          <xsd:enumeration value="Instruction"/>
          <xsd:enumeration value="Legacy/Migrated"/>
          <xsd:enumeration value="Legal"/>
          <xsd:enumeration value="List"/>
          <xsd:enumeration value="Manual"/>
          <xsd:enumeration value="Minutes"/>
          <xsd:enumeration value="Plan"/>
          <xsd:enumeration value="Policy"/>
          <xsd:enumeration value="Presentation"/>
          <xsd:enumeration value="Procedure"/>
          <xsd:enumeration value="Program"/>
          <xsd:enumeration value="Proposal"/>
          <xsd:enumeration value="Reference"/>
          <xsd:enumeration value="Report"/>
          <xsd:enumeration value="Requisition"/>
          <xsd:enumeration value="Specification"/>
          <xsd:enumeration value="Standard"/>
          <xsd:enumeration value="Statement"/>
          <xsd:enumeration value="Survey"/>
          <xsd:enumeration value="Template"/>
        </xsd:restriction>
      </xsd:simpleType>
    </xsd:element>
    <xsd:element name="Retention" ma:index="13" nillable="true" ma:displayName="Retention" ma:default="Permanent" ma:format="Dropdown" ma:internalName="Retention" ma:readOnly="false">
      <xsd:simpleType>
        <xsd:restriction base="dms:Choice">
          <xsd:enumeration value="1 Year"/>
          <xsd:enumeration value="2 Years"/>
          <xsd:enumeration value="6 Years"/>
          <xsd:enumeration value="10 Years"/>
          <xsd:enumeration value="20 Years"/>
          <xsd:enumeration value="40 Years"/>
          <xsd:enumeration value="2 Years after Completion/Settlement"/>
          <xsd:enumeration value="6 Years after Completion/Settlement"/>
          <xsd:enumeration value="20 years after Completion/Settlement"/>
          <xsd:enumeration value="20 years then transfer to OPG Archives"/>
          <xsd:enumeration value="LOF (Life of Facility)"/>
          <xsd:enumeration value="LOE (Life of Equipment)"/>
          <xsd:enumeration value="P (Permanent)"/>
          <xsd:enumeration value="Until Superseded/Obsolete"/>
        </xsd:restriction>
      </xsd:simpleType>
    </xsd:element>
    <xsd:element name="OPGRevision" ma:index="14" nillable="true" ma:displayName="Revision" ma:default="" ma:internalName="OPGRevision">
      <xsd:simpleType>
        <xsd:restriction base="dms:Text">
          <xsd:maxLength value="255"/>
        </xsd:restriction>
      </xsd:simpleType>
    </xsd:element>
    <xsd:element name="Doc_No" ma:index="15" nillable="true" ma:displayName="Document Number" ma:default="" ma:description="If unknown, use the following form: Facility - Document Type - SCI/GSI - Serial Number (Serial No optional)" ma:internalName="Doc_No">
      <xsd:simpleType>
        <xsd:restriction base="dms:Text">
          <xsd:maxLength value="255"/>
        </xsd:restriction>
      </xsd:simpleType>
    </xsd:element>
    <xsd:element name="Facility" ma:index="16" nillable="true" ma:displayName="Facility" ma:default="" ma:format="Dropdown" ma:internalName="Facility" ma:readOnly="false">
      <xsd:simpleType>
        <xsd:restriction base="dms:Choice">
          <xsd:enumeration value="CORP"/>
          <xsd:enumeration value="HYDRO"/>
          <xsd:enumeration value="THERMAL"/>
          <xsd:enumeration value="N - Nuclear"/>
          <xsd:enumeration value="P - Pickering"/>
          <xsd:enumeration value="D - Darlington"/>
          <xsd:enumeration value="W - Waste"/>
          <xsd:enumeration value="I - Inspection"/>
          <xsd:maxLength value="255"/>
        </xsd:restriction>
      </xsd:simpleType>
    </xsd:element>
    <xsd:element name="OPGKeywords" ma:index="17" nillable="true" ma:displayName="Keywords" ma:internalName="OPGKeyword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OPGStatus" ma:index="10" ma:displayName="Status" ma:default="Pending" ma:format="Dropdown" ma:internalName="OPGStatus" ma:readOnly="true">
      <xsd:simpleType>
        <xsd:restriction base="dms:Choice">
          <xsd:enumeration value="Issued"/>
          <xsd:enumeration value="Pending"/>
        </xsd:restriction>
      </xsd:simpleType>
    </xsd:element>
  </xsd:schema>
  <xsd:schema xmlns:xsd="http://www.w3.org/2001/XMLSchema" xmlns:xs="http://www.w3.org/2001/XMLSchema" xmlns:dms="http://schemas.microsoft.com/office/2006/documentManagement/types" xmlns:pc="http://schemas.microsoft.com/office/infopath/2007/PartnerControls" targetNamespace="e8081c9d-9235-464c-b907-16c811a3b08d" elementFormDefault="qualified">
    <xsd:import namespace="http://schemas.microsoft.com/office/2006/documentManagement/types"/>
    <xsd:import namespace="http://schemas.microsoft.com/office/infopath/2007/PartnerControls"/>
    <xsd:element name="SCI_GSI" ma:index="11" nillable="true" ma:displayName="SCI/GSI" ma:internalName="SCI_GSI"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caf886-e81e-45f7-b411-2eb90512eba2" elementFormDefault="qualified">
    <xsd:import namespace="http://schemas.microsoft.com/office/2006/documentManagement/types"/>
    <xsd:import namespace="http://schemas.microsoft.com/office/infopath/2007/PartnerControls"/>
    <xsd:element name="Target_x0020_Audiences" ma:index="18" nillable="true" ma:displayName="Target Audiences" ma:internalName="Target_x0020_Audienc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10d6d8-b21a-4786-8e16-fb65b080de10"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af827-04a0-4ab8-86c9-1f85b68b2a94"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7E6D6-7D3F-4A90-9A92-B55F30FC8F9A}">
  <ds:schemaRefs>
    <ds:schemaRef ds:uri="http://schemas.microsoft.com/sharepoint/v3/contenttype/forms"/>
  </ds:schemaRefs>
</ds:datastoreItem>
</file>

<file path=customXml/itemProps2.xml><?xml version="1.0" encoding="utf-8"?>
<ds:datastoreItem xmlns:ds="http://schemas.openxmlformats.org/officeDocument/2006/customXml" ds:itemID="{BC9B0DFF-2462-4712-B446-9589B6028F4C}">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e5138b8e-f17c-4a13-a1a3-745b4492822c"/>
    <ds:schemaRef ds:uri="6ccaf886-e81e-45f7-b411-2eb90512eba2"/>
    <ds:schemaRef ds:uri="http://schemas.openxmlformats.org/package/2006/metadata/core-properties"/>
  </ds:schemaRefs>
</ds:datastoreItem>
</file>

<file path=customXml/itemProps3.xml><?xml version="1.0" encoding="utf-8"?>
<ds:datastoreItem xmlns:ds="http://schemas.openxmlformats.org/officeDocument/2006/customXml" ds:itemID="{340C368A-6275-4CB2-9A80-A81815073CCA}"/>
</file>

<file path=customXml/itemProps4.xml><?xml version="1.0" encoding="utf-8"?>
<ds:datastoreItem xmlns:ds="http://schemas.openxmlformats.org/officeDocument/2006/customXml" ds:itemID="{AC0C183E-2B90-4FE4-84F0-6046C05CD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blank.dotm</Template>
  <TotalTime>2</TotalTime>
  <Pages>4</Pages>
  <Words>1533</Words>
  <Characters>7871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Special Committee Minutes March 31 2017</vt:lpstr>
    </vt:vector>
  </TitlesOfParts>
  <Company>Ontario Hydro</Company>
  <LinksUpToDate>false</LinksUpToDate>
  <CharactersWithSpaces>9386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Committee Minutes March 31 2017</dc:title>
  <dc:creator>King</dc:creator>
  <cp:lastModifiedBy>ASTUDILLO</cp:lastModifiedBy>
  <cp:revision>4</cp:revision>
  <cp:lastPrinted>2017-04-11T21:06:00Z</cp:lastPrinted>
  <dcterms:created xsi:type="dcterms:W3CDTF">2017-07-05T17:16:00Z</dcterms:created>
  <dcterms:modified xsi:type="dcterms:W3CDTF">2017-07-06T14:39:00Z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-1899690443</vt:i4>
  </property>
  <property fmtid="{D5CDD505-2E9C-101B-9397-08002B2CF9AE}" pid="3" name="ContentTypeId">
    <vt:lpwstr>0x010100E94B6237DEAFAF4D93CC9F7ECBE2E5F8</vt:lpwstr>
  </property>
  <property fmtid="{D5CDD505-2E9C-101B-9397-08002B2CF9AE}" pid="4" name="FrTStylesDone">
    <vt:lpwstr>Y</vt:lpwstr>
  </property>
  <property fmtid="{D5CDD505-2E9C-101B-9397-08002B2CF9AE}" pid="5" name="WSOrigTemplate">
    <vt:lpwstr>normal</vt:lpwstr>
  </property>
  <property fmtid="{D5CDD505-2E9C-101B-9397-08002B2CF9AE}" pid="6" name="Order">
    <vt:r8>1003000</vt:r8>
  </property>
</Properties>
</file>